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ascii="黑体" w:hAnsi="黑体" w:eastAsia="黑体" w:cs="黑体"/>
          <w:b/>
          <w:sz w:val="32"/>
          <w:szCs w:val="32"/>
          <w:highlight w:val="none"/>
        </w:rPr>
      </w:pPr>
      <w:r>
        <w:rPr>
          <w:rFonts w:ascii="黑体" w:hAnsi="黑体" w:eastAsia="黑体" w:cs="黑体"/>
          <w:sz w:val="32"/>
          <w:szCs w:val="32"/>
          <w:highlight w:val="none"/>
        </w:rPr>
        <mc:AlternateContent>
          <mc:Choice Requires="wps">
            <w:drawing>
              <wp:anchor distT="0" distB="0" distL="114300" distR="114300" simplePos="0" relativeHeight="251657216" behindDoc="0" locked="0" layoutInCell="1" allowOverlap="1">
                <wp:simplePos x="0" y="0"/>
                <wp:positionH relativeFrom="column">
                  <wp:posOffset>-422910</wp:posOffset>
                </wp:positionH>
                <wp:positionV relativeFrom="paragraph">
                  <wp:posOffset>-13970</wp:posOffset>
                </wp:positionV>
                <wp:extent cx="635" cy="0"/>
                <wp:effectExtent l="0" t="0" r="0" b="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33.3pt;margin-top:-1.1pt;height:0pt;width:0.05pt;z-index:251657216;mso-width-relative:page;mso-height-relative:page;" filled="f" stroked="t" coordsize="21600,21600" o:gfxdata="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N+qJl1QAAAAkBAAAPAAAAAAAAAAEAIAAAACIAAABkcnMvZG93bnJldi54bWxQSwECFAAUAAAA&#10;CACHTuJAFe4yK7gBAACJAwAADgAAAAAAAAABACAAAAAkAQAAZHJzL2Uyb0RvYy54bWxQSwUGAAAA&#10;AAYABgBZAQAATgUAAAAA&#10;">
                <v:fill on="f" focussize="0,0"/>
                <v:stroke color="#000000" joinstyle="round"/>
                <v:imagedata o:title=""/>
                <o:lock v:ext="edit" aspectratio="f"/>
              </v:line>
            </w:pict>
          </mc:Fallback>
        </mc:AlternateContent>
      </w:r>
    </w:p>
    <w:p>
      <w:pPr>
        <w:adjustRightInd w:val="0"/>
        <w:rPr>
          <w:rFonts w:ascii="宋体" w:hAnsi="宋体"/>
          <w:b/>
          <w:sz w:val="24"/>
          <w:highlight w:val="none"/>
        </w:rPr>
      </w:pPr>
    </w:p>
    <w:p>
      <w:pPr>
        <w:adjustRightInd w:val="0"/>
        <w:ind w:firstLine="3626"/>
        <w:rPr>
          <w:rFonts w:ascii="宋体" w:hAnsi="宋体"/>
          <w:b/>
          <w:sz w:val="24"/>
          <w:highlight w:val="none"/>
        </w:rPr>
      </w:pPr>
    </w:p>
    <w:p>
      <w:pPr>
        <w:adjustRightInd w:val="0"/>
        <w:ind w:firstLine="3626"/>
        <w:rPr>
          <w:rFonts w:ascii="宋体" w:hAnsi="宋体"/>
          <w:b/>
          <w:sz w:val="24"/>
          <w:highlight w:val="none"/>
        </w:rPr>
      </w:pPr>
    </w:p>
    <w:p>
      <w:pPr>
        <w:adjustRightInd w:val="0"/>
        <w:ind w:firstLine="3626"/>
        <w:rPr>
          <w:rFonts w:ascii="宋体" w:hAnsi="宋体"/>
          <w:b/>
          <w:sz w:val="24"/>
          <w:highlight w:val="none"/>
        </w:rPr>
      </w:pPr>
    </w:p>
    <w:p>
      <w:pPr>
        <w:adjustRightInd w:val="0"/>
        <w:jc w:val="center"/>
        <w:rPr>
          <w:rFonts w:ascii="黑体" w:hAnsi="黑体" w:eastAsia="黑体"/>
          <w:b/>
          <w:sz w:val="44"/>
          <w:szCs w:val="44"/>
          <w:highlight w:val="none"/>
        </w:rPr>
      </w:pPr>
    </w:p>
    <w:p>
      <w:pPr>
        <w:adjustRightInd w:val="0"/>
        <w:jc w:val="center"/>
        <w:rPr>
          <w:rFonts w:ascii="黑体" w:hAnsi="黑体" w:eastAsia="黑体"/>
          <w:b/>
          <w:sz w:val="44"/>
          <w:szCs w:val="44"/>
          <w:highlight w:val="none"/>
        </w:rPr>
      </w:pPr>
    </w:p>
    <w:p>
      <w:pPr>
        <w:adjustRightInd w:val="0"/>
        <w:jc w:val="center"/>
        <w:rPr>
          <w:rFonts w:ascii="黑体" w:hAnsi="黑体" w:eastAsia="黑体"/>
          <w:b/>
          <w:sz w:val="44"/>
          <w:szCs w:val="44"/>
          <w:highlight w:val="none"/>
        </w:rPr>
      </w:pPr>
      <w:r>
        <w:rPr>
          <w:rFonts w:hint="eastAsia" w:ascii="黑体" w:hAnsi="黑体" w:eastAsia="黑体"/>
          <w:b/>
          <w:sz w:val="44"/>
          <w:szCs w:val="44"/>
          <w:highlight w:val="none"/>
        </w:rPr>
        <w:t>佛山市恒益环保建材有限公司</w:t>
      </w:r>
    </w:p>
    <w:p>
      <w:pPr>
        <w:adjustRightInd w:val="0"/>
        <w:spacing w:beforeLines="50"/>
        <w:jc w:val="center"/>
        <w:rPr>
          <w:rFonts w:ascii="黑体" w:hAnsi="黑体" w:eastAsia="黑体"/>
          <w:b/>
          <w:sz w:val="44"/>
          <w:szCs w:val="44"/>
          <w:highlight w:val="none"/>
        </w:rPr>
      </w:pPr>
      <w:r>
        <w:rPr>
          <w:rFonts w:hint="eastAsia" w:ascii="黑体" w:hAnsi="黑体" w:eastAsia="黑体"/>
          <w:b/>
          <w:sz w:val="44"/>
          <w:szCs w:val="44"/>
          <w:highlight w:val="none"/>
        </w:rPr>
        <w:t>加气砌块生产辅助业务外委采购项目</w:t>
      </w:r>
    </w:p>
    <w:p>
      <w:pPr>
        <w:adjustRightInd w:val="0"/>
        <w:spacing w:beforeLines="50"/>
        <w:jc w:val="center"/>
        <w:rPr>
          <w:rFonts w:ascii="黑体" w:hAnsi="黑体" w:eastAsia="黑体"/>
          <w:b/>
          <w:sz w:val="44"/>
          <w:szCs w:val="44"/>
          <w:highlight w:val="none"/>
        </w:rPr>
      </w:pPr>
    </w:p>
    <w:p>
      <w:pPr>
        <w:adjustRightInd w:val="0"/>
        <w:spacing w:beforeLines="50"/>
        <w:jc w:val="center"/>
        <w:rPr>
          <w:rFonts w:ascii="黑体" w:hAnsi="黑体" w:eastAsia="黑体"/>
          <w:b/>
          <w:color w:val="FFFFFF"/>
          <w:sz w:val="44"/>
          <w:szCs w:val="44"/>
          <w:highlight w:val="none"/>
        </w:rPr>
      </w:pPr>
    </w:p>
    <w:p>
      <w:pPr>
        <w:adjustRightInd w:val="0"/>
        <w:spacing w:beforeLines="50"/>
        <w:jc w:val="center"/>
        <w:rPr>
          <w:rFonts w:ascii="黑体" w:hAnsi="黑体" w:eastAsia="黑体"/>
          <w:b/>
          <w:sz w:val="44"/>
          <w:szCs w:val="44"/>
          <w:highlight w:val="none"/>
        </w:rPr>
      </w:pPr>
      <w:r>
        <w:rPr>
          <w:rFonts w:hint="eastAsia" w:ascii="黑体" w:hAnsi="黑体" w:eastAsia="黑体"/>
          <w:b/>
          <w:sz w:val="44"/>
          <w:szCs w:val="44"/>
          <w:highlight w:val="none"/>
        </w:rPr>
        <w:t>招标文件</w:t>
      </w:r>
    </w:p>
    <w:p>
      <w:pPr>
        <w:adjustRightInd w:val="0"/>
        <w:spacing w:beforeLines="50"/>
        <w:jc w:val="center"/>
        <w:rPr>
          <w:rFonts w:hint="eastAsia" w:ascii="宋体" w:hAnsi="宋体" w:eastAsia="宋体"/>
          <w:b/>
          <w:sz w:val="30"/>
          <w:szCs w:val="30"/>
          <w:highlight w:val="none"/>
          <w:lang w:eastAsia="zh-CN"/>
        </w:rPr>
      </w:pPr>
      <w:r>
        <w:rPr>
          <w:rFonts w:hint="eastAsia" w:ascii="宋体" w:hAnsi="宋体"/>
          <w:b/>
          <w:sz w:val="30"/>
          <w:szCs w:val="30"/>
          <w:highlight w:val="none"/>
          <w:lang w:eastAsia="zh-CN"/>
        </w:rPr>
        <w:t>项目编号：GDZC-19GZ242</w:t>
      </w:r>
    </w:p>
    <w:p>
      <w:pPr>
        <w:adjustRightInd w:val="0"/>
        <w:ind w:firstLine="3626"/>
        <w:rPr>
          <w:rFonts w:ascii="宋体" w:hAnsi="宋体"/>
          <w:b/>
          <w:sz w:val="72"/>
          <w:highlight w:val="none"/>
        </w:rPr>
      </w:pPr>
    </w:p>
    <w:p>
      <w:pPr>
        <w:adjustRightInd w:val="0"/>
        <w:ind w:firstLine="3626"/>
        <w:rPr>
          <w:rFonts w:ascii="宋体" w:hAnsi="宋体"/>
          <w:b/>
          <w:sz w:val="24"/>
          <w:highlight w:val="none"/>
        </w:rPr>
      </w:pPr>
    </w:p>
    <w:p>
      <w:pPr>
        <w:adjustRightInd w:val="0"/>
        <w:ind w:firstLine="3626"/>
        <w:rPr>
          <w:rFonts w:ascii="宋体" w:hAnsi="宋体"/>
          <w:b/>
          <w:sz w:val="24"/>
          <w:highlight w:val="none"/>
        </w:rPr>
      </w:pPr>
    </w:p>
    <w:p>
      <w:pPr>
        <w:adjustRightInd w:val="0"/>
        <w:ind w:firstLine="3626"/>
        <w:rPr>
          <w:rFonts w:ascii="宋体" w:hAnsi="宋体"/>
          <w:b/>
          <w:sz w:val="24"/>
          <w:highlight w:val="none"/>
        </w:rPr>
      </w:pPr>
    </w:p>
    <w:p>
      <w:pPr>
        <w:adjustRightInd w:val="0"/>
        <w:rPr>
          <w:rFonts w:ascii="宋体" w:hAnsi="宋体"/>
          <w:b/>
          <w:sz w:val="24"/>
          <w:highlight w:val="none"/>
        </w:rPr>
      </w:pPr>
    </w:p>
    <w:p>
      <w:pPr>
        <w:adjustRightInd w:val="0"/>
        <w:ind w:firstLine="3626"/>
        <w:rPr>
          <w:rFonts w:ascii="宋体" w:hAnsi="宋体"/>
          <w:b/>
          <w:sz w:val="24"/>
          <w:highlight w:val="none"/>
        </w:rPr>
      </w:pPr>
    </w:p>
    <w:p>
      <w:pPr>
        <w:ind w:left="27" w:leftChars="-171" w:hanging="386" w:hangingChars="128"/>
        <w:jc w:val="center"/>
        <w:rPr>
          <w:rFonts w:ascii="宋体" w:hAnsi="宋体"/>
          <w:b/>
          <w:sz w:val="30"/>
          <w:szCs w:val="30"/>
          <w:highlight w:val="none"/>
        </w:rPr>
      </w:pPr>
    </w:p>
    <w:p>
      <w:pPr>
        <w:ind w:firstLine="1656" w:firstLineChars="550"/>
        <w:rPr>
          <w:rFonts w:ascii="宋体" w:hAnsi="宋体"/>
          <w:b/>
          <w:sz w:val="30"/>
          <w:szCs w:val="30"/>
          <w:highlight w:val="none"/>
        </w:rPr>
      </w:pPr>
      <w:r>
        <w:rPr>
          <w:rFonts w:hint="eastAsia" w:ascii="宋体" w:hAnsi="宋体"/>
          <w:b/>
          <w:sz w:val="30"/>
          <w:szCs w:val="30"/>
          <w:highlight w:val="none"/>
        </w:rPr>
        <w:t>招标人： 佛山市恒益环保建材有限公司</w:t>
      </w:r>
    </w:p>
    <w:p>
      <w:pPr>
        <w:ind w:firstLine="1606" w:firstLineChars="500"/>
        <w:rPr>
          <w:rFonts w:ascii="宋体" w:hAnsi="宋体"/>
          <w:b/>
          <w:sz w:val="30"/>
          <w:szCs w:val="30"/>
          <w:highlight w:val="none"/>
        </w:rPr>
      </w:pPr>
      <w:r>
        <w:rPr>
          <w:rFonts w:hint="eastAsia" w:ascii="宋体" w:hAnsi="宋体"/>
          <w:b/>
          <w:sz w:val="32"/>
          <w:szCs w:val="32"/>
          <w:highlight w:val="none"/>
        </w:rPr>
        <w:t>招标代理：</w:t>
      </w:r>
      <w:r>
        <w:rPr>
          <w:rFonts w:hint="eastAsia" w:ascii="宋体" w:hAnsi="宋体"/>
          <w:b/>
          <w:sz w:val="30"/>
          <w:szCs w:val="30"/>
          <w:highlight w:val="none"/>
        </w:rPr>
        <w:t xml:space="preserve"> 广东中采招标有限公司</w:t>
      </w:r>
    </w:p>
    <w:p>
      <w:pPr>
        <w:adjustRightInd w:val="0"/>
        <w:ind w:left="672" w:leftChars="-171" w:hanging="1031" w:hangingChars="321"/>
        <w:rPr>
          <w:rFonts w:ascii="宋体" w:hAnsi="宋体"/>
          <w:b/>
          <w:sz w:val="32"/>
          <w:szCs w:val="32"/>
          <w:highlight w:val="none"/>
        </w:rPr>
      </w:pPr>
    </w:p>
    <w:p>
      <w:pPr>
        <w:adjustRightInd w:val="0"/>
        <w:jc w:val="center"/>
        <w:rPr>
          <w:rFonts w:ascii="宋体" w:hAnsi="宋体"/>
          <w:b/>
          <w:sz w:val="32"/>
          <w:szCs w:val="32"/>
          <w:highlight w:val="none"/>
        </w:rPr>
      </w:pPr>
      <w:r>
        <w:rPr>
          <w:rFonts w:hint="eastAsia" w:ascii="宋体" w:hAnsi="宋体"/>
          <w:b/>
          <w:sz w:val="32"/>
          <w:szCs w:val="32"/>
          <w:highlight w:val="none"/>
        </w:rPr>
        <w:t>2019年10月</w:t>
      </w:r>
    </w:p>
    <w:p>
      <w:pPr>
        <w:adjustRightInd w:val="0"/>
        <w:ind w:left="540" w:leftChars="257" w:firstLine="3502" w:firstLineChars="1090"/>
        <w:rPr>
          <w:rFonts w:ascii="宋体" w:hAnsi="宋体"/>
          <w:b/>
          <w:sz w:val="32"/>
          <w:szCs w:val="32"/>
          <w:highlight w:val="none"/>
        </w:rPr>
      </w:pPr>
    </w:p>
    <w:p>
      <w:pPr>
        <w:pStyle w:val="225"/>
        <w:tabs>
          <w:tab w:val="left" w:pos="0"/>
          <w:tab w:val="clear" w:pos="432"/>
        </w:tabs>
        <w:ind w:left="0" w:firstLine="0"/>
        <w:jc w:val="center"/>
        <w:rPr>
          <w:sz w:val="28"/>
          <w:szCs w:val="28"/>
          <w:highlight w:val="none"/>
          <w:lang w:val="zh-CN" w:eastAsia="zh-CN"/>
        </w:rPr>
        <w:sectPr>
          <w:headerReference r:id="rId3" w:type="default"/>
          <w:pgSz w:w="11906" w:h="16838"/>
          <w:pgMar w:top="1474" w:right="1474" w:bottom="1474" w:left="1474" w:header="113" w:footer="851" w:gutter="0"/>
          <w:cols w:space="720" w:num="1"/>
          <w:docGrid w:type="lines" w:linePitch="312" w:charSpace="0"/>
        </w:sectPr>
      </w:pPr>
    </w:p>
    <w:p>
      <w:pPr>
        <w:pStyle w:val="225"/>
        <w:tabs>
          <w:tab w:val="left" w:pos="0"/>
          <w:tab w:val="clear" w:pos="432"/>
        </w:tabs>
        <w:ind w:left="0" w:firstLine="0"/>
        <w:jc w:val="center"/>
        <w:rPr>
          <w:sz w:val="28"/>
          <w:szCs w:val="28"/>
          <w:highlight w:val="none"/>
          <w:lang w:eastAsia="zh-CN"/>
        </w:rPr>
      </w:pPr>
      <w:r>
        <w:rPr>
          <w:sz w:val="28"/>
          <w:szCs w:val="28"/>
          <w:highlight w:val="none"/>
          <w:lang w:val="zh-CN" w:eastAsia="zh-CN"/>
        </w:rPr>
        <w:t>目录</w:t>
      </w:r>
    </w:p>
    <w:p>
      <w:pPr>
        <w:pStyle w:val="28"/>
        <w:tabs>
          <w:tab w:val="right" w:leader="dot" w:pos="8958"/>
        </w:tabs>
        <w:rPr>
          <w:rFonts w:ascii="宋体" w:hAnsi="宋体"/>
          <w:b w:val="0"/>
          <w:bCs w:val="0"/>
          <w:caps w:val="0"/>
          <w:smallCaps/>
          <w:szCs w:val="24"/>
          <w:highlight w:val="none"/>
        </w:rPr>
      </w:pP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 TOC \o "1-3" \h \z \u </w:instrText>
      </w:r>
      <w:r>
        <w:rPr>
          <w:rFonts w:ascii="宋体" w:hAnsi="宋体"/>
          <w:b w:val="0"/>
          <w:bCs w:val="0"/>
          <w:caps w:val="0"/>
          <w:smallCaps/>
          <w:szCs w:val="24"/>
          <w:highlight w:val="none"/>
        </w:rPr>
        <w:fldChar w:fldCharType="separate"/>
      </w: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HYPERLINK \l "_Toc3971"</w:instrText>
      </w:r>
      <w:r>
        <w:rPr>
          <w:rFonts w:ascii="宋体" w:hAnsi="宋体"/>
          <w:b w:val="0"/>
          <w:bCs w:val="0"/>
          <w:caps w:val="0"/>
          <w:smallCaps/>
          <w:szCs w:val="24"/>
          <w:highlight w:val="none"/>
        </w:rPr>
        <w:fldChar w:fldCharType="separate"/>
      </w:r>
      <w:r>
        <w:rPr>
          <w:rFonts w:hint="eastAsia" w:ascii="宋体" w:hAnsi="宋体" w:cs="Times New Roman"/>
          <w:b w:val="0"/>
          <w:bCs w:val="0"/>
          <w:caps w:val="0"/>
          <w:smallCaps/>
          <w:szCs w:val="24"/>
          <w:highlight w:val="none"/>
        </w:rPr>
        <w:t>第一章  招标公告</w:t>
      </w:r>
      <w:r>
        <w:rPr>
          <w:rFonts w:ascii="宋体" w:hAnsi="宋体"/>
          <w:b w:val="0"/>
          <w:bCs w:val="0"/>
          <w:caps w:val="0"/>
          <w:smallCaps/>
          <w:szCs w:val="24"/>
          <w:highlight w:val="none"/>
        </w:rPr>
        <w:tab/>
      </w: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 PAGEREF _Toc3971 </w:instrText>
      </w:r>
      <w:r>
        <w:rPr>
          <w:rFonts w:ascii="宋体" w:hAnsi="宋体"/>
          <w:b w:val="0"/>
          <w:bCs w:val="0"/>
          <w:caps w:val="0"/>
          <w:smallCaps/>
          <w:szCs w:val="24"/>
          <w:highlight w:val="none"/>
        </w:rPr>
        <w:fldChar w:fldCharType="separate"/>
      </w:r>
      <w:r>
        <w:rPr>
          <w:rFonts w:ascii="宋体" w:hAnsi="宋体"/>
          <w:b w:val="0"/>
          <w:bCs w:val="0"/>
          <w:caps w:val="0"/>
          <w:smallCaps/>
          <w:szCs w:val="24"/>
          <w:highlight w:val="none"/>
        </w:rPr>
        <w:t>4</w:t>
      </w:r>
      <w:r>
        <w:rPr>
          <w:rFonts w:ascii="宋体" w:hAnsi="宋体"/>
          <w:b w:val="0"/>
          <w:bCs w:val="0"/>
          <w:caps w:val="0"/>
          <w:smallCaps/>
          <w:szCs w:val="24"/>
          <w:highlight w:val="none"/>
        </w:rPr>
        <w:fldChar w:fldCharType="end"/>
      </w:r>
      <w:r>
        <w:rPr>
          <w:rFonts w:ascii="宋体" w:hAnsi="宋体"/>
          <w:b w:val="0"/>
          <w:bCs w:val="0"/>
          <w:caps w:val="0"/>
          <w:smallCaps/>
          <w:szCs w:val="24"/>
          <w:highlight w:val="none"/>
        </w:rPr>
        <w:fldChar w:fldCharType="end"/>
      </w:r>
    </w:p>
    <w:p>
      <w:pPr>
        <w:pStyle w:val="28"/>
        <w:tabs>
          <w:tab w:val="right" w:leader="dot" w:pos="8958"/>
        </w:tabs>
        <w:rPr>
          <w:rFonts w:ascii="宋体" w:hAnsi="宋体"/>
          <w:b w:val="0"/>
          <w:bCs w:val="0"/>
          <w:caps w:val="0"/>
          <w:smallCaps/>
          <w:szCs w:val="24"/>
          <w:highlight w:val="none"/>
        </w:rPr>
      </w:pP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HYPERLINK \l "_Toc23278"</w:instrText>
      </w:r>
      <w:r>
        <w:rPr>
          <w:rFonts w:ascii="宋体" w:hAnsi="宋体"/>
          <w:b w:val="0"/>
          <w:bCs w:val="0"/>
          <w:caps w:val="0"/>
          <w:smallCaps/>
          <w:szCs w:val="24"/>
          <w:highlight w:val="none"/>
        </w:rPr>
        <w:fldChar w:fldCharType="separate"/>
      </w:r>
      <w:r>
        <w:rPr>
          <w:rFonts w:hint="eastAsia" w:ascii="宋体" w:hAnsi="宋体" w:cs="Times New Roman"/>
          <w:b w:val="0"/>
          <w:bCs w:val="0"/>
          <w:caps w:val="0"/>
          <w:smallCaps/>
          <w:szCs w:val="24"/>
          <w:highlight w:val="none"/>
        </w:rPr>
        <w:t>第二章  投标人须知</w:t>
      </w:r>
      <w:r>
        <w:rPr>
          <w:rFonts w:ascii="宋体" w:hAnsi="宋体"/>
          <w:b w:val="0"/>
          <w:bCs w:val="0"/>
          <w:caps w:val="0"/>
          <w:smallCaps/>
          <w:szCs w:val="24"/>
          <w:highlight w:val="none"/>
        </w:rPr>
        <w:tab/>
      </w: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 PAGEREF _Toc23278 </w:instrText>
      </w:r>
      <w:r>
        <w:rPr>
          <w:rFonts w:ascii="宋体" w:hAnsi="宋体"/>
          <w:b w:val="0"/>
          <w:bCs w:val="0"/>
          <w:caps w:val="0"/>
          <w:smallCaps/>
          <w:szCs w:val="24"/>
          <w:highlight w:val="none"/>
        </w:rPr>
        <w:fldChar w:fldCharType="separate"/>
      </w:r>
      <w:r>
        <w:rPr>
          <w:rFonts w:ascii="宋体" w:hAnsi="宋体"/>
          <w:b w:val="0"/>
          <w:bCs w:val="0"/>
          <w:caps w:val="0"/>
          <w:smallCaps/>
          <w:szCs w:val="24"/>
          <w:highlight w:val="none"/>
        </w:rPr>
        <w:t>7</w:t>
      </w:r>
      <w:r>
        <w:rPr>
          <w:rFonts w:ascii="宋体" w:hAnsi="宋体"/>
          <w:b w:val="0"/>
          <w:bCs w:val="0"/>
          <w:caps w:val="0"/>
          <w:smallCaps/>
          <w:szCs w:val="24"/>
          <w:highlight w:val="none"/>
        </w:rPr>
        <w:fldChar w:fldCharType="end"/>
      </w:r>
      <w:r>
        <w:rPr>
          <w:rFonts w:ascii="宋体" w:hAnsi="宋体"/>
          <w:b w:val="0"/>
          <w:bCs w:val="0"/>
          <w:caps w:val="0"/>
          <w:smallCaps/>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"_Toc27501"</w:instrText>
      </w:r>
      <w:r>
        <w:rPr>
          <w:rFonts w:ascii="宋体" w:hAnsi="宋体"/>
          <w:szCs w:val="24"/>
          <w:highlight w:val="none"/>
        </w:rPr>
        <w:fldChar w:fldCharType="separate"/>
      </w:r>
      <w:r>
        <w:rPr>
          <w:rFonts w:hint="eastAsia" w:ascii="宋体" w:hAnsi="宋体"/>
          <w:szCs w:val="24"/>
          <w:highlight w:val="none"/>
        </w:rPr>
        <w:t>一、投标人须知前附表</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_Toc27501 </w:instrText>
      </w:r>
      <w:r>
        <w:rPr>
          <w:rFonts w:ascii="宋体" w:hAnsi="宋体"/>
          <w:szCs w:val="24"/>
          <w:highlight w:val="none"/>
        </w:rPr>
        <w:fldChar w:fldCharType="separate"/>
      </w:r>
      <w:r>
        <w:rPr>
          <w:rFonts w:ascii="宋体" w:hAnsi="宋体"/>
          <w:szCs w:val="24"/>
          <w:highlight w:val="none"/>
        </w:rPr>
        <w:t>7</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"_Toc9630"</w:instrText>
      </w:r>
      <w:r>
        <w:rPr>
          <w:rFonts w:ascii="宋体" w:hAnsi="宋体"/>
          <w:szCs w:val="24"/>
          <w:highlight w:val="none"/>
        </w:rPr>
        <w:fldChar w:fldCharType="separate"/>
      </w:r>
      <w:r>
        <w:rPr>
          <w:rFonts w:hint="eastAsia" w:ascii="宋体" w:hAnsi="宋体" w:eastAsia="宋体"/>
          <w:szCs w:val="24"/>
          <w:highlight w:val="none"/>
        </w:rPr>
        <w:t>二、投标人须知通用条款</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_Toc9630 </w:instrText>
      </w:r>
      <w:r>
        <w:rPr>
          <w:rFonts w:ascii="宋体" w:hAnsi="宋体"/>
          <w:szCs w:val="24"/>
          <w:highlight w:val="none"/>
        </w:rPr>
        <w:fldChar w:fldCharType="separate"/>
      </w:r>
      <w:r>
        <w:rPr>
          <w:rFonts w:ascii="宋体" w:hAnsi="宋体"/>
          <w:szCs w:val="24"/>
          <w:highlight w:val="none"/>
        </w:rPr>
        <w:t>10</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"_Toc10287"</w:instrText>
      </w:r>
      <w:r>
        <w:rPr>
          <w:rFonts w:ascii="宋体" w:hAnsi="宋体"/>
          <w:szCs w:val="24"/>
          <w:highlight w:val="none"/>
        </w:rPr>
        <w:fldChar w:fldCharType="separate"/>
      </w:r>
      <w:r>
        <w:rPr>
          <w:rFonts w:hint="eastAsia" w:ascii="宋体" w:hAnsi="宋体" w:eastAsia="宋体"/>
          <w:szCs w:val="24"/>
          <w:highlight w:val="none"/>
        </w:rPr>
        <w:t>（一）总则</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_Toc10287 </w:instrText>
      </w:r>
      <w:r>
        <w:rPr>
          <w:rFonts w:ascii="宋体" w:hAnsi="宋体"/>
          <w:szCs w:val="24"/>
          <w:highlight w:val="none"/>
        </w:rPr>
        <w:fldChar w:fldCharType="separate"/>
      </w:r>
      <w:r>
        <w:rPr>
          <w:rFonts w:ascii="宋体" w:hAnsi="宋体"/>
          <w:szCs w:val="24"/>
          <w:highlight w:val="none"/>
        </w:rPr>
        <w:t>10</w:t>
      </w:r>
      <w:r>
        <w:rPr>
          <w:rFonts w:ascii="宋体" w:hAnsi="宋体"/>
          <w:szCs w:val="24"/>
          <w:highlight w:val="none"/>
        </w:rPr>
        <w:fldChar w:fldCharType="end"/>
      </w:r>
      <w:r>
        <w:rPr>
          <w:rFonts w:ascii="宋体" w:hAnsi="宋体"/>
          <w:szCs w:val="24"/>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"_Toc28805"</w:instrText>
      </w:r>
      <w:r>
        <w:rPr>
          <w:rFonts w:ascii="宋体" w:hAnsi="宋体"/>
          <w:smallCaps/>
          <w:sz w:val="20"/>
          <w:highlight w:val="none"/>
        </w:rPr>
        <w:fldChar w:fldCharType="separate"/>
      </w:r>
      <w:r>
        <w:rPr>
          <w:rFonts w:ascii="宋体" w:hAnsi="宋体"/>
          <w:smallCaps/>
          <w:sz w:val="20"/>
          <w:highlight w:val="none"/>
        </w:rPr>
        <w:t xml:space="preserve">1. </w:t>
      </w:r>
      <w:r>
        <w:rPr>
          <w:rFonts w:hint="eastAsia" w:ascii="宋体" w:hAnsi="宋体" w:eastAsia="宋体"/>
          <w:smallCaps/>
          <w:sz w:val="20"/>
          <w:szCs w:val="24"/>
          <w:highlight w:val="none"/>
        </w:rPr>
        <w:t>适用范围</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_Toc28805 </w:instrText>
      </w:r>
      <w:r>
        <w:rPr>
          <w:rFonts w:ascii="宋体" w:hAnsi="宋体"/>
          <w:smallCaps/>
          <w:sz w:val="20"/>
          <w:highlight w:val="none"/>
        </w:rPr>
        <w:fldChar w:fldCharType="separate"/>
      </w:r>
      <w:r>
        <w:rPr>
          <w:rFonts w:ascii="宋体" w:hAnsi="宋体"/>
          <w:smallCaps/>
          <w:sz w:val="20"/>
          <w:highlight w:val="none"/>
        </w:rPr>
        <w:t>10</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"_Toc15638"</w:instrText>
      </w:r>
      <w:r>
        <w:rPr>
          <w:rFonts w:ascii="宋体" w:hAnsi="宋体"/>
          <w:smallCaps/>
          <w:sz w:val="20"/>
          <w:highlight w:val="none"/>
        </w:rPr>
        <w:fldChar w:fldCharType="separate"/>
      </w:r>
      <w:r>
        <w:rPr>
          <w:rFonts w:ascii="宋体" w:hAnsi="宋体"/>
          <w:smallCaps/>
          <w:sz w:val="20"/>
          <w:highlight w:val="none"/>
        </w:rPr>
        <w:t xml:space="preserve">2. </w:t>
      </w:r>
      <w:r>
        <w:rPr>
          <w:rFonts w:hint="eastAsia" w:ascii="宋体" w:hAnsi="宋体" w:eastAsia="宋体"/>
          <w:smallCaps/>
          <w:sz w:val="20"/>
          <w:szCs w:val="24"/>
          <w:highlight w:val="none"/>
        </w:rPr>
        <w:t>项目说明</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_Toc15638 </w:instrText>
      </w:r>
      <w:r>
        <w:rPr>
          <w:rFonts w:ascii="宋体" w:hAnsi="宋体"/>
          <w:smallCaps/>
          <w:sz w:val="20"/>
          <w:highlight w:val="none"/>
        </w:rPr>
        <w:fldChar w:fldCharType="separate"/>
      </w:r>
      <w:r>
        <w:rPr>
          <w:rFonts w:ascii="宋体" w:hAnsi="宋体"/>
          <w:smallCaps/>
          <w:sz w:val="20"/>
          <w:highlight w:val="none"/>
        </w:rPr>
        <w:t>10</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"_Toc26009"</w:instrText>
      </w:r>
      <w:r>
        <w:rPr>
          <w:rFonts w:ascii="宋体" w:hAnsi="宋体"/>
          <w:smallCaps/>
          <w:sz w:val="20"/>
          <w:highlight w:val="none"/>
        </w:rPr>
        <w:fldChar w:fldCharType="separate"/>
      </w:r>
      <w:r>
        <w:rPr>
          <w:rFonts w:ascii="宋体" w:hAnsi="宋体"/>
          <w:smallCaps/>
          <w:sz w:val="20"/>
          <w:highlight w:val="none"/>
        </w:rPr>
        <w:t xml:space="preserve">3. </w:t>
      </w:r>
      <w:r>
        <w:rPr>
          <w:rFonts w:hint="eastAsia" w:ascii="宋体" w:hAnsi="宋体" w:eastAsia="宋体"/>
          <w:smallCaps/>
          <w:sz w:val="20"/>
          <w:szCs w:val="24"/>
          <w:highlight w:val="none"/>
        </w:rPr>
        <w:t>定义及解释</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_Toc26009 </w:instrText>
      </w:r>
      <w:r>
        <w:rPr>
          <w:rFonts w:ascii="宋体" w:hAnsi="宋体"/>
          <w:smallCaps/>
          <w:sz w:val="20"/>
          <w:highlight w:val="none"/>
        </w:rPr>
        <w:fldChar w:fldCharType="separate"/>
      </w:r>
      <w:r>
        <w:rPr>
          <w:rFonts w:ascii="宋体" w:hAnsi="宋体"/>
          <w:smallCaps/>
          <w:sz w:val="20"/>
          <w:highlight w:val="none"/>
        </w:rPr>
        <w:t>10</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"_Toc1178"</w:instrText>
      </w:r>
      <w:r>
        <w:rPr>
          <w:rFonts w:ascii="宋体" w:hAnsi="宋体"/>
          <w:smallCaps/>
          <w:sz w:val="20"/>
          <w:highlight w:val="none"/>
        </w:rPr>
        <w:fldChar w:fldCharType="separate"/>
      </w:r>
      <w:r>
        <w:rPr>
          <w:rFonts w:ascii="宋体" w:hAnsi="宋体"/>
          <w:smallCaps/>
          <w:sz w:val="20"/>
          <w:highlight w:val="none"/>
        </w:rPr>
        <w:t xml:space="preserve">4. </w:t>
      </w:r>
      <w:r>
        <w:rPr>
          <w:rFonts w:hint="eastAsia" w:ascii="宋体" w:hAnsi="宋体" w:eastAsia="宋体"/>
          <w:smallCaps/>
          <w:sz w:val="20"/>
          <w:szCs w:val="24"/>
          <w:highlight w:val="none"/>
        </w:rPr>
        <w:t>招标采购</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_Toc1178 </w:instrText>
      </w:r>
      <w:r>
        <w:rPr>
          <w:rFonts w:ascii="宋体" w:hAnsi="宋体"/>
          <w:smallCaps/>
          <w:sz w:val="20"/>
          <w:highlight w:val="none"/>
        </w:rPr>
        <w:fldChar w:fldCharType="separate"/>
      </w:r>
      <w:r>
        <w:rPr>
          <w:rFonts w:ascii="宋体" w:hAnsi="宋体"/>
          <w:smallCaps/>
          <w:sz w:val="20"/>
          <w:highlight w:val="none"/>
        </w:rPr>
        <w:t>10</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"_Toc21608"</w:instrText>
      </w:r>
      <w:r>
        <w:rPr>
          <w:rFonts w:ascii="宋体" w:hAnsi="宋体"/>
          <w:smallCaps/>
          <w:sz w:val="20"/>
          <w:highlight w:val="none"/>
        </w:rPr>
        <w:fldChar w:fldCharType="separate"/>
      </w:r>
      <w:r>
        <w:rPr>
          <w:rFonts w:ascii="宋体" w:hAnsi="宋体"/>
          <w:smallCaps/>
          <w:sz w:val="20"/>
          <w:highlight w:val="none"/>
        </w:rPr>
        <w:t xml:space="preserve">5. </w:t>
      </w:r>
      <w:r>
        <w:rPr>
          <w:rFonts w:hint="eastAsia" w:ascii="宋体" w:hAnsi="宋体" w:eastAsia="宋体"/>
          <w:smallCaps/>
          <w:sz w:val="20"/>
          <w:szCs w:val="24"/>
          <w:highlight w:val="none"/>
        </w:rPr>
        <w:t>合格的投标人条件</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_Toc21608 </w:instrText>
      </w:r>
      <w:r>
        <w:rPr>
          <w:rFonts w:ascii="宋体" w:hAnsi="宋体"/>
          <w:smallCaps/>
          <w:sz w:val="20"/>
          <w:highlight w:val="none"/>
        </w:rPr>
        <w:fldChar w:fldCharType="separate"/>
      </w:r>
      <w:r>
        <w:rPr>
          <w:rFonts w:ascii="宋体" w:hAnsi="宋体"/>
          <w:smallCaps/>
          <w:sz w:val="20"/>
          <w:highlight w:val="none"/>
        </w:rPr>
        <w:t>10</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"_Toc15166"</w:instrText>
      </w:r>
      <w:r>
        <w:rPr>
          <w:rFonts w:ascii="宋体" w:hAnsi="宋体"/>
          <w:smallCaps/>
          <w:sz w:val="20"/>
          <w:highlight w:val="none"/>
        </w:rPr>
        <w:fldChar w:fldCharType="separate"/>
      </w:r>
      <w:r>
        <w:rPr>
          <w:rFonts w:ascii="宋体" w:hAnsi="宋体"/>
          <w:smallCaps/>
          <w:sz w:val="20"/>
          <w:highlight w:val="none"/>
        </w:rPr>
        <w:t xml:space="preserve">6. </w:t>
      </w:r>
      <w:r>
        <w:rPr>
          <w:rFonts w:hint="eastAsia" w:ascii="宋体" w:hAnsi="宋体" w:eastAsia="宋体"/>
          <w:smallCaps/>
          <w:sz w:val="20"/>
          <w:szCs w:val="24"/>
          <w:highlight w:val="none"/>
        </w:rPr>
        <w:t>合格的服务</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_Toc15166 </w:instrText>
      </w:r>
      <w:r>
        <w:rPr>
          <w:rFonts w:ascii="宋体" w:hAnsi="宋体"/>
          <w:smallCaps/>
          <w:sz w:val="20"/>
          <w:highlight w:val="none"/>
        </w:rPr>
        <w:fldChar w:fldCharType="separate"/>
      </w:r>
      <w:r>
        <w:rPr>
          <w:rFonts w:ascii="宋体" w:hAnsi="宋体"/>
          <w:smallCaps/>
          <w:sz w:val="20"/>
          <w:highlight w:val="none"/>
        </w:rPr>
        <w:t>10</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"_Toc11753"</w:instrText>
      </w:r>
      <w:r>
        <w:rPr>
          <w:rFonts w:ascii="宋体" w:hAnsi="宋体"/>
          <w:smallCaps/>
          <w:sz w:val="20"/>
          <w:highlight w:val="none"/>
        </w:rPr>
        <w:fldChar w:fldCharType="separate"/>
      </w:r>
      <w:r>
        <w:rPr>
          <w:rFonts w:ascii="宋体" w:hAnsi="宋体"/>
          <w:smallCaps/>
          <w:sz w:val="20"/>
          <w:highlight w:val="none"/>
        </w:rPr>
        <w:t xml:space="preserve">7. </w:t>
      </w:r>
      <w:r>
        <w:rPr>
          <w:rFonts w:hint="eastAsia" w:ascii="宋体" w:hAnsi="宋体" w:eastAsia="宋体"/>
          <w:smallCaps/>
          <w:sz w:val="20"/>
          <w:szCs w:val="24"/>
          <w:highlight w:val="none"/>
        </w:rPr>
        <w:t>纪律与保密事项</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_Toc11753 </w:instrText>
      </w:r>
      <w:r>
        <w:rPr>
          <w:rFonts w:ascii="宋体" w:hAnsi="宋体"/>
          <w:smallCaps/>
          <w:sz w:val="20"/>
          <w:highlight w:val="none"/>
        </w:rPr>
        <w:fldChar w:fldCharType="separate"/>
      </w:r>
      <w:r>
        <w:rPr>
          <w:rFonts w:ascii="宋体" w:hAnsi="宋体"/>
          <w:smallCaps/>
          <w:sz w:val="20"/>
          <w:highlight w:val="none"/>
        </w:rPr>
        <w:t>10</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"_Toc8856"</w:instrText>
      </w:r>
      <w:r>
        <w:rPr>
          <w:rFonts w:ascii="宋体" w:hAnsi="宋体"/>
          <w:smallCaps/>
          <w:sz w:val="20"/>
          <w:highlight w:val="none"/>
        </w:rPr>
        <w:fldChar w:fldCharType="separate"/>
      </w:r>
      <w:r>
        <w:rPr>
          <w:rFonts w:ascii="宋体" w:hAnsi="宋体"/>
          <w:smallCaps/>
          <w:sz w:val="20"/>
          <w:highlight w:val="none"/>
        </w:rPr>
        <w:t xml:space="preserve">8. </w:t>
      </w:r>
      <w:r>
        <w:rPr>
          <w:rFonts w:hint="eastAsia" w:ascii="宋体" w:hAnsi="宋体" w:eastAsia="宋体"/>
          <w:smallCaps/>
          <w:sz w:val="20"/>
          <w:szCs w:val="24"/>
          <w:highlight w:val="none"/>
        </w:rPr>
        <w:t>投标人知悉</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_Toc8856 </w:instrText>
      </w:r>
      <w:r>
        <w:rPr>
          <w:rFonts w:ascii="宋体" w:hAnsi="宋体"/>
          <w:smallCaps/>
          <w:sz w:val="20"/>
          <w:highlight w:val="none"/>
        </w:rPr>
        <w:fldChar w:fldCharType="separate"/>
      </w:r>
      <w:r>
        <w:rPr>
          <w:rFonts w:ascii="宋体" w:hAnsi="宋体"/>
          <w:smallCaps/>
          <w:sz w:val="20"/>
          <w:highlight w:val="none"/>
        </w:rPr>
        <w:t>11</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"_Toc22507"</w:instrText>
      </w:r>
      <w:r>
        <w:rPr>
          <w:rFonts w:ascii="宋体" w:hAnsi="宋体"/>
          <w:smallCaps/>
          <w:sz w:val="20"/>
          <w:highlight w:val="none"/>
        </w:rPr>
        <w:fldChar w:fldCharType="separate"/>
      </w:r>
      <w:r>
        <w:rPr>
          <w:rFonts w:ascii="宋体" w:hAnsi="宋体"/>
          <w:smallCaps/>
          <w:sz w:val="20"/>
          <w:highlight w:val="none"/>
        </w:rPr>
        <w:t xml:space="preserve">9. </w:t>
      </w:r>
      <w:r>
        <w:rPr>
          <w:rFonts w:hint="eastAsia" w:ascii="宋体" w:hAnsi="宋体" w:eastAsia="宋体"/>
          <w:smallCaps/>
          <w:sz w:val="20"/>
          <w:szCs w:val="24"/>
          <w:highlight w:val="none"/>
        </w:rPr>
        <w:t>投标费用</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_Toc22507 </w:instrText>
      </w:r>
      <w:r>
        <w:rPr>
          <w:rFonts w:ascii="宋体" w:hAnsi="宋体"/>
          <w:smallCaps/>
          <w:sz w:val="20"/>
          <w:highlight w:val="none"/>
        </w:rPr>
        <w:fldChar w:fldCharType="separate"/>
      </w:r>
      <w:r>
        <w:rPr>
          <w:rFonts w:ascii="宋体" w:hAnsi="宋体"/>
          <w:smallCaps/>
          <w:sz w:val="20"/>
          <w:highlight w:val="none"/>
        </w:rPr>
        <w:t>11</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"_Toc20861"</w:instrText>
      </w:r>
      <w:r>
        <w:rPr>
          <w:rFonts w:ascii="宋体" w:hAnsi="宋体"/>
          <w:smallCaps/>
          <w:sz w:val="20"/>
          <w:highlight w:val="none"/>
        </w:rPr>
        <w:fldChar w:fldCharType="separate"/>
      </w:r>
      <w:r>
        <w:rPr>
          <w:rFonts w:ascii="宋体" w:hAnsi="宋体"/>
          <w:smallCaps/>
          <w:sz w:val="20"/>
          <w:highlight w:val="none"/>
        </w:rPr>
        <w:t xml:space="preserve">10. </w:t>
      </w:r>
      <w:r>
        <w:rPr>
          <w:rFonts w:hint="eastAsia" w:ascii="宋体" w:hAnsi="宋体" w:eastAsia="宋体"/>
          <w:smallCaps/>
          <w:sz w:val="20"/>
          <w:szCs w:val="24"/>
          <w:highlight w:val="none"/>
        </w:rPr>
        <w:t>保证</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_Toc20861 </w:instrText>
      </w:r>
      <w:r>
        <w:rPr>
          <w:rFonts w:ascii="宋体" w:hAnsi="宋体"/>
          <w:smallCaps/>
          <w:sz w:val="20"/>
          <w:highlight w:val="none"/>
        </w:rPr>
        <w:fldChar w:fldCharType="separate"/>
      </w:r>
      <w:r>
        <w:rPr>
          <w:rFonts w:ascii="宋体" w:hAnsi="宋体"/>
          <w:smallCaps/>
          <w:sz w:val="20"/>
          <w:highlight w:val="none"/>
        </w:rPr>
        <w:t>11</w:t>
      </w:r>
      <w:r>
        <w:rPr>
          <w:rFonts w:ascii="宋体" w:hAnsi="宋体"/>
          <w:smallCaps/>
          <w:sz w:val="20"/>
          <w:highlight w:val="none"/>
        </w:rPr>
        <w:fldChar w:fldCharType="end"/>
      </w:r>
      <w:r>
        <w:rPr>
          <w:rFonts w:ascii="宋体" w:hAnsi="宋体"/>
          <w:smallCaps/>
          <w:sz w:val="20"/>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"_Toc17058"</w:instrText>
      </w:r>
      <w:r>
        <w:rPr>
          <w:rFonts w:ascii="宋体" w:hAnsi="宋体"/>
          <w:szCs w:val="24"/>
          <w:highlight w:val="none"/>
        </w:rPr>
        <w:fldChar w:fldCharType="separate"/>
      </w:r>
      <w:r>
        <w:rPr>
          <w:rFonts w:hint="eastAsia" w:ascii="宋体" w:hAnsi="宋体" w:eastAsia="宋体" w:cs="Times New Roman"/>
          <w:szCs w:val="24"/>
          <w:highlight w:val="none"/>
        </w:rPr>
        <w:t>（二）招标文件</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_Toc17058 </w:instrText>
      </w:r>
      <w:r>
        <w:rPr>
          <w:rFonts w:ascii="宋体" w:hAnsi="宋体"/>
          <w:szCs w:val="24"/>
          <w:highlight w:val="none"/>
        </w:rPr>
        <w:fldChar w:fldCharType="separate"/>
      </w:r>
      <w:r>
        <w:rPr>
          <w:rFonts w:ascii="宋体" w:hAnsi="宋体"/>
          <w:szCs w:val="24"/>
          <w:highlight w:val="none"/>
        </w:rPr>
        <w:t>11</w:t>
      </w:r>
      <w:r>
        <w:rPr>
          <w:rFonts w:ascii="宋体" w:hAnsi="宋体"/>
          <w:szCs w:val="24"/>
          <w:highlight w:val="none"/>
        </w:rPr>
        <w:fldChar w:fldCharType="end"/>
      </w:r>
      <w:r>
        <w:rPr>
          <w:rFonts w:ascii="宋体" w:hAnsi="宋体"/>
          <w:szCs w:val="24"/>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"_Toc25971"</w:instrText>
      </w:r>
      <w:r>
        <w:rPr>
          <w:rFonts w:ascii="宋体" w:hAnsi="宋体"/>
          <w:smallCaps/>
          <w:sz w:val="20"/>
          <w:highlight w:val="none"/>
        </w:rPr>
        <w:fldChar w:fldCharType="separate"/>
      </w:r>
      <w:r>
        <w:rPr>
          <w:rFonts w:ascii="宋体" w:hAnsi="宋体"/>
          <w:smallCaps/>
          <w:sz w:val="20"/>
          <w:highlight w:val="none"/>
        </w:rPr>
        <w:t xml:space="preserve">11. </w:t>
      </w:r>
      <w:r>
        <w:rPr>
          <w:rFonts w:hint="eastAsia" w:ascii="宋体" w:hAnsi="宋体" w:eastAsia="宋体"/>
          <w:smallCaps/>
          <w:sz w:val="20"/>
          <w:szCs w:val="24"/>
          <w:highlight w:val="none"/>
        </w:rPr>
        <w:t>招标文件构成</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_Toc25971 </w:instrText>
      </w:r>
      <w:r>
        <w:rPr>
          <w:rFonts w:ascii="宋体" w:hAnsi="宋体"/>
          <w:smallCaps/>
          <w:sz w:val="20"/>
          <w:highlight w:val="none"/>
        </w:rPr>
        <w:fldChar w:fldCharType="separate"/>
      </w:r>
      <w:r>
        <w:rPr>
          <w:rFonts w:ascii="宋体" w:hAnsi="宋体"/>
          <w:smallCaps/>
          <w:sz w:val="20"/>
          <w:highlight w:val="none"/>
        </w:rPr>
        <w:t>11</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"_Toc32050"</w:instrText>
      </w:r>
      <w:r>
        <w:rPr>
          <w:rFonts w:ascii="宋体" w:hAnsi="宋体"/>
          <w:smallCaps/>
          <w:sz w:val="20"/>
          <w:highlight w:val="none"/>
        </w:rPr>
        <w:fldChar w:fldCharType="separate"/>
      </w:r>
      <w:r>
        <w:rPr>
          <w:rFonts w:ascii="宋体" w:hAnsi="宋体"/>
          <w:smallCaps/>
          <w:sz w:val="20"/>
          <w:highlight w:val="none"/>
        </w:rPr>
        <w:t xml:space="preserve">12. </w:t>
      </w:r>
      <w:r>
        <w:rPr>
          <w:rFonts w:hint="eastAsia" w:ascii="宋体" w:hAnsi="宋体" w:eastAsia="宋体"/>
          <w:smallCaps/>
          <w:sz w:val="20"/>
          <w:szCs w:val="24"/>
          <w:highlight w:val="none"/>
        </w:rPr>
        <w:t>招标语言</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_Toc32050 </w:instrText>
      </w:r>
      <w:r>
        <w:rPr>
          <w:rFonts w:ascii="宋体" w:hAnsi="宋体"/>
          <w:smallCaps/>
          <w:sz w:val="20"/>
          <w:highlight w:val="none"/>
        </w:rPr>
        <w:fldChar w:fldCharType="separate"/>
      </w:r>
      <w:r>
        <w:rPr>
          <w:rFonts w:ascii="宋体" w:hAnsi="宋体"/>
          <w:smallCaps/>
          <w:sz w:val="20"/>
          <w:highlight w:val="none"/>
        </w:rPr>
        <w:t>12</w:t>
      </w:r>
      <w:r>
        <w:rPr>
          <w:rFonts w:ascii="宋体" w:hAnsi="宋体"/>
          <w:smallCaps/>
          <w:sz w:val="20"/>
          <w:highlight w:val="none"/>
        </w:rPr>
        <w:fldChar w:fldCharType="end"/>
      </w:r>
      <w:r>
        <w:rPr>
          <w:rFonts w:ascii="宋体" w:hAnsi="宋体"/>
          <w:smallCaps/>
          <w:sz w:val="20"/>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"_Toc1357"</w:instrText>
      </w:r>
      <w:r>
        <w:rPr>
          <w:rFonts w:ascii="宋体" w:hAnsi="宋体"/>
          <w:szCs w:val="24"/>
          <w:highlight w:val="none"/>
        </w:rPr>
        <w:fldChar w:fldCharType="separate"/>
      </w:r>
      <w:r>
        <w:rPr>
          <w:rFonts w:hint="eastAsia" w:ascii="宋体" w:hAnsi="宋体" w:eastAsia="宋体"/>
          <w:szCs w:val="24"/>
          <w:highlight w:val="none"/>
        </w:rPr>
        <w:t>（三）投标文件的编制</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_Toc1357 </w:instrText>
      </w:r>
      <w:r>
        <w:rPr>
          <w:rFonts w:ascii="宋体" w:hAnsi="宋体"/>
          <w:szCs w:val="24"/>
          <w:highlight w:val="none"/>
        </w:rPr>
        <w:fldChar w:fldCharType="separate"/>
      </w:r>
      <w:r>
        <w:rPr>
          <w:rFonts w:ascii="宋体" w:hAnsi="宋体"/>
          <w:szCs w:val="24"/>
          <w:highlight w:val="none"/>
        </w:rPr>
        <w:t>12</w:t>
      </w:r>
      <w:r>
        <w:rPr>
          <w:rFonts w:ascii="宋体" w:hAnsi="宋体"/>
          <w:szCs w:val="24"/>
          <w:highlight w:val="none"/>
        </w:rPr>
        <w:fldChar w:fldCharType="end"/>
      </w:r>
      <w:r>
        <w:rPr>
          <w:rFonts w:ascii="宋体" w:hAnsi="宋体"/>
          <w:szCs w:val="24"/>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"_Toc20265"</w:instrText>
      </w:r>
      <w:r>
        <w:rPr>
          <w:rFonts w:ascii="宋体" w:hAnsi="宋体"/>
          <w:smallCaps/>
          <w:sz w:val="20"/>
          <w:highlight w:val="none"/>
        </w:rPr>
        <w:fldChar w:fldCharType="separate"/>
      </w:r>
      <w:r>
        <w:rPr>
          <w:rFonts w:ascii="宋体" w:hAnsi="宋体"/>
          <w:smallCaps/>
          <w:sz w:val="20"/>
          <w:highlight w:val="none"/>
        </w:rPr>
        <w:t xml:space="preserve">13. </w:t>
      </w:r>
      <w:r>
        <w:rPr>
          <w:rFonts w:hint="eastAsia" w:ascii="宋体" w:hAnsi="宋体" w:eastAsia="宋体"/>
          <w:smallCaps/>
          <w:sz w:val="20"/>
          <w:szCs w:val="24"/>
          <w:highlight w:val="none"/>
        </w:rPr>
        <w:t>投标语言及计量</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_Toc20265 </w:instrText>
      </w:r>
      <w:r>
        <w:rPr>
          <w:rFonts w:ascii="宋体" w:hAnsi="宋体"/>
          <w:smallCaps/>
          <w:sz w:val="20"/>
          <w:highlight w:val="none"/>
        </w:rPr>
        <w:fldChar w:fldCharType="separate"/>
      </w:r>
      <w:r>
        <w:rPr>
          <w:rFonts w:ascii="宋体" w:hAnsi="宋体"/>
          <w:smallCaps/>
          <w:sz w:val="20"/>
          <w:highlight w:val="none"/>
        </w:rPr>
        <w:t>12</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"_Toc6782"</w:instrText>
      </w:r>
      <w:r>
        <w:rPr>
          <w:rFonts w:ascii="宋体" w:hAnsi="宋体"/>
          <w:smallCaps/>
          <w:sz w:val="20"/>
          <w:highlight w:val="none"/>
        </w:rPr>
        <w:fldChar w:fldCharType="separate"/>
      </w:r>
      <w:r>
        <w:rPr>
          <w:rFonts w:ascii="宋体" w:hAnsi="宋体"/>
          <w:smallCaps/>
          <w:sz w:val="20"/>
          <w:highlight w:val="none"/>
        </w:rPr>
        <w:t xml:space="preserve">14. </w:t>
      </w:r>
      <w:r>
        <w:rPr>
          <w:rFonts w:hint="eastAsia" w:ascii="宋体" w:hAnsi="宋体" w:eastAsia="宋体"/>
          <w:smallCaps/>
          <w:sz w:val="20"/>
          <w:szCs w:val="24"/>
          <w:highlight w:val="none"/>
        </w:rPr>
        <w:t>投标文件的构成</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_Toc6782 </w:instrText>
      </w:r>
      <w:r>
        <w:rPr>
          <w:rFonts w:ascii="宋体" w:hAnsi="宋体"/>
          <w:smallCaps/>
          <w:sz w:val="20"/>
          <w:highlight w:val="none"/>
        </w:rPr>
        <w:fldChar w:fldCharType="separate"/>
      </w:r>
      <w:r>
        <w:rPr>
          <w:rFonts w:ascii="宋体" w:hAnsi="宋体"/>
          <w:smallCaps/>
          <w:sz w:val="20"/>
          <w:highlight w:val="none"/>
        </w:rPr>
        <w:t>12</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"_Toc3957"</w:instrText>
      </w:r>
      <w:r>
        <w:rPr>
          <w:rFonts w:ascii="宋体" w:hAnsi="宋体"/>
          <w:smallCaps/>
          <w:sz w:val="20"/>
          <w:highlight w:val="none"/>
        </w:rPr>
        <w:fldChar w:fldCharType="separate"/>
      </w:r>
      <w:r>
        <w:rPr>
          <w:rFonts w:ascii="宋体" w:hAnsi="宋体"/>
          <w:smallCaps/>
          <w:sz w:val="20"/>
          <w:highlight w:val="none"/>
        </w:rPr>
        <w:t xml:space="preserve">15. </w:t>
      </w:r>
      <w:r>
        <w:rPr>
          <w:rFonts w:hint="eastAsia" w:ascii="宋体" w:hAnsi="宋体" w:eastAsia="宋体"/>
          <w:smallCaps/>
          <w:sz w:val="20"/>
          <w:szCs w:val="24"/>
          <w:highlight w:val="none"/>
        </w:rPr>
        <w:t>投标函</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_Toc3957 </w:instrText>
      </w:r>
      <w:r>
        <w:rPr>
          <w:rFonts w:ascii="宋体" w:hAnsi="宋体"/>
          <w:smallCaps/>
          <w:sz w:val="20"/>
          <w:highlight w:val="none"/>
        </w:rPr>
        <w:fldChar w:fldCharType="separate"/>
      </w:r>
      <w:r>
        <w:rPr>
          <w:rFonts w:ascii="宋体" w:hAnsi="宋体"/>
          <w:smallCaps/>
          <w:sz w:val="20"/>
          <w:highlight w:val="none"/>
        </w:rPr>
        <w:t>13</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"_Toc30365"</w:instrText>
      </w:r>
      <w:r>
        <w:rPr>
          <w:rFonts w:ascii="宋体" w:hAnsi="宋体"/>
          <w:smallCaps/>
          <w:sz w:val="20"/>
          <w:highlight w:val="none"/>
        </w:rPr>
        <w:fldChar w:fldCharType="separate"/>
      </w:r>
      <w:r>
        <w:rPr>
          <w:rFonts w:ascii="宋体" w:hAnsi="宋体"/>
          <w:smallCaps/>
          <w:sz w:val="20"/>
          <w:highlight w:val="none"/>
        </w:rPr>
        <w:t xml:space="preserve">16. </w:t>
      </w:r>
      <w:r>
        <w:rPr>
          <w:rFonts w:hint="eastAsia" w:ascii="宋体" w:hAnsi="宋体" w:eastAsia="宋体"/>
          <w:smallCaps/>
          <w:sz w:val="20"/>
          <w:szCs w:val="24"/>
          <w:highlight w:val="none"/>
        </w:rPr>
        <w:t>投标报价</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_Toc30365 </w:instrText>
      </w:r>
      <w:r>
        <w:rPr>
          <w:rFonts w:ascii="宋体" w:hAnsi="宋体"/>
          <w:smallCaps/>
          <w:sz w:val="20"/>
          <w:highlight w:val="none"/>
        </w:rPr>
        <w:fldChar w:fldCharType="separate"/>
      </w:r>
      <w:r>
        <w:rPr>
          <w:rFonts w:ascii="宋体" w:hAnsi="宋体"/>
          <w:smallCaps/>
          <w:sz w:val="20"/>
          <w:highlight w:val="none"/>
        </w:rPr>
        <w:t>13</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"_Toc20010"</w:instrText>
      </w:r>
      <w:r>
        <w:rPr>
          <w:rFonts w:ascii="宋体" w:hAnsi="宋体"/>
          <w:smallCaps/>
          <w:sz w:val="20"/>
          <w:highlight w:val="none"/>
        </w:rPr>
        <w:fldChar w:fldCharType="separate"/>
      </w:r>
      <w:r>
        <w:rPr>
          <w:rFonts w:ascii="宋体" w:hAnsi="宋体"/>
          <w:smallCaps/>
          <w:sz w:val="20"/>
          <w:highlight w:val="none"/>
        </w:rPr>
        <w:t xml:space="preserve">17. </w:t>
      </w:r>
      <w:r>
        <w:rPr>
          <w:rFonts w:hint="eastAsia" w:ascii="宋体" w:hAnsi="宋体" w:eastAsia="宋体"/>
          <w:smallCaps/>
          <w:sz w:val="20"/>
          <w:szCs w:val="24"/>
          <w:highlight w:val="none"/>
        </w:rPr>
        <w:t>投标货币</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_Toc20010 </w:instrText>
      </w:r>
      <w:r>
        <w:rPr>
          <w:rFonts w:ascii="宋体" w:hAnsi="宋体"/>
          <w:smallCaps/>
          <w:sz w:val="20"/>
          <w:highlight w:val="none"/>
        </w:rPr>
        <w:fldChar w:fldCharType="separate"/>
      </w:r>
      <w:r>
        <w:rPr>
          <w:rFonts w:ascii="宋体" w:hAnsi="宋体"/>
          <w:smallCaps/>
          <w:sz w:val="20"/>
          <w:highlight w:val="none"/>
        </w:rPr>
        <w:t>13</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"_Toc17123"</w:instrText>
      </w:r>
      <w:r>
        <w:rPr>
          <w:rFonts w:ascii="宋体" w:hAnsi="宋体"/>
          <w:smallCaps/>
          <w:sz w:val="20"/>
          <w:highlight w:val="none"/>
        </w:rPr>
        <w:fldChar w:fldCharType="separate"/>
      </w:r>
      <w:r>
        <w:rPr>
          <w:rFonts w:ascii="宋体" w:hAnsi="宋体"/>
          <w:smallCaps/>
          <w:sz w:val="20"/>
          <w:highlight w:val="none"/>
        </w:rPr>
        <w:t xml:space="preserve">18. </w:t>
      </w:r>
      <w:r>
        <w:rPr>
          <w:rFonts w:hint="eastAsia" w:ascii="宋体" w:hAnsi="宋体" w:eastAsia="宋体"/>
          <w:smallCaps/>
          <w:sz w:val="20"/>
          <w:szCs w:val="24"/>
          <w:highlight w:val="none"/>
        </w:rPr>
        <w:t>证明投标人资格的文件</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_Toc17123 </w:instrText>
      </w:r>
      <w:r>
        <w:rPr>
          <w:rFonts w:ascii="宋体" w:hAnsi="宋体"/>
          <w:smallCaps/>
          <w:sz w:val="20"/>
          <w:highlight w:val="none"/>
        </w:rPr>
        <w:fldChar w:fldCharType="separate"/>
      </w:r>
      <w:r>
        <w:rPr>
          <w:rFonts w:ascii="宋体" w:hAnsi="宋体"/>
          <w:smallCaps/>
          <w:sz w:val="20"/>
          <w:highlight w:val="none"/>
        </w:rPr>
        <w:t>13</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"_Toc19277"</w:instrText>
      </w:r>
      <w:r>
        <w:rPr>
          <w:rFonts w:ascii="宋体" w:hAnsi="宋体"/>
          <w:smallCaps/>
          <w:sz w:val="20"/>
          <w:highlight w:val="none"/>
        </w:rPr>
        <w:fldChar w:fldCharType="separate"/>
      </w:r>
      <w:r>
        <w:rPr>
          <w:rFonts w:ascii="宋体" w:hAnsi="宋体"/>
          <w:smallCaps/>
          <w:sz w:val="20"/>
          <w:highlight w:val="none"/>
        </w:rPr>
        <w:t xml:space="preserve">19. </w:t>
      </w:r>
      <w:r>
        <w:rPr>
          <w:rFonts w:hint="eastAsia" w:ascii="宋体" w:hAnsi="宋体" w:eastAsia="宋体"/>
          <w:smallCaps/>
          <w:sz w:val="20"/>
          <w:szCs w:val="24"/>
          <w:highlight w:val="none"/>
        </w:rPr>
        <w:t>证明货物的合格和符合招标文件规定的文件</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_Toc19277 </w:instrText>
      </w:r>
      <w:r>
        <w:rPr>
          <w:rFonts w:ascii="宋体" w:hAnsi="宋体"/>
          <w:smallCaps/>
          <w:sz w:val="20"/>
          <w:highlight w:val="none"/>
        </w:rPr>
        <w:fldChar w:fldCharType="separate"/>
      </w:r>
      <w:r>
        <w:rPr>
          <w:rFonts w:ascii="宋体" w:hAnsi="宋体"/>
          <w:smallCaps/>
          <w:sz w:val="20"/>
          <w:highlight w:val="none"/>
        </w:rPr>
        <w:t>14</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"_Toc13376"</w:instrText>
      </w:r>
      <w:r>
        <w:rPr>
          <w:rFonts w:ascii="宋体" w:hAnsi="宋体"/>
          <w:smallCaps/>
          <w:sz w:val="20"/>
          <w:highlight w:val="none"/>
        </w:rPr>
        <w:fldChar w:fldCharType="separate"/>
      </w:r>
      <w:r>
        <w:rPr>
          <w:rFonts w:ascii="宋体" w:hAnsi="宋体"/>
          <w:smallCaps/>
          <w:sz w:val="20"/>
          <w:highlight w:val="none"/>
        </w:rPr>
        <w:t xml:space="preserve">20. </w:t>
      </w:r>
      <w:r>
        <w:rPr>
          <w:rFonts w:hint="eastAsia" w:ascii="宋体" w:hAnsi="宋体" w:eastAsia="宋体"/>
          <w:smallCaps/>
          <w:sz w:val="20"/>
          <w:szCs w:val="24"/>
          <w:highlight w:val="none"/>
        </w:rPr>
        <w:t>投标保证金</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_Toc13376 </w:instrText>
      </w:r>
      <w:r>
        <w:rPr>
          <w:rFonts w:ascii="宋体" w:hAnsi="宋体"/>
          <w:smallCaps/>
          <w:sz w:val="20"/>
          <w:highlight w:val="none"/>
        </w:rPr>
        <w:fldChar w:fldCharType="separate"/>
      </w:r>
      <w:r>
        <w:rPr>
          <w:rFonts w:ascii="宋体" w:hAnsi="宋体"/>
          <w:smallCaps/>
          <w:sz w:val="20"/>
          <w:highlight w:val="none"/>
        </w:rPr>
        <w:t>14</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"_Toc4355"</w:instrText>
      </w:r>
      <w:r>
        <w:rPr>
          <w:rFonts w:ascii="宋体" w:hAnsi="宋体"/>
          <w:smallCaps/>
          <w:sz w:val="20"/>
          <w:highlight w:val="none"/>
        </w:rPr>
        <w:fldChar w:fldCharType="separate"/>
      </w:r>
      <w:r>
        <w:rPr>
          <w:rFonts w:ascii="宋体" w:hAnsi="宋体"/>
          <w:smallCaps/>
          <w:sz w:val="20"/>
          <w:highlight w:val="none"/>
        </w:rPr>
        <w:t xml:space="preserve">21. </w:t>
      </w:r>
      <w:r>
        <w:rPr>
          <w:rFonts w:hint="eastAsia" w:ascii="宋体" w:hAnsi="宋体" w:eastAsia="宋体"/>
          <w:smallCaps/>
          <w:sz w:val="20"/>
          <w:szCs w:val="24"/>
          <w:highlight w:val="none"/>
        </w:rPr>
        <w:t>知识产权</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_Toc4355 </w:instrText>
      </w:r>
      <w:r>
        <w:rPr>
          <w:rFonts w:ascii="宋体" w:hAnsi="宋体"/>
          <w:smallCaps/>
          <w:sz w:val="20"/>
          <w:highlight w:val="none"/>
        </w:rPr>
        <w:fldChar w:fldCharType="separate"/>
      </w:r>
      <w:r>
        <w:rPr>
          <w:rFonts w:ascii="宋体" w:hAnsi="宋体"/>
          <w:smallCaps/>
          <w:sz w:val="20"/>
          <w:highlight w:val="none"/>
        </w:rPr>
        <w:t>14</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"_Toc6490"</w:instrText>
      </w:r>
      <w:r>
        <w:rPr>
          <w:rFonts w:ascii="宋体" w:hAnsi="宋体"/>
          <w:smallCaps/>
          <w:sz w:val="20"/>
          <w:highlight w:val="none"/>
        </w:rPr>
        <w:fldChar w:fldCharType="separate"/>
      </w:r>
      <w:r>
        <w:rPr>
          <w:rFonts w:ascii="宋体" w:hAnsi="宋体"/>
          <w:smallCaps/>
          <w:sz w:val="20"/>
          <w:highlight w:val="none"/>
        </w:rPr>
        <w:t xml:space="preserve">22. </w:t>
      </w:r>
      <w:r>
        <w:rPr>
          <w:rFonts w:hint="eastAsia" w:ascii="宋体" w:hAnsi="宋体" w:eastAsia="宋体"/>
          <w:smallCaps/>
          <w:sz w:val="20"/>
          <w:szCs w:val="24"/>
          <w:highlight w:val="none"/>
        </w:rPr>
        <w:t>投标有效期</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_Toc6490 </w:instrText>
      </w:r>
      <w:r>
        <w:rPr>
          <w:rFonts w:ascii="宋体" w:hAnsi="宋体"/>
          <w:smallCaps/>
          <w:sz w:val="20"/>
          <w:highlight w:val="none"/>
        </w:rPr>
        <w:fldChar w:fldCharType="separate"/>
      </w:r>
      <w:r>
        <w:rPr>
          <w:rFonts w:ascii="宋体" w:hAnsi="宋体"/>
          <w:smallCaps/>
          <w:sz w:val="20"/>
          <w:highlight w:val="none"/>
        </w:rPr>
        <w:t>14</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"_Toc13347"</w:instrText>
      </w:r>
      <w:r>
        <w:rPr>
          <w:rFonts w:ascii="宋体" w:hAnsi="宋体"/>
          <w:smallCaps/>
          <w:sz w:val="20"/>
          <w:highlight w:val="none"/>
        </w:rPr>
        <w:fldChar w:fldCharType="separate"/>
      </w:r>
      <w:r>
        <w:rPr>
          <w:rFonts w:ascii="宋体" w:hAnsi="宋体"/>
          <w:smallCaps/>
          <w:sz w:val="20"/>
          <w:highlight w:val="none"/>
        </w:rPr>
        <w:t xml:space="preserve">23. </w:t>
      </w:r>
      <w:r>
        <w:rPr>
          <w:rFonts w:hint="eastAsia" w:ascii="宋体" w:hAnsi="宋体" w:eastAsia="宋体"/>
          <w:smallCaps/>
          <w:sz w:val="20"/>
          <w:szCs w:val="24"/>
          <w:highlight w:val="none"/>
        </w:rPr>
        <w:t>投标文件的组成、式样和签署</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_Toc13347 </w:instrText>
      </w:r>
      <w:r>
        <w:rPr>
          <w:rFonts w:ascii="宋体" w:hAnsi="宋体"/>
          <w:smallCaps/>
          <w:sz w:val="20"/>
          <w:highlight w:val="none"/>
        </w:rPr>
        <w:fldChar w:fldCharType="separate"/>
      </w:r>
      <w:r>
        <w:rPr>
          <w:rFonts w:ascii="宋体" w:hAnsi="宋体"/>
          <w:smallCaps/>
          <w:sz w:val="20"/>
          <w:highlight w:val="none"/>
        </w:rPr>
        <w:t>15</w:t>
      </w:r>
      <w:r>
        <w:rPr>
          <w:rFonts w:ascii="宋体" w:hAnsi="宋体"/>
          <w:smallCaps/>
          <w:sz w:val="20"/>
          <w:highlight w:val="none"/>
        </w:rPr>
        <w:fldChar w:fldCharType="end"/>
      </w:r>
      <w:r>
        <w:rPr>
          <w:rFonts w:ascii="宋体" w:hAnsi="宋体"/>
          <w:smallCaps/>
          <w:sz w:val="20"/>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"_Toc22857"</w:instrText>
      </w:r>
      <w:r>
        <w:rPr>
          <w:rFonts w:ascii="宋体" w:hAnsi="宋体"/>
          <w:szCs w:val="24"/>
          <w:highlight w:val="none"/>
        </w:rPr>
        <w:fldChar w:fldCharType="separate"/>
      </w:r>
      <w:r>
        <w:rPr>
          <w:rFonts w:hint="eastAsia" w:ascii="宋体" w:hAnsi="宋体" w:eastAsia="宋体"/>
          <w:szCs w:val="24"/>
          <w:highlight w:val="none"/>
        </w:rPr>
        <w:t>（四）投标文件的递交</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_Toc22857 </w:instrText>
      </w:r>
      <w:r>
        <w:rPr>
          <w:rFonts w:ascii="宋体" w:hAnsi="宋体"/>
          <w:szCs w:val="24"/>
          <w:highlight w:val="none"/>
        </w:rPr>
        <w:fldChar w:fldCharType="separate"/>
      </w:r>
      <w:r>
        <w:rPr>
          <w:rFonts w:ascii="宋体" w:hAnsi="宋体"/>
          <w:szCs w:val="24"/>
          <w:highlight w:val="none"/>
        </w:rPr>
        <w:t>16</w:t>
      </w:r>
      <w:r>
        <w:rPr>
          <w:rFonts w:ascii="宋体" w:hAnsi="宋体"/>
          <w:szCs w:val="24"/>
          <w:highlight w:val="none"/>
        </w:rPr>
        <w:fldChar w:fldCharType="end"/>
      </w:r>
      <w:r>
        <w:rPr>
          <w:rFonts w:ascii="宋体" w:hAnsi="宋体"/>
          <w:szCs w:val="24"/>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"_Toc5765"</w:instrText>
      </w:r>
      <w:r>
        <w:rPr>
          <w:rFonts w:ascii="宋体" w:hAnsi="宋体"/>
          <w:smallCaps/>
          <w:sz w:val="20"/>
          <w:highlight w:val="none"/>
        </w:rPr>
        <w:fldChar w:fldCharType="separate"/>
      </w:r>
      <w:r>
        <w:rPr>
          <w:rFonts w:ascii="宋体" w:hAnsi="宋体"/>
          <w:smallCaps/>
          <w:sz w:val="20"/>
          <w:highlight w:val="none"/>
        </w:rPr>
        <w:t xml:space="preserve">24. </w:t>
      </w:r>
      <w:r>
        <w:rPr>
          <w:rFonts w:hint="eastAsia" w:ascii="宋体" w:hAnsi="宋体" w:eastAsia="宋体"/>
          <w:smallCaps/>
          <w:sz w:val="20"/>
          <w:szCs w:val="24"/>
          <w:highlight w:val="none"/>
        </w:rPr>
        <w:t>投标文件递交要求</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_Toc5765 </w:instrText>
      </w:r>
      <w:r>
        <w:rPr>
          <w:rFonts w:ascii="宋体" w:hAnsi="宋体"/>
          <w:smallCaps/>
          <w:sz w:val="20"/>
          <w:highlight w:val="none"/>
        </w:rPr>
        <w:fldChar w:fldCharType="separate"/>
      </w:r>
      <w:r>
        <w:rPr>
          <w:rFonts w:ascii="宋体" w:hAnsi="宋体"/>
          <w:smallCaps/>
          <w:sz w:val="20"/>
          <w:highlight w:val="none"/>
        </w:rPr>
        <w:t>16</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"_Toc28990"</w:instrText>
      </w:r>
      <w:r>
        <w:rPr>
          <w:rFonts w:ascii="宋体" w:hAnsi="宋体"/>
          <w:smallCaps/>
          <w:sz w:val="20"/>
          <w:highlight w:val="none"/>
        </w:rPr>
        <w:fldChar w:fldCharType="separate"/>
      </w:r>
      <w:r>
        <w:rPr>
          <w:rFonts w:ascii="宋体" w:hAnsi="宋体"/>
          <w:smallCaps/>
          <w:sz w:val="20"/>
          <w:highlight w:val="none"/>
        </w:rPr>
        <w:t xml:space="preserve">25. </w:t>
      </w:r>
      <w:r>
        <w:rPr>
          <w:rFonts w:hint="eastAsia" w:ascii="宋体" w:hAnsi="宋体" w:eastAsia="宋体"/>
          <w:smallCaps/>
          <w:sz w:val="20"/>
          <w:szCs w:val="24"/>
          <w:highlight w:val="none"/>
        </w:rPr>
        <w:t>投标文件的密封和标记</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_Toc28990 </w:instrText>
      </w:r>
      <w:r>
        <w:rPr>
          <w:rFonts w:ascii="宋体" w:hAnsi="宋体"/>
          <w:smallCaps/>
          <w:sz w:val="20"/>
          <w:highlight w:val="none"/>
        </w:rPr>
        <w:fldChar w:fldCharType="separate"/>
      </w:r>
      <w:r>
        <w:rPr>
          <w:rFonts w:ascii="宋体" w:hAnsi="宋体"/>
          <w:smallCaps/>
          <w:sz w:val="20"/>
          <w:highlight w:val="none"/>
        </w:rPr>
        <w:t>16</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"_Toc8311"</w:instrText>
      </w:r>
      <w:r>
        <w:rPr>
          <w:rFonts w:ascii="宋体" w:hAnsi="宋体"/>
          <w:smallCaps/>
          <w:sz w:val="20"/>
          <w:highlight w:val="none"/>
        </w:rPr>
        <w:fldChar w:fldCharType="separate"/>
      </w:r>
      <w:r>
        <w:rPr>
          <w:rFonts w:ascii="宋体" w:hAnsi="宋体"/>
          <w:smallCaps/>
          <w:sz w:val="20"/>
          <w:highlight w:val="none"/>
        </w:rPr>
        <w:t xml:space="preserve">26. </w:t>
      </w:r>
      <w:r>
        <w:rPr>
          <w:rFonts w:hint="eastAsia" w:ascii="宋体" w:hAnsi="宋体" w:eastAsia="宋体"/>
          <w:smallCaps/>
          <w:sz w:val="20"/>
          <w:szCs w:val="24"/>
          <w:highlight w:val="none"/>
        </w:rPr>
        <w:t>投标截止时间</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_Toc8311 </w:instrText>
      </w:r>
      <w:r>
        <w:rPr>
          <w:rFonts w:ascii="宋体" w:hAnsi="宋体"/>
          <w:smallCaps/>
          <w:sz w:val="20"/>
          <w:highlight w:val="none"/>
        </w:rPr>
        <w:fldChar w:fldCharType="separate"/>
      </w:r>
      <w:r>
        <w:rPr>
          <w:rFonts w:ascii="宋体" w:hAnsi="宋体"/>
          <w:smallCaps/>
          <w:sz w:val="20"/>
          <w:highlight w:val="none"/>
        </w:rPr>
        <w:t>16</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"_Toc12426"</w:instrText>
      </w:r>
      <w:r>
        <w:rPr>
          <w:rFonts w:ascii="宋体" w:hAnsi="宋体"/>
          <w:smallCaps/>
          <w:sz w:val="20"/>
          <w:highlight w:val="none"/>
        </w:rPr>
        <w:fldChar w:fldCharType="separate"/>
      </w:r>
      <w:r>
        <w:rPr>
          <w:rFonts w:ascii="宋体" w:hAnsi="宋体"/>
          <w:smallCaps/>
          <w:sz w:val="20"/>
          <w:highlight w:val="none"/>
        </w:rPr>
        <w:t xml:space="preserve">27. </w:t>
      </w:r>
      <w:r>
        <w:rPr>
          <w:rFonts w:hint="eastAsia" w:ascii="宋体" w:hAnsi="宋体" w:eastAsia="宋体"/>
          <w:smallCaps/>
          <w:sz w:val="20"/>
          <w:szCs w:val="24"/>
          <w:highlight w:val="none"/>
        </w:rPr>
        <w:t>迟交的投标文件</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_Toc12426 </w:instrText>
      </w:r>
      <w:r>
        <w:rPr>
          <w:rFonts w:ascii="宋体" w:hAnsi="宋体"/>
          <w:smallCaps/>
          <w:sz w:val="20"/>
          <w:highlight w:val="none"/>
        </w:rPr>
        <w:fldChar w:fldCharType="separate"/>
      </w:r>
      <w:r>
        <w:rPr>
          <w:rFonts w:ascii="宋体" w:hAnsi="宋体"/>
          <w:smallCaps/>
          <w:sz w:val="20"/>
          <w:highlight w:val="none"/>
        </w:rPr>
        <w:t>17</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"_Toc21322"</w:instrText>
      </w:r>
      <w:r>
        <w:rPr>
          <w:rFonts w:ascii="宋体" w:hAnsi="宋体"/>
          <w:smallCaps/>
          <w:sz w:val="20"/>
          <w:highlight w:val="none"/>
        </w:rPr>
        <w:fldChar w:fldCharType="separate"/>
      </w:r>
      <w:r>
        <w:rPr>
          <w:rFonts w:ascii="宋体" w:hAnsi="宋体"/>
          <w:smallCaps/>
          <w:sz w:val="20"/>
          <w:highlight w:val="none"/>
        </w:rPr>
        <w:t xml:space="preserve">28. </w:t>
      </w:r>
      <w:r>
        <w:rPr>
          <w:rFonts w:hint="eastAsia" w:ascii="宋体" w:hAnsi="宋体" w:eastAsia="宋体"/>
          <w:smallCaps/>
          <w:sz w:val="20"/>
          <w:szCs w:val="24"/>
          <w:highlight w:val="none"/>
        </w:rPr>
        <w:t>投标文件的修改与撤回</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_Toc21322 </w:instrText>
      </w:r>
      <w:r>
        <w:rPr>
          <w:rFonts w:ascii="宋体" w:hAnsi="宋体"/>
          <w:smallCaps/>
          <w:sz w:val="20"/>
          <w:highlight w:val="none"/>
        </w:rPr>
        <w:fldChar w:fldCharType="separate"/>
      </w:r>
      <w:r>
        <w:rPr>
          <w:rFonts w:ascii="宋体" w:hAnsi="宋体"/>
          <w:smallCaps/>
          <w:sz w:val="20"/>
          <w:highlight w:val="none"/>
        </w:rPr>
        <w:t>17</w:t>
      </w:r>
      <w:r>
        <w:rPr>
          <w:rFonts w:ascii="宋体" w:hAnsi="宋体"/>
          <w:smallCaps/>
          <w:sz w:val="20"/>
          <w:highlight w:val="none"/>
        </w:rPr>
        <w:fldChar w:fldCharType="end"/>
      </w:r>
      <w:r>
        <w:rPr>
          <w:rFonts w:ascii="宋体" w:hAnsi="宋体"/>
          <w:smallCaps/>
          <w:sz w:val="20"/>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"_Toc11666"</w:instrText>
      </w:r>
      <w:r>
        <w:rPr>
          <w:rFonts w:ascii="宋体" w:hAnsi="宋体"/>
          <w:szCs w:val="24"/>
          <w:highlight w:val="none"/>
        </w:rPr>
        <w:fldChar w:fldCharType="separate"/>
      </w:r>
      <w:r>
        <w:rPr>
          <w:rFonts w:hint="eastAsia" w:ascii="宋体" w:hAnsi="宋体" w:eastAsia="宋体"/>
          <w:szCs w:val="24"/>
          <w:highlight w:val="none"/>
        </w:rPr>
        <w:t>（五）开标与评标</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_Toc11666 </w:instrText>
      </w:r>
      <w:r>
        <w:rPr>
          <w:rFonts w:ascii="宋体" w:hAnsi="宋体"/>
          <w:szCs w:val="24"/>
          <w:highlight w:val="none"/>
        </w:rPr>
        <w:fldChar w:fldCharType="separate"/>
      </w:r>
      <w:r>
        <w:rPr>
          <w:rFonts w:ascii="宋体" w:hAnsi="宋体"/>
          <w:szCs w:val="24"/>
          <w:highlight w:val="none"/>
        </w:rPr>
        <w:t>17</w:t>
      </w:r>
      <w:r>
        <w:rPr>
          <w:rFonts w:ascii="宋体" w:hAnsi="宋体"/>
          <w:szCs w:val="24"/>
          <w:highlight w:val="none"/>
        </w:rPr>
        <w:fldChar w:fldCharType="end"/>
      </w:r>
      <w:r>
        <w:rPr>
          <w:rFonts w:ascii="宋体" w:hAnsi="宋体"/>
          <w:szCs w:val="24"/>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"_Toc25810"</w:instrText>
      </w:r>
      <w:r>
        <w:rPr>
          <w:rFonts w:ascii="宋体" w:hAnsi="宋体"/>
          <w:smallCaps/>
          <w:sz w:val="20"/>
          <w:highlight w:val="none"/>
        </w:rPr>
        <w:fldChar w:fldCharType="separate"/>
      </w:r>
      <w:r>
        <w:rPr>
          <w:rFonts w:ascii="宋体" w:hAnsi="宋体"/>
          <w:smallCaps/>
          <w:sz w:val="20"/>
          <w:highlight w:val="none"/>
        </w:rPr>
        <w:t xml:space="preserve">29. </w:t>
      </w:r>
      <w:r>
        <w:rPr>
          <w:rFonts w:hint="eastAsia" w:ascii="宋体" w:hAnsi="宋体" w:eastAsia="宋体"/>
          <w:smallCaps/>
          <w:sz w:val="20"/>
          <w:szCs w:val="24"/>
          <w:highlight w:val="none"/>
        </w:rPr>
        <w:t>开标</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_Toc25810 </w:instrText>
      </w:r>
      <w:r>
        <w:rPr>
          <w:rFonts w:ascii="宋体" w:hAnsi="宋体"/>
          <w:smallCaps/>
          <w:sz w:val="20"/>
          <w:highlight w:val="none"/>
        </w:rPr>
        <w:fldChar w:fldCharType="separate"/>
      </w:r>
      <w:r>
        <w:rPr>
          <w:rFonts w:ascii="宋体" w:hAnsi="宋体"/>
          <w:smallCaps/>
          <w:sz w:val="20"/>
          <w:highlight w:val="none"/>
        </w:rPr>
        <w:t>17</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"_Toc951"</w:instrText>
      </w:r>
      <w:r>
        <w:rPr>
          <w:rFonts w:ascii="宋体" w:hAnsi="宋体"/>
          <w:smallCaps/>
          <w:sz w:val="20"/>
          <w:highlight w:val="none"/>
        </w:rPr>
        <w:fldChar w:fldCharType="separate"/>
      </w:r>
      <w:r>
        <w:rPr>
          <w:rFonts w:ascii="宋体" w:hAnsi="宋体"/>
          <w:smallCaps/>
          <w:sz w:val="20"/>
          <w:highlight w:val="none"/>
        </w:rPr>
        <w:t xml:space="preserve">30. </w:t>
      </w:r>
      <w:r>
        <w:rPr>
          <w:rFonts w:hint="eastAsia" w:ascii="宋体" w:hAnsi="宋体" w:eastAsia="宋体"/>
          <w:smallCaps/>
          <w:sz w:val="20"/>
          <w:szCs w:val="24"/>
          <w:highlight w:val="none"/>
        </w:rPr>
        <w:t>投标文件的评审、评价和比较</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_Toc951 </w:instrText>
      </w:r>
      <w:r>
        <w:rPr>
          <w:rFonts w:ascii="宋体" w:hAnsi="宋体"/>
          <w:smallCaps/>
          <w:sz w:val="20"/>
          <w:highlight w:val="none"/>
        </w:rPr>
        <w:fldChar w:fldCharType="separate"/>
      </w:r>
      <w:r>
        <w:rPr>
          <w:rFonts w:ascii="宋体" w:hAnsi="宋体"/>
          <w:smallCaps/>
          <w:sz w:val="20"/>
          <w:highlight w:val="none"/>
        </w:rPr>
        <w:t>17</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"_Toc21576"</w:instrText>
      </w:r>
      <w:r>
        <w:rPr>
          <w:rFonts w:ascii="宋体" w:hAnsi="宋体"/>
          <w:smallCaps/>
          <w:sz w:val="20"/>
          <w:highlight w:val="none"/>
        </w:rPr>
        <w:fldChar w:fldCharType="separate"/>
      </w:r>
      <w:r>
        <w:rPr>
          <w:rFonts w:ascii="宋体" w:hAnsi="宋体"/>
          <w:smallCaps/>
          <w:sz w:val="20"/>
          <w:highlight w:val="none"/>
        </w:rPr>
        <w:t xml:space="preserve">31. </w:t>
      </w:r>
      <w:r>
        <w:rPr>
          <w:rFonts w:hint="eastAsia" w:ascii="宋体" w:hAnsi="宋体" w:eastAsia="宋体"/>
          <w:smallCaps/>
          <w:sz w:val="20"/>
          <w:szCs w:val="24"/>
          <w:highlight w:val="none"/>
        </w:rPr>
        <w:t>评标原则和评标办法</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_Toc21576 </w:instrText>
      </w:r>
      <w:r>
        <w:rPr>
          <w:rFonts w:ascii="宋体" w:hAnsi="宋体"/>
          <w:smallCaps/>
          <w:sz w:val="20"/>
          <w:highlight w:val="none"/>
        </w:rPr>
        <w:fldChar w:fldCharType="separate"/>
      </w:r>
      <w:r>
        <w:rPr>
          <w:rFonts w:ascii="宋体" w:hAnsi="宋体"/>
          <w:smallCaps/>
          <w:sz w:val="20"/>
          <w:highlight w:val="none"/>
        </w:rPr>
        <w:t>17</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"_Toc10563"</w:instrText>
      </w:r>
      <w:r>
        <w:rPr>
          <w:rFonts w:ascii="宋体" w:hAnsi="宋体"/>
          <w:smallCaps/>
          <w:sz w:val="20"/>
          <w:highlight w:val="none"/>
        </w:rPr>
        <w:fldChar w:fldCharType="separate"/>
      </w:r>
      <w:r>
        <w:rPr>
          <w:rFonts w:ascii="宋体" w:hAnsi="宋体"/>
          <w:smallCaps/>
          <w:sz w:val="20"/>
          <w:highlight w:val="none"/>
        </w:rPr>
        <w:t xml:space="preserve">32. </w:t>
      </w:r>
      <w:r>
        <w:rPr>
          <w:rFonts w:hint="eastAsia" w:ascii="宋体" w:hAnsi="宋体" w:eastAsia="宋体"/>
          <w:bCs w:val="0"/>
          <w:smallCaps/>
          <w:sz w:val="20"/>
          <w:szCs w:val="24"/>
          <w:highlight w:val="none"/>
        </w:rPr>
        <w:t>投标文件的澄清，计算错误的修正</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_Toc10563 </w:instrText>
      </w:r>
      <w:r>
        <w:rPr>
          <w:rFonts w:ascii="宋体" w:hAnsi="宋体"/>
          <w:smallCaps/>
          <w:sz w:val="20"/>
          <w:highlight w:val="none"/>
        </w:rPr>
        <w:fldChar w:fldCharType="separate"/>
      </w:r>
      <w:r>
        <w:rPr>
          <w:rFonts w:ascii="宋体" w:hAnsi="宋体"/>
          <w:smallCaps/>
          <w:sz w:val="20"/>
          <w:highlight w:val="none"/>
        </w:rPr>
        <w:t>17</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"_Toc11004"</w:instrText>
      </w:r>
      <w:r>
        <w:rPr>
          <w:rFonts w:ascii="宋体" w:hAnsi="宋体"/>
          <w:smallCaps/>
          <w:sz w:val="20"/>
          <w:highlight w:val="none"/>
        </w:rPr>
        <w:fldChar w:fldCharType="separate"/>
      </w:r>
      <w:r>
        <w:rPr>
          <w:rFonts w:ascii="宋体" w:hAnsi="宋体"/>
          <w:smallCaps/>
          <w:sz w:val="20"/>
          <w:highlight w:val="none"/>
        </w:rPr>
        <w:t xml:space="preserve">33. </w:t>
      </w:r>
      <w:r>
        <w:rPr>
          <w:rFonts w:hint="eastAsia" w:ascii="宋体" w:hAnsi="宋体" w:eastAsia="宋体"/>
          <w:smallCaps/>
          <w:sz w:val="20"/>
          <w:szCs w:val="24"/>
          <w:highlight w:val="none"/>
        </w:rPr>
        <w:t>评标过程的保密</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_Toc11004 </w:instrText>
      </w:r>
      <w:r>
        <w:rPr>
          <w:rFonts w:ascii="宋体" w:hAnsi="宋体"/>
          <w:smallCaps/>
          <w:sz w:val="20"/>
          <w:highlight w:val="none"/>
        </w:rPr>
        <w:fldChar w:fldCharType="separate"/>
      </w:r>
      <w:r>
        <w:rPr>
          <w:rFonts w:ascii="宋体" w:hAnsi="宋体"/>
          <w:smallCaps/>
          <w:sz w:val="20"/>
          <w:highlight w:val="none"/>
        </w:rPr>
        <w:t>17</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"_Toc26057"</w:instrText>
      </w:r>
      <w:r>
        <w:rPr>
          <w:rFonts w:ascii="宋体" w:hAnsi="宋体"/>
          <w:smallCaps/>
          <w:sz w:val="20"/>
          <w:highlight w:val="none"/>
        </w:rPr>
        <w:fldChar w:fldCharType="separate"/>
      </w:r>
      <w:r>
        <w:rPr>
          <w:rFonts w:ascii="宋体" w:hAnsi="宋体"/>
          <w:smallCaps/>
          <w:sz w:val="20"/>
          <w:highlight w:val="none"/>
        </w:rPr>
        <w:t xml:space="preserve">34. </w:t>
      </w:r>
      <w:r>
        <w:rPr>
          <w:rFonts w:hint="eastAsia" w:ascii="宋体" w:hAnsi="宋体" w:eastAsia="宋体"/>
          <w:smallCaps/>
          <w:sz w:val="20"/>
          <w:szCs w:val="24"/>
          <w:highlight w:val="none"/>
        </w:rPr>
        <w:t>拒绝任何或所有投标的权利</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_Toc26057 </w:instrText>
      </w:r>
      <w:r>
        <w:rPr>
          <w:rFonts w:ascii="宋体" w:hAnsi="宋体"/>
          <w:smallCaps/>
          <w:sz w:val="20"/>
          <w:highlight w:val="none"/>
        </w:rPr>
        <w:fldChar w:fldCharType="separate"/>
      </w:r>
      <w:r>
        <w:rPr>
          <w:rFonts w:ascii="宋体" w:hAnsi="宋体"/>
          <w:smallCaps/>
          <w:sz w:val="20"/>
          <w:highlight w:val="none"/>
        </w:rPr>
        <w:t>17</w:t>
      </w:r>
      <w:r>
        <w:rPr>
          <w:rFonts w:ascii="宋体" w:hAnsi="宋体"/>
          <w:smallCaps/>
          <w:sz w:val="20"/>
          <w:highlight w:val="none"/>
        </w:rPr>
        <w:fldChar w:fldCharType="end"/>
      </w:r>
      <w:r>
        <w:rPr>
          <w:rFonts w:ascii="宋体" w:hAnsi="宋体"/>
          <w:smallCaps/>
          <w:sz w:val="20"/>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"_Toc28583"</w:instrText>
      </w:r>
      <w:r>
        <w:rPr>
          <w:rFonts w:ascii="宋体" w:hAnsi="宋体"/>
          <w:szCs w:val="24"/>
          <w:highlight w:val="none"/>
        </w:rPr>
        <w:fldChar w:fldCharType="separate"/>
      </w:r>
      <w:r>
        <w:rPr>
          <w:rFonts w:hint="eastAsia" w:ascii="宋体" w:hAnsi="宋体" w:eastAsia="宋体"/>
          <w:szCs w:val="24"/>
          <w:highlight w:val="none"/>
        </w:rPr>
        <w:t>（六）授予合同</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_Toc28583 </w:instrText>
      </w:r>
      <w:r>
        <w:rPr>
          <w:rFonts w:ascii="宋体" w:hAnsi="宋体"/>
          <w:szCs w:val="24"/>
          <w:highlight w:val="none"/>
        </w:rPr>
        <w:fldChar w:fldCharType="separate"/>
      </w:r>
      <w:r>
        <w:rPr>
          <w:rFonts w:ascii="宋体" w:hAnsi="宋体"/>
          <w:szCs w:val="24"/>
          <w:highlight w:val="none"/>
        </w:rPr>
        <w:t>18</w:t>
      </w:r>
      <w:r>
        <w:rPr>
          <w:rFonts w:ascii="宋体" w:hAnsi="宋体"/>
          <w:szCs w:val="24"/>
          <w:highlight w:val="none"/>
        </w:rPr>
        <w:fldChar w:fldCharType="end"/>
      </w:r>
      <w:r>
        <w:rPr>
          <w:rFonts w:ascii="宋体" w:hAnsi="宋体"/>
          <w:szCs w:val="24"/>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"_Toc29868"</w:instrText>
      </w:r>
      <w:r>
        <w:rPr>
          <w:rFonts w:ascii="宋体" w:hAnsi="宋体"/>
          <w:smallCaps/>
          <w:sz w:val="20"/>
          <w:highlight w:val="none"/>
        </w:rPr>
        <w:fldChar w:fldCharType="separate"/>
      </w:r>
      <w:r>
        <w:rPr>
          <w:rFonts w:ascii="宋体" w:hAnsi="宋体"/>
          <w:smallCaps/>
          <w:sz w:val="20"/>
          <w:highlight w:val="none"/>
        </w:rPr>
        <w:t xml:space="preserve">35. </w:t>
      </w:r>
      <w:r>
        <w:rPr>
          <w:rFonts w:hint="eastAsia" w:ascii="宋体" w:hAnsi="宋体" w:eastAsia="宋体"/>
          <w:smallCaps/>
          <w:sz w:val="20"/>
          <w:szCs w:val="24"/>
          <w:highlight w:val="none"/>
        </w:rPr>
        <w:t>中标人的确定</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_Toc29868 </w:instrText>
      </w:r>
      <w:r>
        <w:rPr>
          <w:rFonts w:ascii="宋体" w:hAnsi="宋体"/>
          <w:smallCaps/>
          <w:sz w:val="20"/>
          <w:highlight w:val="none"/>
        </w:rPr>
        <w:fldChar w:fldCharType="separate"/>
      </w:r>
      <w:r>
        <w:rPr>
          <w:rFonts w:ascii="宋体" w:hAnsi="宋体"/>
          <w:smallCaps/>
          <w:sz w:val="20"/>
          <w:highlight w:val="none"/>
        </w:rPr>
        <w:t>18</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"_Toc18798"</w:instrText>
      </w:r>
      <w:r>
        <w:rPr>
          <w:rFonts w:ascii="宋体" w:hAnsi="宋体"/>
          <w:smallCaps/>
          <w:sz w:val="20"/>
          <w:highlight w:val="none"/>
        </w:rPr>
        <w:fldChar w:fldCharType="separate"/>
      </w:r>
      <w:r>
        <w:rPr>
          <w:rFonts w:ascii="宋体" w:hAnsi="宋体"/>
          <w:smallCaps/>
          <w:sz w:val="20"/>
          <w:highlight w:val="none"/>
        </w:rPr>
        <w:t xml:space="preserve">36. </w:t>
      </w:r>
      <w:r>
        <w:rPr>
          <w:rFonts w:hint="eastAsia" w:ascii="宋体" w:hAnsi="宋体" w:eastAsia="宋体"/>
          <w:smallCaps/>
          <w:sz w:val="20"/>
          <w:szCs w:val="24"/>
          <w:highlight w:val="none"/>
        </w:rPr>
        <w:t>中标及中标结果通知</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_Toc18798 </w:instrText>
      </w:r>
      <w:r>
        <w:rPr>
          <w:rFonts w:ascii="宋体" w:hAnsi="宋体"/>
          <w:smallCaps/>
          <w:sz w:val="20"/>
          <w:highlight w:val="none"/>
        </w:rPr>
        <w:fldChar w:fldCharType="separate"/>
      </w:r>
      <w:r>
        <w:rPr>
          <w:rFonts w:ascii="宋体" w:hAnsi="宋体"/>
          <w:smallCaps/>
          <w:sz w:val="20"/>
          <w:highlight w:val="none"/>
        </w:rPr>
        <w:t>18</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"_Toc31905"</w:instrText>
      </w:r>
      <w:r>
        <w:rPr>
          <w:rFonts w:ascii="宋体" w:hAnsi="宋体"/>
          <w:smallCaps/>
          <w:sz w:val="20"/>
          <w:highlight w:val="none"/>
        </w:rPr>
        <w:fldChar w:fldCharType="separate"/>
      </w:r>
      <w:r>
        <w:rPr>
          <w:rFonts w:ascii="宋体" w:hAnsi="宋体"/>
          <w:smallCaps/>
          <w:sz w:val="20"/>
          <w:highlight w:val="none"/>
        </w:rPr>
        <w:t xml:space="preserve">37. </w:t>
      </w:r>
      <w:r>
        <w:rPr>
          <w:rFonts w:hint="eastAsia" w:ascii="宋体" w:hAnsi="宋体" w:eastAsia="宋体"/>
          <w:smallCaps/>
          <w:sz w:val="20"/>
          <w:szCs w:val="24"/>
          <w:highlight w:val="none"/>
        </w:rPr>
        <w:t>中标通知书</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_Toc31905 </w:instrText>
      </w:r>
      <w:r>
        <w:rPr>
          <w:rFonts w:ascii="宋体" w:hAnsi="宋体"/>
          <w:smallCaps/>
          <w:sz w:val="20"/>
          <w:highlight w:val="none"/>
        </w:rPr>
        <w:fldChar w:fldCharType="separate"/>
      </w:r>
      <w:r>
        <w:rPr>
          <w:rFonts w:ascii="宋体" w:hAnsi="宋体"/>
          <w:smallCaps/>
          <w:sz w:val="20"/>
          <w:highlight w:val="none"/>
        </w:rPr>
        <w:t>18</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"_Toc30672"</w:instrText>
      </w:r>
      <w:r>
        <w:rPr>
          <w:rFonts w:ascii="宋体" w:hAnsi="宋体"/>
          <w:smallCaps/>
          <w:sz w:val="20"/>
          <w:highlight w:val="none"/>
        </w:rPr>
        <w:fldChar w:fldCharType="separate"/>
      </w:r>
      <w:r>
        <w:rPr>
          <w:rFonts w:ascii="宋体" w:hAnsi="宋体"/>
          <w:smallCaps/>
          <w:sz w:val="20"/>
          <w:highlight w:val="none"/>
        </w:rPr>
        <w:t xml:space="preserve">38. </w:t>
      </w:r>
      <w:r>
        <w:rPr>
          <w:rFonts w:hint="eastAsia" w:ascii="宋体" w:hAnsi="宋体" w:eastAsia="宋体"/>
          <w:smallCaps/>
          <w:sz w:val="20"/>
          <w:szCs w:val="24"/>
          <w:highlight w:val="none"/>
        </w:rPr>
        <w:t>签订合同</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_Toc30672 </w:instrText>
      </w:r>
      <w:r>
        <w:rPr>
          <w:rFonts w:ascii="宋体" w:hAnsi="宋体"/>
          <w:smallCaps/>
          <w:sz w:val="20"/>
          <w:highlight w:val="none"/>
        </w:rPr>
        <w:fldChar w:fldCharType="separate"/>
      </w:r>
      <w:r>
        <w:rPr>
          <w:rFonts w:ascii="宋体" w:hAnsi="宋体"/>
          <w:smallCaps/>
          <w:sz w:val="20"/>
          <w:highlight w:val="none"/>
        </w:rPr>
        <w:t>18</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"_Toc3167"</w:instrText>
      </w:r>
      <w:r>
        <w:rPr>
          <w:rFonts w:ascii="宋体" w:hAnsi="宋体"/>
          <w:smallCaps/>
          <w:sz w:val="20"/>
          <w:highlight w:val="none"/>
        </w:rPr>
        <w:fldChar w:fldCharType="separate"/>
      </w:r>
      <w:r>
        <w:rPr>
          <w:rFonts w:hint="eastAsia" w:ascii="宋体" w:hAnsi="宋体" w:eastAsia="宋体"/>
          <w:smallCaps/>
          <w:sz w:val="20"/>
          <w:szCs w:val="24"/>
          <w:highlight w:val="none"/>
        </w:rPr>
        <w:t>40. 合同生效</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_Toc3167 </w:instrText>
      </w:r>
      <w:r>
        <w:rPr>
          <w:rFonts w:ascii="宋体" w:hAnsi="宋体"/>
          <w:smallCaps/>
          <w:sz w:val="20"/>
          <w:highlight w:val="none"/>
        </w:rPr>
        <w:fldChar w:fldCharType="separate"/>
      </w:r>
      <w:r>
        <w:rPr>
          <w:rFonts w:ascii="宋体" w:hAnsi="宋体"/>
          <w:smallCaps/>
          <w:sz w:val="20"/>
          <w:highlight w:val="none"/>
        </w:rPr>
        <w:t>19</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szCs w:val="24"/>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"_Toc12042"</w:instrText>
      </w:r>
      <w:r>
        <w:rPr>
          <w:rFonts w:ascii="宋体" w:hAnsi="宋体"/>
          <w:smallCaps/>
          <w:sz w:val="20"/>
          <w:highlight w:val="none"/>
        </w:rPr>
        <w:fldChar w:fldCharType="separate"/>
      </w:r>
      <w:r>
        <w:rPr>
          <w:rFonts w:ascii="宋体" w:hAnsi="宋体"/>
          <w:smallCaps/>
          <w:sz w:val="20"/>
          <w:highlight w:val="none"/>
        </w:rPr>
        <w:t>附</w:t>
      </w:r>
      <w:r>
        <w:rPr>
          <w:rFonts w:hint="eastAsia" w:ascii="宋体" w:hAnsi="宋体"/>
          <w:smallCaps/>
          <w:sz w:val="20"/>
          <w:highlight w:val="none"/>
        </w:rPr>
        <w:t>件一</w:t>
      </w:r>
      <w:r>
        <w:rPr>
          <w:rFonts w:ascii="宋体" w:hAnsi="宋体"/>
          <w:smallCaps/>
          <w:sz w:val="20"/>
          <w:highlight w:val="none"/>
        </w:rPr>
        <w:t>：</w:t>
      </w:r>
      <w:r>
        <w:rPr>
          <w:rFonts w:hint="eastAsia" w:ascii="宋体" w:hAnsi="宋体"/>
          <w:smallCaps/>
          <w:sz w:val="20"/>
          <w:highlight w:val="none"/>
        </w:rPr>
        <w:t>开标记录表</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_Toc12042 </w:instrText>
      </w:r>
      <w:r>
        <w:rPr>
          <w:rFonts w:ascii="宋体" w:hAnsi="宋体"/>
          <w:smallCaps/>
          <w:sz w:val="20"/>
          <w:highlight w:val="none"/>
        </w:rPr>
        <w:fldChar w:fldCharType="separate"/>
      </w:r>
      <w:r>
        <w:rPr>
          <w:rFonts w:ascii="宋体" w:hAnsi="宋体"/>
          <w:smallCaps/>
          <w:sz w:val="20"/>
          <w:highlight w:val="none"/>
        </w:rPr>
        <w:t>2</w:t>
      </w:r>
      <w:r>
        <w:rPr>
          <w:rFonts w:ascii="宋体" w:hAnsi="宋体"/>
          <w:smallCaps/>
          <w:sz w:val="20"/>
          <w:highlight w:val="none"/>
        </w:rPr>
        <w:fldChar w:fldCharType="end"/>
      </w:r>
      <w:r>
        <w:rPr>
          <w:rFonts w:ascii="宋体" w:hAnsi="宋体"/>
          <w:smallCaps/>
          <w:sz w:val="20"/>
          <w:highlight w:val="none"/>
        </w:rPr>
        <w:fldChar w:fldCharType="end"/>
      </w:r>
      <w:r>
        <w:rPr>
          <w:rFonts w:hint="eastAsia" w:ascii="宋体" w:hAnsi="宋体"/>
          <w:smallCaps/>
          <w:sz w:val="20"/>
          <w:szCs w:val="24"/>
          <w:highlight w:val="none"/>
        </w:rPr>
        <w:t>0</w:t>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"_Toc12042"</w:instrText>
      </w:r>
      <w:r>
        <w:rPr>
          <w:rFonts w:ascii="宋体" w:hAnsi="宋体"/>
          <w:smallCaps/>
          <w:sz w:val="20"/>
          <w:highlight w:val="none"/>
        </w:rPr>
        <w:fldChar w:fldCharType="separate"/>
      </w:r>
      <w:r>
        <w:rPr>
          <w:rFonts w:ascii="宋体" w:hAnsi="宋体"/>
          <w:smallCaps/>
          <w:sz w:val="20"/>
          <w:highlight w:val="none"/>
        </w:rPr>
        <w:t>附</w:t>
      </w:r>
      <w:r>
        <w:rPr>
          <w:rFonts w:hint="eastAsia" w:ascii="宋体" w:hAnsi="宋体"/>
          <w:smallCaps/>
          <w:sz w:val="20"/>
          <w:highlight w:val="none"/>
        </w:rPr>
        <w:t>件</w:t>
      </w:r>
      <w:r>
        <w:rPr>
          <w:rFonts w:ascii="宋体" w:hAnsi="宋体"/>
          <w:smallCaps/>
          <w:sz w:val="20"/>
          <w:highlight w:val="none"/>
        </w:rPr>
        <w:t>二：问题澄清通知</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_Toc12042 </w:instrText>
      </w:r>
      <w:r>
        <w:rPr>
          <w:rFonts w:ascii="宋体" w:hAnsi="宋体"/>
          <w:smallCaps/>
          <w:sz w:val="20"/>
          <w:highlight w:val="none"/>
        </w:rPr>
        <w:fldChar w:fldCharType="separate"/>
      </w:r>
      <w:r>
        <w:rPr>
          <w:rFonts w:ascii="宋体" w:hAnsi="宋体"/>
          <w:smallCaps/>
          <w:sz w:val="20"/>
          <w:highlight w:val="none"/>
        </w:rPr>
        <w:t>21</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"_Toc3566"</w:instrText>
      </w:r>
      <w:r>
        <w:rPr>
          <w:rFonts w:ascii="宋体" w:hAnsi="宋体"/>
          <w:smallCaps/>
          <w:sz w:val="20"/>
          <w:highlight w:val="none"/>
        </w:rPr>
        <w:fldChar w:fldCharType="separate"/>
      </w:r>
      <w:r>
        <w:rPr>
          <w:rFonts w:hint="eastAsia" w:ascii="宋体" w:hAnsi="宋体"/>
          <w:smallCaps/>
          <w:sz w:val="20"/>
          <w:highlight w:val="none"/>
        </w:rPr>
        <w:t>附件三：问题的澄清</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_Toc3566 </w:instrText>
      </w:r>
      <w:r>
        <w:rPr>
          <w:rFonts w:ascii="宋体" w:hAnsi="宋体"/>
          <w:smallCaps/>
          <w:sz w:val="20"/>
          <w:highlight w:val="none"/>
        </w:rPr>
        <w:fldChar w:fldCharType="separate"/>
      </w:r>
      <w:r>
        <w:rPr>
          <w:rFonts w:ascii="宋体" w:hAnsi="宋体"/>
          <w:smallCaps/>
          <w:sz w:val="20"/>
          <w:highlight w:val="none"/>
        </w:rPr>
        <w:t>22</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"_Toc9415"</w:instrText>
      </w:r>
      <w:r>
        <w:rPr>
          <w:rFonts w:ascii="宋体" w:hAnsi="宋体"/>
          <w:smallCaps/>
          <w:sz w:val="20"/>
          <w:highlight w:val="none"/>
        </w:rPr>
        <w:fldChar w:fldCharType="separate"/>
      </w:r>
      <w:r>
        <w:rPr>
          <w:rFonts w:hint="eastAsia" w:ascii="宋体" w:hAnsi="宋体"/>
          <w:smallCaps/>
          <w:sz w:val="20"/>
          <w:highlight w:val="none"/>
        </w:rPr>
        <w:t>附件四：中标通知书</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_Toc9415 </w:instrText>
      </w:r>
      <w:r>
        <w:rPr>
          <w:rFonts w:ascii="宋体" w:hAnsi="宋体"/>
          <w:smallCaps/>
          <w:sz w:val="20"/>
          <w:highlight w:val="none"/>
        </w:rPr>
        <w:fldChar w:fldCharType="separate"/>
      </w:r>
      <w:r>
        <w:rPr>
          <w:rFonts w:ascii="宋体" w:hAnsi="宋体"/>
          <w:smallCaps/>
          <w:sz w:val="20"/>
          <w:highlight w:val="none"/>
        </w:rPr>
        <w:t>23</w:t>
      </w:r>
      <w:r>
        <w:rPr>
          <w:rFonts w:ascii="宋体" w:hAnsi="宋体"/>
          <w:smallCaps/>
          <w:sz w:val="20"/>
          <w:highlight w:val="none"/>
        </w:rPr>
        <w:fldChar w:fldCharType="end"/>
      </w:r>
      <w:r>
        <w:rPr>
          <w:rFonts w:ascii="宋体" w:hAnsi="宋体"/>
          <w:smallCaps/>
          <w:sz w:val="20"/>
          <w:highlight w:val="none"/>
        </w:rPr>
        <w:fldChar w:fldCharType="end"/>
      </w:r>
    </w:p>
    <w:p>
      <w:pPr>
        <w:pStyle w:val="21"/>
        <w:tabs>
          <w:tab w:val="right" w:leader="dot" w:pos="8958"/>
          <w:tab w:val="clear" w:pos="8303"/>
        </w:tabs>
        <w:ind w:firstLine="200"/>
        <w:rPr>
          <w:rFonts w:ascii="宋体" w:hAnsi="宋体"/>
          <w:smallCaps/>
          <w:sz w:val="20"/>
          <w:highlight w:val="none"/>
        </w:rPr>
      </w:pPr>
      <w:r>
        <w:rPr>
          <w:rFonts w:ascii="宋体" w:hAnsi="宋体"/>
          <w:smallCaps/>
          <w:sz w:val="20"/>
          <w:highlight w:val="none"/>
        </w:rPr>
        <w:fldChar w:fldCharType="begin"/>
      </w:r>
      <w:r>
        <w:rPr>
          <w:rFonts w:ascii="宋体" w:hAnsi="宋体"/>
          <w:smallCaps/>
          <w:sz w:val="20"/>
          <w:highlight w:val="none"/>
        </w:rPr>
        <w:instrText xml:space="preserve">HYPERLINK \l "_Toc27939"</w:instrText>
      </w:r>
      <w:r>
        <w:rPr>
          <w:rFonts w:ascii="宋体" w:hAnsi="宋体"/>
          <w:smallCaps/>
          <w:sz w:val="20"/>
          <w:highlight w:val="none"/>
        </w:rPr>
        <w:fldChar w:fldCharType="separate"/>
      </w:r>
      <w:r>
        <w:rPr>
          <w:rFonts w:hint="eastAsia" w:ascii="宋体" w:hAnsi="宋体"/>
          <w:smallCaps/>
          <w:sz w:val="20"/>
          <w:highlight w:val="none"/>
        </w:rPr>
        <w:t>附件五：确认通知</w:t>
      </w:r>
      <w:r>
        <w:rPr>
          <w:rFonts w:ascii="宋体" w:hAnsi="宋体"/>
          <w:smallCaps/>
          <w:sz w:val="20"/>
          <w:highlight w:val="none"/>
        </w:rPr>
        <w:tab/>
      </w:r>
      <w:r>
        <w:rPr>
          <w:rFonts w:ascii="宋体" w:hAnsi="宋体"/>
          <w:smallCaps/>
          <w:sz w:val="20"/>
          <w:highlight w:val="none"/>
        </w:rPr>
        <w:fldChar w:fldCharType="begin"/>
      </w:r>
      <w:r>
        <w:rPr>
          <w:rFonts w:ascii="宋体" w:hAnsi="宋体"/>
          <w:smallCaps/>
          <w:sz w:val="20"/>
          <w:highlight w:val="none"/>
        </w:rPr>
        <w:instrText xml:space="preserve"> PAGEREF _Toc27939 </w:instrText>
      </w:r>
      <w:r>
        <w:rPr>
          <w:rFonts w:ascii="宋体" w:hAnsi="宋体"/>
          <w:smallCaps/>
          <w:sz w:val="20"/>
          <w:highlight w:val="none"/>
        </w:rPr>
        <w:fldChar w:fldCharType="separate"/>
      </w:r>
      <w:r>
        <w:rPr>
          <w:rFonts w:ascii="宋体" w:hAnsi="宋体"/>
          <w:smallCaps/>
          <w:sz w:val="20"/>
          <w:highlight w:val="none"/>
        </w:rPr>
        <w:t>24</w:t>
      </w:r>
      <w:r>
        <w:rPr>
          <w:rFonts w:ascii="宋体" w:hAnsi="宋体"/>
          <w:smallCaps/>
          <w:sz w:val="20"/>
          <w:highlight w:val="none"/>
        </w:rPr>
        <w:fldChar w:fldCharType="end"/>
      </w:r>
      <w:r>
        <w:rPr>
          <w:rFonts w:ascii="宋体" w:hAnsi="宋体"/>
          <w:smallCaps/>
          <w:sz w:val="20"/>
          <w:highlight w:val="none"/>
        </w:rPr>
        <w:fldChar w:fldCharType="end"/>
      </w:r>
    </w:p>
    <w:p>
      <w:pPr>
        <w:pStyle w:val="28"/>
        <w:tabs>
          <w:tab w:val="right" w:leader="dot" w:pos="8958"/>
        </w:tabs>
        <w:rPr>
          <w:rFonts w:ascii="宋体" w:hAnsi="宋体"/>
          <w:b w:val="0"/>
          <w:bCs w:val="0"/>
          <w:caps w:val="0"/>
          <w:smallCaps/>
          <w:szCs w:val="24"/>
          <w:highlight w:val="none"/>
        </w:rPr>
      </w:pP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HYPERLINK \l "_Toc14090"</w:instrText>
      </w:r>
      <w:r>
        <w:rPr>
          <w:rFonts w:ascii="宋体" w:hAnsi="宋体"/>
          <w:b w:val="0"/>
          <w:bCs w:val="0"/>
          <w:caps w:val="0"/>
          <w:smallCaps/>
          <w:szCs w:val="24"/>
          <w:highlight w:val="none"/>
        </w:rPr>
        <w:fldChar w:fldCharType="separate"/>
      </w:r>
      <w:r>
        <w:rPr>
          <w:rFonts w:hint="eastAsia" w:ascii="宋体" w:hAnsi="宋体"/>
          <w:b w:val="0"/>
          <w:bCs w:val="0"/>
          <w:caps w:val="0"/>
          <w:smallCaps/>
          <w:szCs w:val="24"/>
          <w:highlight w:val="none"/>
        </w:rPr>
        <w:t>第三章 开标、评标及定标办法</w:t>
      </w:r>
      <w:r>
        <w:rPr>
          <w:rFonts w:ascii="宋体" w:hAnsi="宋体"/>
          <w:b w:val="0"/>
          <w:bCs w:val="0"/>
          <w:caps w:val="0"/>
          <w:smallCaps/>
          <w:szCs w:val="24"/>
          <w:highlight w:val="none"/>
        </w:rPr>
        <w:tab/>
      </w: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 PAGEREF _Toc14090 </w:instrText>
      </w:r>
      <w:r>
        <w:rPr>
          <w:rFonts w:ascii="宋体" w:hAnsi="宋体"/>
          <w:b w:val="0"/>
          <w:bCs w:val="0"/>
          <w:caps w:val="0"/>
          <w:smallCaps/>
          <w:szCs w:val="24"/>
          <w:highlight w:val="none"/>
        </w:rPr>
        <w:fldChar w:fldCharType="separate"/>
      </w:r>
      <w:r>
        <w:rPr>
          <w:rFonts w:ascii="宋体" w:hAnsi="宋体"/>
          <w:b w:val="0"/>
          <w:bCs w:val="0"/>
          <w:caps w:val="0"/>
          <w:smallCaps/>
          <w:szCs w:val="24"/>
          <w:highlight w:val="none"/>
        </w:rPr>
        <w:t>25</w:t>
      </w:r>
      <w:r>
        <w:rPr>
          <w:rFonts w:ascii="宋体" w:hAnsi="宋体"/>
          <w:b w:val="0"/>
          <w:bCs w:val="0"/>
          <w:caps w:val="0"/>
          <w:smallCaps/>
          <w:szCs w:val="24"/>
          <w:highlight w:val="none"/>
        </w:rPr>
        <w:fldChar w:fldCharType="end"/>
      </w:r>
      <w:r>
        <w:rPr>
          <w:rFonts w:ascii="宋体" w:hAnsi="宋体"/>
          <w:b w:val="0"/>
          <w:bCs w:val="0"/>
          <w:caps w:val="0"/>
          <w:smallCaps/>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"_Toc21328"</w:instrText>
      </w:r>
      <w:r>
        <w:rPr>
          <w:rFonts w:ascii="宋体" w:hAnsi="宋体"/>
          <w:szCs w:val="24"/>
          <w:highlight w:val="none"/>
        </w:rPr>
        <w:fldChar w:fldCharType="separate"/>
      </w:r>
      <w:r>
        <w:rPr>
          <w:rFonts w:hint="eastAsia" w:ascii="宋体" w:hAnsi="宋体"/>
          <w:color w:val="000000"/>
          <w:szCs w:val="24"/>
          <w:highlight w:val="none"/>
        </w:rPr>
        <w:t>一、总则</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_Toc21328 </w:instrText>
      </w:r>
      <w:r>
        <w:rPr>
          <w:rFonts w:ascii="宋体" w:hAnsi="宋体"/>
          <w:szCs w:val="24"/>
          <w:highlight w:val="none"/>
        </w:rPr>
        <w:fldChar w:fldCharType="separate"/>
      </w:r>
      <w:r>
        <w:rPr>
          <w:rFonts w:ascii="宋体" w:hAnsi="宋体"/>
          <w:szCs w:val="24"/>
          <w:highlight w:val="none"/>
        </w:rPr>
        <w:t>26</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"_Toc10170"</w:instrText>
      </w:r>
      <w:r>
        <w:rPr>
          <w:rFonts w:ascii="宋体" w:hAnsi="宋体"/>
          <w:szCs w:val="24"/>
          <w:highlight w:val="none"/>
        </w:rPr>
        <w:fldChar w:fldCharType="separate"/>
      </w:r>
      <w:r>
        <w:rPr>
          <w:rFonts w:hint="eastAsia" w:ascii="宋体" w:hAnsi="宋体" w:eastAsia="宋体"/>
          <w:color w:val="000000"/>
          <w:szCs w:val="24"/>
          <w:highlight w:val="none"/>
        </w:rPr>
        <w:t>1.开标、评标及定标所依据的规则</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_Toc10170 </w:instrText>
      </w:r>
      <w:r>
        <w:rPr>
          <w:rFonts w:ascii="宋体" w:hAnsi="宋体"/>
          <w:szCs w:val="24"/>
          <w:highlight w:val="none"/>
        </w:rPr>
        <w:fldChar w:fldCharType="separate"/>
      </w:r>
      <w:r>
        <w:rPr>
          <w:rFonts w:ascii="宋体" w:hAnsi="宋体"/>
          <w:szCs w:val="24"/>
          <w:highlight w:val="none"/>
        </w:rPr>
        <w:t>26</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"_Toc10553"</w:instrText>
      </w:r>
      <w:r>
        <w:rPr>
          <w:rFonts w:ascii="宋体" w:hAnsi="宋体"/>
          <w:szCs w:val="24"/>
          <w:highlight w:val="none"/>
        </w:rPr>
        <w:fldChar w:fldCharType="separate"/>
      </w:r>
      <w:r>
        <w:rPr>
          <w:rFonts w:hint="eastAsia" w:ascii="宋体" w:hAnsi="宋体" w:eastAsia="宋体"/>
          <w:color w:val="000000"/>
          <w:szCs w:val="24"/>
          <w:highlight w:val="none"/>
        </w:rPr>
        <w:t>2.开标</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_Toc10553 </w:instrText>
      </w:r>
      <w:r>
        <w:rPr>
          <w:rFonts w:ascii="宋体" w:hAnsi="宋体"/>
          <w:szCs w:val="24"/>
          <w:highlight w:val="none"/>
        </w:rPr>
        <w:fldChar w:fldCharType="separate"/>
      </w:r>
      <w:r>
        <w:rPr>
          <w:rFonts w:ascii="宋体" w:hAnsi="宋体"/>
          <w:szCs w:val="24"/>
          <w:highlight w:val="none"/>
        </w:rPr>
        <w:t>26</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"_Toc31031"</w:instrText>
      </w:r>
      <w:r>
        <w:rPr>
          <w:rFonts w:ascii="宋体" w:hAnsi="宋体"/>
          <w:szCs w:val="24"/>
          <w:highlight w:val="none"/>
        </w:rPr>
        <w:fldChar w:fldCharType="separate"/>
      </w:r>
      <w:r>
        <w:rPr>
          <w:rFonts w:hint="eastAsia" w:ascii="宋体" w:hAnsi="宋体" w:eastAsia="宋体"/>
          <w:color w:val="000000"/>
          <w:szCs w:val="24"/>
          <w:highlight w:val="none"/>
        </w:rPr>
        <w:t>3.评标</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_Toc31031 </w:instrText>
      </w:r>
      <w:r>
        <w:rPr>
          <w:rFonts w:ascii="宋体" w:hAnsi="宋体"/>
          <w:szCs w:val="24"/>
          <w:highlight w:val="none"/>
        </w:rPr>
        <w:fldChar w:fldCharType="separate"/>
      </w:r>
      <w:r>
        <w:rPr>
          <w:rFonts w:ascii="宋体" w:hAnsi="宋体"/>
          <w:szCs w:val="24"/>
          <w:highlight w:val="none"/>
        </w:rPr>
        <w:t>26</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"_Toc22974"</w:instrText>
      </w:r>
      <w:r>
        <w:rPr>
          <w:rFonts w:ascii="宋体" w:hAnsi="宋体"/>
          <w:szCs w:val="24"/>
          <w:highlight w:val="none"/>
        </w:rPr>
        <w:fldChar w:fldCharType="separate"/>
      </w:r>
      <w:r>
        <w:rPr>
          <w:rFonts w:hint="eastAsia" w:ascii="宋体" w:hAnsi="宋体" w:eastAsia="宋体"/>
          <w:color w:val="000000"/>
          <w:szCs w:val="24"/>
          <w:highlight w:val="none"/>
        </w:rPr>
        <w:t>4.投标文件的澄清</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_Toc22974 </w:instrText>
      </w:r>
      <w:r>
        <w:rPr>
          <w:rFonts w:ascii="宋体" w:hAnsi="宋体"/>
          <w:szCs w:val="24"/>
          <w:highlight w:val="none"/>
        </w:rPr>
        <w:fldChar w:fldCharType="separate"/>
      </w:r>
      <w:r>
        <w:rPr>
          <w:rFonts w:ascii="宋体" w:hAnsi="宋体"/>
          <w:szCs w:val="24"/>
          <w:highlight w:val="none"/>
        </w:rPr>
        <w:t>27</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"_Toc7386"</w:instrText>
      </w:r>
      <w:r>
        <w:rPr>
          <w:rFonts w:ascii="宋体" w:hAnsi="宋体"/>
          <w:szCs w:val="24"/>
          <w:highlight w:val="none"/>
        </w:rPr>
        <w:fldChar w:fldCharType="separate"/>
      </w:r>
      <w:r>
        <w:rPr>
          <w:rFonts w:hint="eastAsia" w:ascii="宋体" w:hAnsi="宋体" w:eastAsia="宋体"/>
          <w:color w:val="000000"/>
          <w:szCs w:val="24"/>
          <w:highlight w:val="none"/>
        </w:rPr>
        <w:t>5.定标</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_Toc7386 </w:instrText>
      </w:r>
      <w:r>
        <w:rPr>
          <w:rFonts w:ascii="宋体" w:hAnsi="宋体"/>
          <w:szCs w:val="24"/>
          <w:highlight w:val="none"/>
        </w:rPr>
        <w:fldChar w:fldCharType="separate"/>
      </w:r>
      <w:r>
        <w:rPr>
          <w:rFonts w:ascii="宋体" w:hAnsi="宋体"/>
          <w:szCs w:val="24"/>
          <w:highlight w:val="none"/>
        </w:rPr>
        <w:t>27</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"_Toc25316"</w:instrText>
      </w:r>
      <w:r>
        <w:rPr>
          <w:rFonts w:ascii="宋体" w:hAnsi="宋体"/>
          <w:szCs w:val="24"/>
          <w:highlight w:val="none"/>
        </w:rPr>
        <w:fldChar w:fldCharType="separate"/>
      </w:r>
      <w:r>
        <w:rPr>
          <w:rFonts w:hint="eastAsia" w:ascii="宋体" w:hAnsi="宋体" w:eastAsia="宋体"/>
          <w:color w:val="000000"/>
          <w:szCs w:val="24"/>
          <w:highlight w:val="none"/>
        </w:rPr>
        <w:t>二、开标评标办法程序和细则</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_Toc25316 </w:instrText>
      </w:r>
      <w:r>
        <w:rPr>
          <w:rFonts w:ascii="宋体" w:hAnsi="宋体"/>
          <w:szCs w:val="24"/>
          <w:highlight w:val="none"/>
        </w:rPr>
        <w:fldChar w:fldCharType="separate"/>
      </w:r>
      <w:r>
        <w:rPr>
          <w:rFonts w:ascii="宋体" w:hAnsi="宋体"/>
          <w:szCs w:val="24"/>
          <w:highlight w:val="none"/>
        </w:rPr>
        <w:t>27</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"_Toc27227"</w:instrText>
      </w:r>
      <w:r>
        <w:rPr>
          <w:rFonts w:ascii="宋体" w:hAnsi="宋体"/>
          <w:szCs w:val="24"/>
          <w:highlight w:val="none"/>
        </w:rPr>
        <w:fldChar w:fldCharType="separate"/>
      </w:r>
      <w:r>
        <w:rPr>
          <w:rFonts w:ascii="宋体" w:hAnsi="宋体" w:eastAsia="宋体"/>
          <w:color w:val="000000"/>
          <w:szCs w:val="24"/>
          <w:highlight w:val="none"/>
        </w:rPr>
        <w:t xml:space="preserve">6. </w:t>
      </w:r>
      <w:r>
        <w:rPr>
          <w:rFonts w:hint="eastAsia" w:ascii="宋体" w:hAnsi="宋体" w:eastAsia="宋体"/>
          <w:color w:val="000000"/>
          <w:szCs w:val="24"/>
          <w:highlight w:val="none"/>
        </w:rPr>
        <w:t>开标和评标程序</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_Toc27227 </w:instrText>
      </w:r>
      <w:r>
        <w:rPr>
          <w:rFonts w:ascii="宋体" w:hAnsi="宋体"/>
          <w:szCs w:val="24"/>
          <w:highlight w:val="none"/>
        </w:rPr>
        <w:fldChar w:fldCharType="separate"/>
      </w:r>
      <w:r>
        <w:rPr>
          <w:rFonts w:ascii="宋体" w:hAnsi="宋体"/>
          <w:szCs w:val="24"/>
          <w:highlight w:val="none"/>
        </w:rPr>
        <w:t>27</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"_Toc28709"</w:instrText>
      </w:r>
      <w:r>
        <w:rPr>
          <w:rFonts w:ascii="宋体" w:hAnsi="宋体"/>
          <w:szCs w:val="24"/>
          <w:highlight w:val="none"/>
        </w:rPr>
        <w:fldChar w:fldCharType="separate"/>
      </w:r>
      <w:r>
        <w:rPr>
          <w:rFonts w:ascii="宋体" w:hAnsi="宋体" w:eastAsia="宋体"/>
          <w:color w:val="000000"/>
          <w:szCs w:val="24"/>
          <w:highlight w:val="none"/>
        </w:rPr>
        <w:t xml:space="preserve">7. </w:t>
      </w:r>
      <w:r>
        <w:rPr>
          <w:rFonts w:hint="eastAsia" w:ascii="宋体" w:hAnsi="宋体" w:eastAsia="宋体"/>
          <w:color w:val="000000"/>
          <w:szCs w:val="24"/>
          <w:highlight w:val="none"/>
        </w:rPr>
        <w:t>开标细则</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_Toc28709 </w:instrText>
      </w:r>
      <w:r>
        <w:rPr>
          <w:rFonts w:ascii="宋体" w:hAnsi="宋体"/>
          <w:szCs w:val="24"/>
          <w:highlight w:val="none"/>
        </w:rPr>
        <w:fldChar w:fldCharType="separate"/>
      </w:r>
      <w:r>
        <w:rPr>
          <w:rFonts w:ascii="宋体" w:hAnsi="宋体"/>
          <w:szCs w:val="24"/>
          <w:highlight w:val="none"/>
        </w:rPr>
        <w:t>28</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"_Toc20329"</w:instrText>
      </w:r>
      <w:r>
        <w:rPr>
          <w:rFonts w:ascii="宋体" w:hAnsi="宋体"/>
          <w:szCs w:val="24"/>
          <w:highlight w:val="none"/>
        </w:rPr>
        <w:fldChar w:fldCharType="separate"/>
      </w:r>
      <w:r>
        <w:rPr>
          <w:rFonts w:ascii="宋体" w:hAnsi="宋体" w:eastAsia="宋体"/>
          <w:color w:val="000000"/>
          <w:szCs w:val="24"/>
          <w:highlight w:val="none"/>
        </w:rPr>
        <w:t xml:space="preserve">8. </w:t>
      </w:r>
      <w:r>
        <w:rPr>
          <w:rFonts w:hint="eastAsia" w:ascii="宋体" w:hAnsi="宋体" w:eastAsia="宋体"/>
          <w:color w:val="000000"/>
          <w:szCs w:val="24"/>
          <w:highlight w:val="none"/>
        </w:rPr>
        <w:t>评标细则</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_Toc20329 </w:instrText>
      </w:r>
      <w:r>
        <w:rPr>
          <w:rFonts w:ascii="宋体" w:hAnsi="宋体"/>
          <w:szCs w:val="24"/>
          <w:highlight w:val="none"/>
        </w:rPr>
        <w:fldChar w:fldCharType="separate"/>
      </w:r>
      <w:r>
        <w:rPr>
          <w:rFonts w:ascii="宋体" w:hAnsi="宋体"/>
          <w:szCs w:val="24"/>
          <w:highlight w:val="none"/>
        </w:rPr>
        <w:t>28</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"_Toc24824"</w:instrText>
      </w:r>
      <w:r>
        <w:rPr>
          <w:rFonts w:ascii="宋体" w:hAnsi="宋体"/>
          <w:szCs w:val="24"/>
          <w:highlight w:val="none"/>
        </w:rPr>
        <w:fldChar w:fldCharType="separate"/>
      </w:r>
      <w:r>
        <w:rPr>
          <w:rFonts w:hint="eastAsia" w:ascii="宋体" w:hAnsi="宋体"/>
          <w:szCs w:val="24"/>
          <w:highlight w:val="none"/>
        </w:rPr>
        <w:t>附表1：投标人资格审查表</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_Toc24824 </w:instrText>
      </w:r>
      <w:r>
        <w:rPr>
          <w:rFonts w:ascii="宋体" w:hAnsi="宋体"/>
          <w:szCs w:val="24"/>
          <w:highlight w:val="none"/>
        </w:rPr>
        <w:fldChar w:fldCharType="separate"/>
      </w:r>
      <w:r>
        <w:rPr>
          <w:rFonts w:ascii="宋体" w:hAnsi="宋体"/>
          <w:szCs w:val="24"/>
          <w:highlight w:val="none"/>
        </w:rPr>
        <w:t>30</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"_Toc26961"</w:instrText>
      </w:r>
      <w:r>
        <w:rPr>
          <w:rFonts w:ascii="宋体" w:hAnsi="宋体"/>
          <w:szCs w:val="24"/>
          <w:highlight w:val="none"/>
        </w:rPr>
        <w:fldChar w:fldCharType="separate"/>
      </w:r>
      <w:r>
        <w:rPr>
          <w:rFonts w:hint="eastAsia" w:ascii="宋体" w:hAnsi="宋体"/>
          <w:szCs w:val="24"/>
          <w:highlight w:val="none"/>
        </w:rPr>
        <w:t>附表2：商务、技术投标文件有效性审查表</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_Toc26961 </w:instrText>
      </w:r>
      <w:r>
        <w:rPr>
          <w:rFonts w:ascii="宋体" w:hAnsi="宋体"/>
          <w:szCs w:val="24"/>
          <w:highlight w:val="none"/>
        </w:rPr>
        <w:fldChar w:fldCharType="separate"/>
      </w:r>
      <w:r>
        <w:rPr>
          <w:rFonts w:ascii="宋体" w:hAnsi="宋体"/>
          <w:szCs w:val="24"/>
          <w:highlight w:val="none"/>
        </w:rPr>
        <w:t>31</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"_Toc1044"</w:instrText>
      </w:r>
      <w:r>
        <w:rPr>
          <w:rFonts w:ascii="宋体" w:hAnsi="宋体"/>
          <w:szCs w:val="24"/>
          <w:highlight w:val="none"/>
        </w:rPr>
        <w:fldChar w:fldCharType="separate"/>
      </w:r>
      <w:r>
        <w:rPr>
          <w:rFonts w:hint="eastAsia" w:ascii="宋体" w:hAnsi="宋体"/>
          <w:szCs w:val="24"/>
          <w:highlight w:val="none"/>
        </w:rPr>
        <w:t>附表3：价格投标文件有效性审查表</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_Toc1044 </w:instrText>
      </w:r>
      <w:r>
        <w:rPr>
          <w:rFonts w:ascii="宋体" w:hAnsi="宋体"/>
          <w:szCs w:val="24"/>
          <w:highlight w:val="none"/>
        </w:rPr>
        <w:fldChar w:fldCharType="separate"/>
      </w:r>
      <w:r>
        <w:rPr>
          <w:rFonts w:ascii="宋体" w:hAnsi="宋体"/>
          <w:szCs w:val="24"/>
          <w:highlight w:val="none"/>
        </w:rPr>
        <w:t>32</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"_Toc11217"</w:instrText>
      </w:r>
      <w:r>
        <w:rPr>
          <w:rFonts w:ascii="宋体" w:hAnsi="宋体"/>
          <w:szCs w:val="24"/>
          <w:highlight w:val="none"/>
        </w:rPr>
        <w:fldChar w:fldCharType="separate"/>
      </w:r>
      <w:r>
        <w:rPr>
          <w:rFonts w:ascii="宋体" w:hAnsi="宋体"/>
          <w:szCs w:val="24"/>
          <w:highlight w:val="none"/>
        </w:rPr>
        <w:t>附</w:t>
      </w:r>
      <w:r>
        <w:rPr>
          <w:rFonts w:hint="eastAsia" w:ascii="宋体" w:hAnsi="宋体"/>
          <w:szCs w:val="24"/>
          <w:highlight w:val="none"/>
        </w:rPr>
        <w:t>表4</w:t>
      </w:r>
      <w:r>
        <w:rPr>
          <w:rFonts w:ascii="宋体" w:hAnsi="宋体"/>
          <w:szCs w:val="24"/>
          <w:highlight w:val="none"/>
        </w:rPr>
        <w:t>：</w:t>
      </w:r>
      <w:r>
        <w:rPr>
          <w:rFonts w:hint="eastAsia" w:ascii="宋体" w:hAnsi="宋体"/>
          <w:szCs w:val="24"/>
          <w:highlight w:val="none"/>
        </w:rPr>
        <w:t>商务技术标详细审查评分标准（权重占30%）</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_Toc11217 </w:instrText>
      </w:r>
      <w:r>
        <w:rPr>
          <w:rFonts w:ascii="宋体" w:hAnsi="宋体"/>
          <w:szCs w:val="24"/>
          <w:highlight w:val="none"/>
        </w:rPr>
        <w:fldChar w:fldCharType="separate"/>
      </w:r>
      <w:r>
        <w:rPr>
          <w:rFonts w:ascii="宋体" w:hAnsi="宋体"/>
          <w:szCs w:val="24"/>
          <w:highlight w:val="none"/>
        </w:rPr>
        <w:t>33</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"_Toc21050"</w:instrText>
      </w:r>
      <w:r>
        <w:rPr>
          <w:rFonts w:ascii="宋体" w:hAnsi="宋体"/>
          <w:szCs w:val="24"/>
          <w:highlight w:val="none"/>
        </w:rPr>
        <w:fldChar w:fldCharType="separate"/>
      </w:r>
      <w:r>
        <w:rPr>
          <w:rFonts w:hint="eastAsia" w:ascii="宋体" w:hAnsi="宋体" w:eastAsia="宋体"/>
          <w:szCs w:val="24"/>
          <w:highlight w:val="none"/>
        </w:rPr>
        <w:t>附表5：经济标评分表（权重占70%）</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_Toc21050 </w:instrText>
      </w:r>
      <w:r>
        <w:rPr>
          <w:rFonts w:ascii="宋体" w:hAnsi="宋体"/>
          <w:szCs w:val="24"/>
          <w:highlight w:val="none"/>
        </w:rPr>
        <w:fldChar w:fldCharType="separate"/>
      </w:r>
      <w:r>
        <w:rPr>
          <w:rFonts w:ascii="宋体" w:hAnsi="宋体"/>
          <w:szCs w:val="24"/>
          <w:highlight w:val="none"/>
        </w:rPr>
        <w:t>35</w:t>
      </w:r>
      <w:r>
        <w:rPr>
          <w:rFonts w:ascii="宋体" w:hAnsi="宋体"/>
          <w:szCs w:val="24"/>
          <w:highlight w:val="none"/>
        </w:rPr>
        <w:fldChar w:fldCharType="end"/>
      </w:r>
      <w:r>
        <w:rPr>
          <w:rFonts w:ascii="宋体" w:hAnsi="宋体"/>
          <w:szCs w:val="24"/>
          <w:highlight w:val="none"/>
        </w:rPr>
        <w:fldChar w:fldCharType="end"/>
      </w:r>
    </w:p>
    <w:p>
      <w:pPr>
        <w:pStyle w:val="33"/>
        <w:tabs>
          <w:tab w:val="right" w:leader="dot" w:pos="8958"/>
        </w:tabs>
        <w:rPr>
          <w:rFonts w:ascii="宋体" w:hAnsi="宋体"/>
          <w:szCs w:val="24"/>
          <w:highlight w:val="none"/>
        </w:rPr>
      </w:pPr>
      <w:r>
        <w:rPr>
          <w:rFonts w:ascii="宋体" w:hAnsi="宋体"/>
          <w:szCs w:val="24"/>
          <w:highlight w:val="none"/>
        </w:rPr>
        <w:fldChar w:fldCharType="begin"/>
      </w:r>
      <w:r>
        <w:rPr>
          <w:rFonts w:ascii="宋体" w:hAnsi="宋体"/>
          <w:szCs w:val="24"/>
          <w:highlight w:val="none"/>
        </w:rPr>
        <w:instrText xml:space="preserve">HYPERLINK \l "_Toc13585"</w:instrText>
      </w:r>
      <w:r>
        <w:rPr>
          <w:rFonts w:ascii="宋体" w:hAnsi="宋体"/>
          <w:szCs w:val="24"/>
          <w:highlight w:val="none"/>
        </w:rPr>
        <w:fldChar w:fldCharType="separate"/>
      </w:r>
      <w:r>
        <w:rPr>
          <w:rFonts w:ascii="宋体" w:hAnsi="宋体"/>
          <w:szCs w:val="24"/>
          <w:highlight w:val="none"/>
        </w:rPr>
        <w:t>附</w:t>
      </w:r>
      <w:r>
        <w:rPr>
          <w:rFonts w:hint="eastAsia" w:ascii="宋体" w:hAnsi="宋体"/>
          <w:szCs w:val="24"/>
          <w:highlight w:val="none"/>
        </w:rPr>
        <w:t>表6</w:t>
      </w:r>
      <w:r>
        <w:rPr>
          <w:rFonts w:ascii="宋体" w:hAnsi="宋体"/>
          <w:szCs w:val="24"/>
          <w:highlight w:val="none"/>
        </w:rPr>
        <w:t>：</w:t>
      </w:r>
      <w:r>
        <w:rPr>
          <w:rFonts w:hint="eastAsia" w:ascii="宋体" w:hAnsi="宋体"/>
          <w:szCs w:val="24"/>
          <w:highlight w:val="none"/>
        </w:rPr>
        <w:t>算术复核表</w:t>
      </w:r>
      <w:r>
        <w:rPr>
          <w:rFonts w:ascii="宋体" w:hAnsi="宋体"/>
          <w:szCs w:val="24"/>
          <w:highlight w:val="none"/>
        </w:rPr>
        <w:tab/>
      </w:r>
      <w:r>
        <w:rPr>
          <w:rFonts w:ascii="宋体" w:hAnsi="宋体"/>
          <w:szCs w:val="24"/>
          <w:highlight w:val="none"/>
        </w:rPr>
        <w:fldChar w:fldCharType="begin"/>
      </w:r>
      <w:r>
        <w:rPr>
          <w:rFonts w:ascii="宋体" w:hAnsi="宋体"/>
          <w:szCs w:val="24"/>
          <w:highlight w:val="none"/>
        </w:rPr>
        <w:instrText xml:space="preserve"> PAGEREF _Toc13585 </w:instrText>
      </w:r>
      <w:r>
        <w:rPr>
          <w:rFonts w:ascii="宋体" w:hAnsi="宋体"/>
          <w:szCs w:val="24"/>
          <w:highlight w:val="none"/>
        </w:rPr>
        <w:fldChar w:fldCharType="separate"/>
      </w:r>
      <w:r>
        <w:rPr>
          <w:rFonts w:ascii="宋体" w:hAnsi="宋体"/>
          <w:szCs w:val="24"/>
          <w:highlight w:val="none"/>
        </w:rPr>
        <w:t>36</w:t>
      </w:r>
      <w:r>
        <w:rPr>
          <w:rFonts w:ascii="宋体" w:hAnsi="宋体"/>
          <w:szCs w:val="24"/>
          <w:highlight w:val="none"/>
        </w:rPr>
        <w:fldChar w:fldCharType="end"/>
      </w:r>
      <w:r>
        <w:rPr>
          <w:rFonts w:ascii="宋体" w:hAnsi="宋体"/>
          <w:szCs w:val="24"/>
          <w:highlight w:val="none"/>
        </w:rPr>
        <w:fldChar w:fldCharType="end"/>
      </w:r>
    </w:p>
    <w:p>
      <w:pPr>
        <w:pStyle w:val="28"/>
        <w:tabs>
          <w:tab w:val="right" w:leader="dot" w:pos="8958"/>
        </w:tabs>
        <w:rPr>
          <w:rFonts w:ascii="宋体" w:hAnsi="宋体"/>
          <w:b w:val="0"/>
          <w:bCs w:val="0"/>
          <w:caps w:val="0"/>
          <w:smallCaps/>
          <w:szCs w:val="24"/>
          <w:highlight w:val="none"/>
        </w:rPr>
      </w:pP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HYPERLINK \l "_Toc15748"</w:instrText>
      </w:r>
      <w:r>
        <w:rPr>
          <w:rFonts w:ascii="宋体" w:hAnsi="宋体"/>
          <w:b w:val="0"/>
          <w:bCs w:val="0"/>
          <w:caps w:val="0"/>
          <w:smallCaps/>
          <w:szCs w:val="24"/>
          <w:highlight w:val="none"/>
        </w:rPr>
        <w:fldChar w:fldCharType="separate"/>
      </w:r>
      <w:r>
        <w:rPr>
          <w:rFonts w:hint="eastAsia" w:ascii="宋体" w:hAnsi="宋体"/>
          <w:b w:val="0"/>
          <w:bCs w:val="0"/>
          <w:caps w:val="0"/>
          <w:smallCaps/>
          <w:szCs w:val="24"/>
          <w:highlight w:val="none"/>
        </w:rPr>
        <w:t>第四章 用户需求书</w:t>
      </w:r>
      <w:r>
        <w:rPr>
          <w:rFonts w:ascii="宋体" w:hAnsi="宋体"/>
          <w:b w:val="0"/>
          <w:bCs w:val="0"/>
          <w:caps w:val="0"/>
          <w:smallCaps/>
          <w:szCs w:val="24"/>
          <w:highlight w:val="none"/>
        </w:rPr>
        <w:tab/>
      </w: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 PAGEREF _Toc15748 </w:instrText>
      </w:r>
      <w:r>
        <w:rPr>
          <w:rFonts w:ascii="宋体" w:hAnsi="宋体"/>
          <w:b w:val="0"/>
          <w:bCs w:val="0"/>
          <w:caps w:val="0"/>
          <w:smallCaps/>
          <w:szCs w:val="24"/>
          <w:highlight w:val="none"/>
        </w:rPr>
        <w:fldChar w:fldCharType="separate"/>
      </w:r>
      <w:r>
        <w:rPr>
          <w:rFonts w:ascii="宋体" w:hAnsi="宋体"/>
          <w:b w:val="0"/>
          <w:bCs w:val="0"/>
          <w:caps w:val="0"/>
          <w:smallCaps/>
          <w:szCs w:val="24"/>
          <w:highlight w:val="none"/>
        </w:rPr>
        <w:t>38</w:t>
      </w:r>
      <w:r>
        <w:rPr>
          <w:rFonts w:ascii="宋体" w:hAnsi="宋体"/>
          <w:b w:val="0"/>
          <w:bCs w:val="0"/>
          <w:caps w:val="0"/>
          <w:smallCaps/>
          <w:szCs w:val="24"/>
          <w:highlight w:val="none"/>
        </w:rPr>
        <w:fldChar w:fldCharType="end"/>
      </w:r>
      <w:r>
        <w:rPr>
          <w:rFonts w:ascii="宋体" w:hAnsi="宋体"/>
          <w:b w:val="0"/>
          <w:bCs w:val="0"/>
          <w:caps w:val="0"/>
          <w:smallCaps/>
          <w:szCs w:val="24"/>
          <w:highlight w:val="none"/>
        </w:rPr>
        <w:fldChar w:fldCharType="end"/>
      </w:r>
    </w:p>
    <w:p>
      <w:pPr>
        <w:pStyle w:val="28"/>
        <w:tabs>
          <w:tab w:val="right" w:leader="dot" w:pos="8958"/>
        </w:tabs>
        <w:rPr>
          <w:rFonts w:ascii="宋体" w:hAnsi="宋体"/>
          <w:b w:val="0"/>
          <w:bCs w:val="0"/>
          <w:caps w:val="0"/>
          <w:smallCaps/>
          <w:szCs w:val="24"/>
          <w:highlight w:val="none"/>
        </w:rPr>
      </w:pP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HYPERLINK \l "_Toc14263"</w:instrText>
      </w:r>
      <w:r>
        <w:rPr>
          <w:rFonts w:ascii="宋体" w:hAnsi="宋体"/>
          <w:b w:val="0"/>
          <w:bCs w:val="0"/>
          <w:caps w:val="0"/>
          <w:smallCaps/>
          <w:szCs w:val="24"/>
          <w:highlight w:val="none"/>
        </w:rPr>
        <w:fldChar w:fldCharType="separate"/>
      </w:r>
      <w:r>
        <w:rPr>
          <w:rFonts w:hint="eastAsia" w:ascii="宋体" w:hAnsi="宋体" w:eastAsia="宋体"/>
          <w:b w:val="0"/>
          <w:bCs w:val="0"/>
          <w:caps w:val="0"/>
          <w:smallCaps/>
          <w:szCs w:val="24"/>
          <w:highlight w:val="none"/>
        </w:rPr>
        <w:t>第五章 合同条款</w:t>
      </w:r>
      <w:r>
        <w:rPr>
          <w:rFonts w:ascii="宋体" w:hAnsi="宋体"/>
          <w:b w:val="0"/>
          <w:bCs w:val="0"/>
          <w:caps w:val="0"/>
          <w:smallCaps/>
          <w:szCs w:val="24"/>
          <w:highlight w:val="none"/>
        </w:rPr>
        <w:tab/>
      </w: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 PAGEREF _Toc14263 </w:instrText>
      </w:r>
      <w:r>
        <w:rPr>
          <w:rFonts w:ascii="宋体" w:hAnsi="宋体"/>
          <w:b w:val="0"/>
          <w:bCs w:val="0"/>
          <w:caps w:val="0"/>
          <w:smallCaps/>
          <w:szCs w:val="24"/>
          <w:highlight w:val="none"/>
        </w:rPr>
        <w:fldChar w:fldCharType="separate"/>
      </w:r>
      <w:r>
        <w:rPr>
          <w:rFonts w:ascii="宋体" w:hAnsi="宋体"/>
          <w:b w:val="0"/>
          <w:bCs w:val="0"/>
          <w:caps w:val="0"/>
          <w:smallCaps/>
          <w:szCs w:val="24"/>
          <w:highlight w:val="none"/>
        </w:rPr>
        <w:t>49</w:t>
      </w:r>
      <w:r>
        <w:rPr>
          <w:rFonts w:ascii="宋体" w:hAnsi="宋体"/>
          <w:b w:val="0"/>
          <w:bCs w:val="0"/>
          <w:caps w:val="0"/>
          <w:smallCaps/>
          <w:szCs w:val="24"/>
          <w:highlight w:val="none"/>
        </w:rPr>
        <w:fldChar w:fldCharType="end"/>
      </w:r>
      <w:r>
        <w:rPr>
          <w:rFonts w:ascii="宋体" w:hAnsi="宋体"/>
          <w:b w:val="0"/>
          <w:bCs w:val="0"/>
          <w:caps w:val="0"/>
          <w:smallCaps/>
          <w:szCs w:val="24"/>
          <w:highlight w:val="none"/>
        </w:rPr>
        <w:fldChar w:fldCharType="end"/>
      </w:r>
    </w:p>
    <w:p>
      <w:pPr>
        <w:pStyle w:val="28"/>
        <w:tabs>
          <w:tab w:val="right" w:leader="dot" w:pos="8958"/>
        </w:tabs>
        <w:rPr>
          <w:rFonts w:ascii="宋体" w:hAnsi="宋体"/>
          <w:b w:val="0"/>
          <w:bCs w:val="0"/>
          <w:caps w:val="0"/>
          <w:smallCaps/>
          <w:szCs w:val="24"/>
          <w:highlight w:val="none"/>
        </w:rPr>
      </w:pP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HYPERLINK \l "_Toc13377"</w:instrText>
      </w:r>
      <w:r>
        <w:rPr>
          <w:rFonts w:ascii="宋体" w:hAnsi="宋体"/>
          <w:b w:val="0"/>
          <w:bCs w:val="0"/>
          <w:caps w:val="0"/>
          <w:smallCaps/>
          <w:szCs w:val="24"/>
          <w:highlight w:val="none"/>
        </w:rPr>
        <w:fldChar w:fldCharType="separate"/>
      </w:r>
      <w:r>
        <w:rPr>
          <w:rFonts w:ascii="宋体" w:hAnsi="宋体"/>
          <w:b w:val="0"/>
          <w:bCs w:val="0"/>
          <w:caps w:val="0"/>
          <w:smallCaps/>
          <w:szCs w:val="24"/>
          <w:highlight w:val="none"/>
        </w:rPr>
        <w:t>第</w:t>
      </w:r>
      <w:r>
        <w:rPr>
          <w:rFonts w:hint="eastAsia" w:ascii="宋体" w:hAnsi="宋体"/>
          <w:b w:val="0"/>
          <w:bCs w:val="0"/>
          <w:caps w:val="0"/>
          <w:smallCaps/>
          <w:kern w:val="2"/>
          <w:szCs w:val="24"/>
          <w:highlight w:val="none"/>
        </w:rPr>
        <w:t>六章  投标文件格式</w:t>
      </w:r>
      <w:r>
        <w:rPr>
          <w:rFonts w:ascii="宋体" w:hAnsi="宋体"/>
          <w:b w:val="0"/>
          <w:bCs w:val="0"/>
          <w:caps w:val="0"/>
          <w:smallCaps/>
          <w:szCs w:val="24"/>
          <w:highlight w:val="none"/>
        </w:rPr>
        <w:tab/>
      </w:r>
      <w:r>
        <w:rPr>
          <w:rFonts w:ascii="宋体" w:hAnsi="宋体"/>
          <w:b w:val="0"/>
          <w:bCs w:val="0"/>
          <w:caps w:val="0"/>
          <w:smallCaps/>
          <w:szCs w:val="24"/>
          <w:highlight w:val="none"/>
        </w:rPr>
        <w:fldChar w:fldCharType="begin"/>
      </w:r>
      <w:r>
        <w:rPr>
          <w:rFonts w:ascii="宋体" w:hAnsi="宋体"/>
          <w:b w:val="0"/>
          <w:bCs w:val="0"/>
          <w:caps w:val="0"/>
          <w:smallCaps/>
          <w:szCs w:val="24"/>
          <w:highlight w:val="none"/>
        </w:rPr>
        <w:instrText xml:space="preserve"> PAGEREF _Toc13377 </w:instrText>
      </w:r>
      <w:r>
        <w:rPr>
          <w:rFonts w:ascii="宋体" w:hAnsi="宋体"/>
          <w:b w:val="0"/>
          <w:bCs w:val="0"/>
          <w:caps w:val="0"/>
          <w:smallCaps/>
          <w:szCs w:val="24"/>
          <w:highlight w:val="none"/>
        </w:rPr>
        <w:fldChar w:fldCharType="separate"/>
      </w:r>
      <w:r>
        <w:rPr>
          <w:rFonts w:ascii="宋体" w:hAnsi="宋体"/>
          <w:b w:val="0"/>
          <w:bCs w:val="0"/>
          <w:caps w:val="0"/>
          <w:smallCaps/>
          <w:szCs w:val="24"/>
          <w:highlight w:val="none"/>
        </w:rPr>
        <w:t>82</w:t>
      </w:r>
      <w:r>
        <w:rPr>
          <w:rFonts w:ascii="宋体" w:hAnsi="宋体"/>
          <w:b w:val="0"/>
          <w:bCs w:val="0"/>
          <w:caps w:val="0"/>
          <w:smallCaps/>
          <w:szCs w:val="24"/>
          <w:highlight w:val="none"/>
        </w:rPr>
        <w:fldChar w:fldCharType="end"/>
      </w:r>
      <w:r>
        <w:rPr>
          <w:rFonts w:ascii="宋体" w:hAnsi="宋体"/>
          <w:b w:val="0"/>
          <w:bCs w:val="0"/>
          <w:caps w:val="0"/>
          <w:smallCaps/>
          <w:szCs w:val="24"/>
          <w:highlight w:val="none"/>
        </w:rPr>
        <w:fldChar w:fldCharType="end"/>
      </w:r>
    </w:p>
    <w:p>
      <w:pPr>
        <w:adjustRightInd w:val="0"/>
        <w:ind w:left="540" w:leftChars="257" w:firstLine="2180" w:firstLineChars="1090"/>
        <w:rPr>
          <w:rFonts w:ascii="宋体" w:hAnsi="宋体"/>
          <w:b/>
          <w:smallCaps/>
          <w:sz w:val="20"/>
          <w:szCs w:val="32"/>
          <w:highlight w:val="none"/>
        </w:rPr>
        <w:sectPr>
          <w:footerReference r:id="rId4" w:type="default"/>
          <w:pgSz w:w="11906" w:h="16838"/>
          <w:pgMar w:top="1474" w:right="1474" w:bottom="1474" w:left="1474" w:header="113" w:footer="851" w:gutter="0"/>
          <w:pgNumType w:start="1"/>
          <w:cols w:space="720" w:num="1"/>
          <w:docGrid w:type="lines" w:linePitch="312" w:charSpace="0"/>
        </w:sectPr>
      </w:pPr>
      <w:r>
        <w:rPr>
          <w:rFonts w:ascii="宋体" w:hAnsi="宋体"/>
          <w:smallCaps/>
          <w:sz w:val="20"/>
          <w:szCs w:val="24"/>
          <w:highlight w:val="none"/>
        </w:rPr>
        <w:fldChar w:fldCharType="end"/>
      </w:r>
    </w:p>
    <w:p>
      <w:pPr>
        <w:rPr>
          <w:rFonts w:ascii="宋体" w:hAnsi="宋体"/>
          <w:highlight w:val="none"/>
        </w:rPr>
      </w:pPr>
      <w:bookmarkStart w:id="0" w:name="_Toc292434255"/>
      <w:bookmarkStart w:id="1" w:name="_Toc177140850"/>
      <w:bookmarkStart w:id="2" w:name="_Toc38039608"/>
      <w:bookmarkStart w:id="3" w:name="_Toc35957188"/>
      <w:bookmarkStart w:id="4" w:name="_Toc35770876"/>
      <w:bookmarkStart w:id="5" w:name="_Toc103673603"/>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pStyle w:val="2"/>
        <w:spacing w:before="480" w:after="480" w:line="400" w:lineRule="exact"/>
        <w:jc w:val="center"/>
        <w:rPr>
          <w:rFonts w:ascii="宋体" w:hAnsi="宋体" w:cs="Arial"/>
          <w:highlight w:val="none"/>
        </w:rPr>
      </w:pPr>
      <w:bookmarkStart w:id="6" w:name="_Toc1763"/>
      <w:bookmarkStart w:id="7" w:name="_Toc13453"/>
      <w:bookmarkStart w:id="8" w:name="_Toc3971"/>
      <w:bookmarkStart w:id="9" w:name="_Toc5491"/>
      <w:bookmarkStart w:id="10" w:name="_Toc13024"/>
      <w:r>
        <w:rPr>
          <w:rFonts w:hint="eastAsia" w:ascii="宋体" w:hAnsi="宋体" w:cs="Arial"/>
          <w:highlight w:val="none"/>
        </w:rPr>
        <w:t xml:space="preserve">第一章  </w:t>
      </w:r>
      <w:bookmarkEnd w:id="0"/>
      <w:r>
        <w:rPr>
          <w:rFonts w:hint="eastAsia" w:ascii="宋体" w:hAnsi="宋体" w:cs="Arial"/>
          <w:highlight w:val="none"/>
        </w:rPr>
        <w:t>招标公告</w:t>
      </w:r>
      <w:bookmarkEnd w:id="6"/>
      <w:bookmarkEnd w:id="7"/>
      <w:bookmarkEnd w:id="8"/>
      <w:bookmarkEnd w:id="9"/>
      <w:bookmarkEnd w:id="10"/>
    </w:p>
    <w:p>
      <w:pPr>
        <w:widowControl/>
        <w:jc w:val="left"/>
        <w:rPr>
          <w:rFonts w:ascii="宋体" w:hAnsi="宋体" w:cs="Arial"/>
          <w:b/>
          <w:bCs/>
          <w:kern w:val="44"/>
          <w:sz w:val="44"/>
          <w:szCs w:val="44"/>
          <w:highlight w:val="none"/>
        </w:rPr>
        <w:sectPr>
          <w:type w:val="nextColumn"/>
          <w:pgSz w:w="11906" w:h="16838"/>
          <w:pgMar w:top="1134" w:right="1797" w:bottom="1134" w:left="1797" w:header="851" w:footer="992" w:gutter="0"/>
          <w:cols w:space="720" w:num="1"/>
          <w:docGrid w:type="linesAndChars" w:linePitch="312" w:charSpace="0"/>
        </w:sectPr>
      </w:pPr>
    </w:p>
    <w:p>
      <w:pPr>
        <w:spacing w:line="360" w:lineRule="auto"/>
        <w:ind w:firstLine="703" w:firstLineChars="250"/>
        <w:jc w:val="center"/>
        <w:rPr>
          <w:rFonts w:ascii="宋体" w:hAnsi="宋体"/>
          <w:szCs w:val="21"/>
          <w:highlight w:val="none"/>
        </w:rPr>
      </w:pPr>
      <w:r>
        <w:rPr>
          <w:rFonts w:hint="eastAsia" w:ascii="宋体" w:hAnsi="宋体"/>
          <w:b/>
          <w:bCs/>
          <w:sz w:val="28"/>
          <w:szCs w:val="28"/>
          <w:highlight w:val="none"/>
        </w:rPr>
        <w:t>招标公告</w:t>
      </w:r>
    </w:p>
    <w:p>
      <w:pPr>
        <w:spacing w:line="360" w:lineRule="auto"/>
        <w:ind w:firstLine="525" w:firstLineChars="250"/>
        <w:rPr>
          <w:rFonts w:ascii="宋体" w:hAnsi="宋体"/>
          <w:szCs w:val="21"/>
          <w:highlight w:val="none"/>
        </w:rPr>
      </w:pPr>
      <w:r>
        <w:rPr>
          <w:rFonts w:hint="eastAsia" w:ascii="宋体" w:hAnsi="宋体"/>
          <w:color w:val="auto"/>
          <w:szCs w:val="21"/>
          <w:highlight w:val="none"/>
        </w:rPr>
        <w:t>佛山市恒益环保建材有限公司根据有关规定</w:t>
      </w:r>
      <w:r>
        <w:rPr>
          <w:rFonts w:hint="eastAsia" w:ascii="宋体" w:hAnsi="宋体"/>
          <w:color w:val="auto"/>
          <w:szCs w:val="21"/>
          <w:highlight w:val="none"/>
          <w:lang w:eastAsia="zh-CN"/>
        </w:rPr>
        <w:t>，</w:t>
      </w:r>
      <w:r>
        <w:rPr>
          <w:rFonts w:hint="eastAsia" w:ascii="宋体" w:hAnsi="宋体"/>
          <w:szCs w:val="21"/>
          <w:highlight w:val="none"/>
        </w:rPr>
        <w:t>对佛山市恒益环保建材有限公司加气砌块生产辅助业务外委采购项目进行公开招标，欢迎符合资格的投标人参加投标。有关招标事项公告如下：</w:t>
      </w:r>
    </w:p>
    <w:p>
      <w:pPr>
        <w:numPr>
          <w:ilvl w:val="0"/>
          <w:numId w:val="2"/>
        </w:numPr>
        <w:adjustRightInd w:val="0"/>
        <w:spacing w:line="360" w:lineRule="auto"/>
        <w:ind w:firstLine="420" w:firstLineChars="200"/>
        <w:rPr>
          <w:rFonts w:ascii="宋体" w:hAnsi="宋体"/>
          <w:szCs w:val="21"/>
          <w:highlight w:val="none"/>
        </w:rPr>
      </w:pPr>
      <w:r>
        <w:rPr>
          <w:rFonts w:hint="eastAsia" w:ascii="宋体" w:hAnsi="宋体"/>
          <w:szCs w:val="21"/>
          <w:highlight w:val="none"/>
        </w:rPr>
        <w:t>项目名称：佛山市恒益环保建材有限公司加气砌块生产辅助业务外委采购项目</w:t>
      </w:r>
    </w:p>
    <w:p>
      <w:pPr>
        <w:tabs>
          <w:tab w:val="left" w:pos="2939"/>
        </w:tabs>
        <w:adjustRightInd w:val="0"/>
        <w:spacing w:line="360" w:lineRule="auto"/>
        <w:ind w:firstLine="420" w:firstLineChars="200"/>
        <w:rPr>
          <w:rFonts w:ascii="宋体" w:hAnsi="宋体"/>
          <w:szCs w:val="21"/>
          <w:highlight w:val="none"/>
        </w:rPr>
      </w:pPr>
      <w:r>
        <w:rPr>
          <w:rFonts w:hint="eastAsia" w:ascii="宋体" w:hAnsi="宋体"/>
          <w:szCs w:val="21"/>
          <w:highlight w:val="none"/>
        </w:rPr>
        <w:t>2、本次招标内容：</w:t>
      </w:r>
      <w:r>
        <w:rPr>
          <w:rFonts w:hint="eastAsia" w:ascii="宋体" w:hAnsi="宋体"/>
          <w:szCs w:val="21"/>
          <w:highlight w:val="none"/>
        </w:rPr>
        <w:tab/>
      </w:r>
    </w:p>
    <w:p>
      <w:pPr>
        <w:spacing w:line="360" w:lineRule="auto"/>
        <w:ind w:firstLine="420" w:firstLineChars="200"/>
        <w:rPr>
          <w:szCs w:val="21"/>
          <w:highlight w:val="none"/>
        </w:rPr>
      </w:pPr>
      <w:r>
        <w:rPr>
          <w:rFonts w:hint="eastAsia" w:ascii="宋体" w:hAnsi="宋体"/>
          <w:highlight w:val="none"/>
        </w:rPr>
        <w:t>2.1服务的范围:</w:t>
      </w:r>
      <w:r>
        <w:rPr>
          <w:rFonts w:hint="eastAsia"/>
          <w:szCs w:val="21"/>
          <w:highlight w:val="none"/>
        </w:rPr>
        <w:t>佛山市恒益</w:t>
      </w:r>
      <w:r>
        <w:rPr>
          <w:rFonts w:hint="eastAsia" w:ascii="宋体" w:hAnsi="宋体"/>
          <w:szCs w:val="21"/>
          <w:highlight w:val="none"/>
        </w:rPr>
        <w:t>环保建材有限公司加气砌块生产辅助业务。详细内容见招标文件第四章《用户需求书》</w:t>
      </w:r>
      <w:r>
        <w:rPr>
          <w:rFonts w:hint="eastAsia" w:ascii="宋体" w:hAnsi="宋体"/>
          <w:highlight w:val="none"/>
        </w:rPr>
        <w:t>。</w:t>
      </w:r>
    </w:p>
    <w:p>
      <w:pPr>
        <w:adjustRightInd w:val="0"/>
        <w:spacing w:line="360" w:lineRule="auto"/>
        <w:ind w:firstLine="420" w:firstLineChars="200"/>
        <w:rPr>
          <w:rFonts w:ascii="宋体" w:hAnsi="宋体"/>
          <w:szCs w:val="21"/>
          <w:highlight w:val="none"/>
        </w:rPr>
      </w:pPr>
      <w:r>
        <w:rPr>
          <w:rFonts w:ascii="宋体" w:hAnsi="宋体"/>
          <w:szCs w:val="21"/>
          <w:highlight w:val="none"/>
        </w:rPr>
        <w:t>2.2资金来源：招标人自筹，已落实。</w:t>
      </w:r>
    </w:p>
    <w:p>
      <w:pPr>
        <w:adjustRightInd w:val="0"/>
        <w:spacing w:line="360" w:lineRule="auto"/>
        <w:ind w:firstLine="420" w:firstLineChars="200"/>
        <w:rPr>
          <w:rFonts w:ascii="宋体" w:hAnsi="宋体"/>
          <w:szCs w:val="21"/>
          <w:highlight w:val="none"/>
        </w:rPr>
      </w:pPr>
      <w:r>
        <w:rPr>
          <w:rFonts w:hint="eastAsia" w:ascii="宋体" w:hAnsi="宋体"/>
          <w:szCs w:val="21"/>
          <w:highlight w:val="none"/>
        </w:rPr>
        <w:t>2.3项目地点：佛山市三水区白坭镇白金大道临江工业城2号。</w:t>
      </w:r>
    </w:p>
    <w:p>
      <w:pPr>
        <w:spacing w:line="360" w:lineRule="auto"/>
        <w:ind w:firstLine="420" w:firstLineChars="200"/>
        <w:rPr>
          <w:szCs w:val="21"/>
          <w:highlight w:val="none"/>
        </w:rPr>
      </w:pPr>
      <w:r>
        <w:rPr>
          <w:rFonts w:hint="eastAsia" w:ascii="宋体" w:hAnsi="宋体"/>
          <w:szCs w:val="21"/>
          <w:highlight w:val="none"/>
        </w:rPr>
        <w:t>2.4提供服务的时间要求：按招标人生产需要提供服务,服务期限2年(2019年12月1日起</w:t>
      </w:r>
      <w:r>
        <w:rPr>
          <w:rFonts w:hint="eastAsia" w:asciiTheme="minorEastAsia" w:hAnsiTheme="minorEastAsia" w:eastAsiaTheme="minorEastAsia"/>
          <w:szCs w:val="21"/>
          <w:highlight w:val="none"/>
        </w:rPr>
        <w:t>至</w:t>
      </w:r>
      <w:r>
        <w:rPr>
          <w:rFonts w:asciiTheme="minorEastAsia" w:hAnsiTheme="minorEastAsia" w:eastAsiaTheme="minorEastAsia"/>
          <w:szCs w:val="21"/>
          <w:highlight w:val="none"/>
        </w:rPr>
        <w:t>202</w:t>
      </w: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年11月30日止</w:t>
      </w:r>
      <w:r>
        <w:rPr>
          <w:rFonts w:hint="eastAsia" w:asciiTheme="minorEastAsia" w:hAnsiTheme="minorEastAsia" w:eastAsiaTheme="minorEastAsia"/>
          <w:szCs w:val="21"/>
          <w:highlight w:val="none"/>
        </w:rPr>
        <w:t>)</w:t>
      </w:r>
      <w:r>
        <w:rPr>
          <w:rFonts w:hint="eastAsia" w:ascii="宋体" w:hAnsi="宋体"/>
          <w:szCs w:val="21"/>
          <w:highlight w:val="none"/>
        </w:rPr>
        <w:t>。</w:t>
      </w:r>
    </w:p>
    <w:p>
      <w:pPr>
        <w:adjustRightInd w:val="0"/>
        <w:spacing w:line="360" w:lineRule="auto"/>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b/>
          <w:bCs/>
          <w:szCs w:val="21"/>
          <w:highlight w:val="none"/>
        </w:rPr>
        <w:t>合格的投标人条件：</w:t>
      </w:r>
    </w:p>
    <w:p>
      <w:pPr>
        <w:adjustRightIn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投标人应同时满足下述条件：</w:t>
      </w:r>
    </w:p>
    <w:p>
      <w:pPr>
        <w:widowControl/>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3.1</w:t>
      </w:r>
      <w:r>
        <w:rPr>
          <w:rFonts w:hint="eastAsia" w:ascii="宋体" w:hAnsi="宋体"/>
          <w:szCs w:val="21"/>
          <w:highlight w:val="none"/>
        </w:rPr>
        <w:t>投标人必须是在中华人民共和国范围内注册的独立法人或其他组织。企业法人应持有工商行政管理部门核发的有效营业执照，且持有有效的组织机构代码证和税务登记证（含国税和地税）(若投标人持有工商行政管理部门颁发的“一照一码”版本营业执照，则无需提交组织机构代码证及税务登记证）</w:t>
      </w:r>
      <w:r>
        <w:rPr>
          <w:rFonts w:hint="eastAsia" w:ascii="宋体" w:hAnsi="宋体"/>
          <w:color w:val="auto"/>
          <w:szCs w:val="21"/>
          <w:highlight w:val="none"/>
        </w:rPr>
        <w:t>；事业法人应持有事业单位法人证书</w:t>
      </w:r>
      <w:r>
        <w:rPr>
          <w:rFonts w:hint="eastAsia" w:ascii="宋体" w:hAnsi="宋体"/>
          <w:szCs w:val="21"/>
          <w:highlight w:val="none"/>
        </w:rPr>
        <w:t>。单位负责人为同一人或者存在控股、管理关系的不同单位，不得同时参加本招标项目投标，否则相关投标均无效；前述资料提供复印件。</w:t>
      </w:r>
    </w:p>
    <w:p>
      <w:pPr>
        <w:widowControl/>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3.2 按招标文件第六章“投标文件格式2”的内容和格式提供投标人声明。</w:t>
      </w:r>
    </w:p>
    <w:p>
      <w:pPr>
        <w:widowControl/>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3.3</w:t>
      </w:r>
      <w:r>
        <w:rPr>
          <w:rFonts w:hint="eastAsia" w:ascii="宋体" w:hAnsi="宋体"/>
          <w:szCs w:val="21"/>
          <w:highlight w:val="none"/>
        </w:rPr>
        <w:t>投标人业绩要求：2016年1月1日至投标文件递交截止日期止须具有至少1个工矿企业生产辅助服务业绩，并且须在投标文件中提供上述项目的服务合同（提供合同关键页复印件，合同关键页应包括封面、签字盖章页及主要内容页，否则视同未提供该业绩，业绩有效时间以合同签订时间为准）</w:t>
      </w:r>
      <w:r>
        <w:rPr>
          <w:rFonts w:hint="eastAsia" w:cs="宋体" w:asciiTheme="minorEastAsia" w:hAnsiTheme="minorEastAsia" w:eastAsiaTheme="minorEastAsia"/>
          <w:kern w:val="0"/>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cs="宋体"/>
          <w:kern w:val="0"/>
          <w:szCs w:val="21"/>
          <w:highlight w:val="none"/>
        </w:rPr>
        <w:t>3.4投标人拟负责本</w:t>
      </w:r>
      <w:r>
        <w:rPr>
          <w:rFonts w:hint="eastAsia" w:ascii="宋体" w:hAnsi="宋体"/>
          <w:szCs w:val="21"/>
          <w:highlight w:val="none"/>
        </w:rPr>
        <w:t>项目的负责人必须具有“生产经营单位安全生产管理人员安全培训合格证”或“生产经营单位负责人安全培训合格证”或“注册安全工程师证”其中之一；前述证书须提供复印件。</w:t>
      </w:r>
    </w:p>
    <w:p>
      <w:pPr>
        <w:widowControl/>
        <w:spacing w:line="360" w:lineRule="auto"/>
        <w:ind w:firstLine="420" w:firstLineChars="200"/>
        <w:jc w:val="left"/>
        <w:rPr>
          <w:rFonts w:asciiTheme="minorEastAsia" w:hAnsiTheme="minorEastAsia" w:eastAsiaTheme="minorEastAsia"/>
          <w:spacing w:val="-6"/>
          <w:szCs w:val="21"/>
          <w:highlight w:val="none"/>
        </w:rPr>
      </w:pPr>
      <w:r>
        <w:rPr>
          <w:rFonts w:hint="eastAsia" w:asciiTheme="minorEastAsia" w:hAnsiTheme="minorEastAsia" w:eastAsiaTheme="minorEastAsia"/>
          <w:szCs w:val="21"/>
          <w:highlight w:val="none"/>
        </w:rPr>
        <w:t>3.5</w:t>
      </w:r>
      <w:r>
        <w:rPr>
          <w:rFonts w:hint="eastAsia" w:ascii="宋体" w:hAnsi="宋体"/>
          <w:szCs w:val="21"/>
          <w:highlight w:val="none"/>
        </w:rPr>
        <w:t>本项目不接受联合体投标</w:t>
      </w:r>
      <w:r>
        <w:rPr>
          <w:rFonts w:hint="eastAsia" w:asciiTheme="minorEastAsia" w:hAnsiTheme="minorEastAsia" w:eastAsiaTheme="minorEastAsia"/>
          <w:szCs w:val="21"/>
          <w:highlight w:val="none"/>
        </w:rPr>
        <w:t>。</w:t>
      </w:r>
    </w:p>
    <w:p>
      <w:pPr>
        <w:adjustRightInd w:val="0"/>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投标</w:t>
      </w:r>
      <w:r>
        <w:rPr>
          <w:rFonts w:ascii="宋体" w:hAnsi="宋体"/>
          <w:szCs w:val="21"/>
          <w:highlight w:val="none"/>
        </w:rPr>
        <w:t>报名登记</w:t>
      </w:r>
      <w:r>
        <w:rPr>
          <w:rFonts w:hint="eastAsia" w:ascii="宋体" w:hAnsi="宋体"/>
          <w:szCs w:val="21"/>
          <w:highlight w:val="none"/>
        </w:rPr>
        <w:t>：</w:t>
      </w:r>
    </w:p>
    <w:p>
      <w:pPr>
        <w:adjustRightInd w:val="0"/>
        <w:spacing w:line="360" w:lineRule="auto"/>
        <w:ind w:firstLine="420" w:firstLineChars="200"/>
        <w:rPr>
          <w:rFonts w:ascii="宋体" w:hAnsi="宋体"/>
          <w:szCs w:val="21"/>
          <w:highlight w:val="none"/>
        </w:rPr>
      </w:pPr>
      <w:r>
        <w:rPr>
          <w:rFonts w:hint="eastAsia" w:ascii="宋体" w:hAnsi="宋体"/>
          <w:szCs w:val="21"/>
          <w:highlight w:val="none"/>
        </w:rPr>
        <w:t>报名时须提交以下资料（以下资料均须加盖投标人公章）:</w:t>
      </w:r>
    </w:p>
    <w:p>
      <w:pPr>
        <w:adjustRightInd w:val="0"/>
        <w:spacing w:line="360" w:lineRule="auto"/>
        <w:ind w:firstLine="420" w:firstLineChars="200"/>
        <w:rPr>
          <w:rFonts w:ascii="宋体" w:hAnsi="宋体"/>
          <w:szCs w:val="21"/>
          <w:highlight w:val="none"/>
        </w:rPr>
      </w:pPr>
      <w:r>
        <w:rPr>
          <w:rFonts w:hint="eastAsia" w:ascii="宋体" w:hAnsi="宋体"/>
          <w:szCs w:val="21"/>
          <w:highlight w:val="none"/>
        </w:rPr>
        <w:t>4.1工商营业执照副本的复印件。</w:t>
      </w:r>
    </w:p>
    <w:p>
      <w:pPr>
        <w:adjustRightInd w:val="0"/>
        <w:spacing w:line="360" w:lineRule="auto"/>
        <w:ind w:firstLine="420" w:firstLineChars="200"/>
        <w:rPr>
          <w:rFonts w:ascii="宋体" w:hAnsi="宋体"/>
          <w:szCs w:val="21"/>
          <w:highlight w:val="none"/>
        </w:rPr>
      </w:pPr>
      <w:r>
        <w:rPr>
          <w:rFonts w:hint="eastAsia" w:ascii="宋体" w:hAnsi="宋体"/>
          <w:szCs w:val="21"/>
          <w:highlight w:val="none"/>
        </w:rPr>
        <w:t>4.2组织机构代码证及国税、地税税务登记证复印件。</w:t>
      </w:r>
      <w:r>
        <w:rPr>
          <w:rFonts w:hint="eastAsia" w:ascii="宋体" w:hAnsi="宋体"/>
          <w:bCs/>
          <w:szCs w:val="21"/>
          <w:highlight w:val="none"/>
        </w:rPr>
        <w:t>若投标人持有工商行政管理部门颁发的“一照一码”版本营业执照，则无需提交组织机构代码证及税务登记证</w:t>
      </w:r>
      <w:r>
        <w:rPr>
          <w:rFonts w:hint="eastAsia" w:ascii="宋体" w:hAnsi="宋体"/>
          <w:szCs w:val="21"/>
          <w:highlight w:val="none"/>
        </w:rPr>
        <w:t>。</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4.3</w:t>
      </w:r>
      <w:r>
        <w:rPr>
          <w:rFonts w:hint="eastAsia" w:ascii="宋体" w:hAnsi="宋体"/>
          <w:bCs/>
          <w:szCs w:val="21"/>
          <w:highlight w:val="none"/>
        </w:rPr>
        <w:t>法定代表人证明书原件及法定代表人身份证复印件；非法定代表人前来购买的，提供法定代表人授权委托书原件及授权代表身份证复印件</w:t>
      </w:r>
      <w:r>
        <w:rPr>
          <w:rFonts w:hint="eastAsia" w:ascii="宋体" w:hAnsi="宋体"/>
          <w:szCs w:val="21"/>
          <w:highlight w:val="none"/>
        </w:rPr>
        <w:t>。</w:t>
      </w:r>
    </w:p>
    <w:p>
      <w:pPr>
        <w:adjustRightInd w:val="0"/>
        <w:spacing w:line="360" w:lineRule="auto"/>
        <w:ind w:firstLine="422" w:firstLineChars="200"/>
        <w:jc w:val="left"/>
        <w:rPr>
          <w:rFonts w:ascii="宋体" w:hAnsi="宋体"/>
          <w:b/>
          <w:bCs/>
          <w:szCs w:val="21"/>
          <w:highlight w:val="none"/>
        </w:rPr>
      </w:pPr>
      <w:r>
        <w:rPr>
          <w:rFonts w:hint="eastAsia" w:ascii="宋体" w:hAnsi="宋体"/>
          <w:b/>
          <w:bCs/>
          <w:szCs w:val="21"/>
          <w:highlight w:val="none"/>
        </w:rPr>
        <w:t>备注：招标代理机构对投标人提交的报名资料核对，不代表其投标资格的确认。投标人的投标资格最终以评标委员会根据其投标文件中提交的相关资料作出的评审结论为准。</w:t>
      </w:r>
    </w:p>
    <w:p>
      <w:pPr>
        <w:numPr>
          <w:ilvl w:val="0"/>
          <w:numId w:val="3"/>
        </w:numPr>
        <w:adjustRightInd w:val="0"/>
        <w:spacing w:line="360" w:lineRule="auto"/>
        <w:ind w:firstLine="420" w:firstLineChars="200"/>
        <w:rPr>
          <w:rFonts w:ascii="宋体" w:hAnsi="宋体"/>
          <w:szCs w:val="21"/>
          <w:highlight w:val="none"/>
        </w:rPr>
      </w:pPr>
      <w:r>
        <w:rPr>
          <w:rFonts w:hint="eastAsia" w:ascii="宋体" w:hAnsi="宋体"/>
          <w:szCs w:val="21"/>
          <w:highlight w:val="none"/>
        </w:rPr>
        <w:t>招标文件的获取：</w:t>
      </w:r>
    </w:p>
    <w:p>
      <w:pPr>
        <w:adjustRightInd w:val="0"/>
        <w:spacing w:line="360" w:lineRule="auto"/>
        <w:ind w:firstLine="420" w:firstLineChars="200"/>
        <w:rPr>
          <w:rFonts w:ascii="宋体" w:hAnsi="宋体"/>
          <w:szCs w:val="21"/>
          <w:highlight w:val="none"/>
        </w:rPr>
      </w:pPr>
      <w:r>
        <w:rPr>
          <w:rFonts w:ascii="宋体" w:hAnsi="宋体"/>
          <w:szCs w:val="21"/>
          <w:highlight w:val="none"/>
        </w:rPr>
        <w:t>5.1</w:t>
      </w:r>
      <w:r>
        <w:rPr>
          <w:rFonts w:hint="eastAsia" w:ascii="宋体" w:hAnsi="宋体"/>
          <w:szCs w:val="21"/>
          <w:highlight w:val="none"/>
        </w:rPr>
        <w:t>投标人应持上述资料于</w:t>
      </w:r>
      <w:r>
        <w:rPr>
          <w:rFonts w:ascii="宋体" w:hAnsi="宋体"/>
          <w:szCs w:val="21"/>
          <w:highlight w:val="none"/>
        </w:rPr>
        <w:t>：201</w:t>
      </w:r>
      <w:r>
        <w:rPr>
          <w:rFonts w:hint="eastAsia" w:ascii="宋体" w:hAnsi="宋体"/>
          <w:szCs w:val="21"/>
          <w:highlight w:val="none"/>
        </w:rPr>
        <w:t>9年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15</w:t>
      </w:r>
      <w:r>
        <w:rPr>
          <w:rFonts w:hint="eastAsia" w:ascii="宋体" w:hAnsi="宋体"/>
          <w:szCs w:val="21"/>
          <w:highlight w:val="none"/>
        </w:rPr>
        <w:t>日至</w:t>
      </w:r>
      <w:r>
        <w:rPr>
          <w:rFonts w:ascii="宋体" w:hAnsi="宋体"/>
          <w:szCs w:val="21"/>
          <w:highlight w:val="none"/>
        </w:rPr>
        <w:t>201</w:t>
      </w:r>
      <w:r>
        <w:rPr>
          <w:rFonts w:hint="eastAsia" w:ascii="宋体" w:hAnsi="宋体"/>
          <w:szCs w:val="21"/>
          <w:highlight w:val="none"/>
        </w:rPr>
        <w:t>9年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29</w:t>
      </w:r>
      <w:r>
        <w:rPr>
          <w:rFonts w:hint="eastAsia" w:ascii="宋体" w:hAnsi="宋体"/>
          <w:szCs w:val="21"/>
          <w:highlight w:val="none"/>
        </w:rPr>
        <w:t>日（</w:t>
      </w:r>
      <w:r>
        <w:rPr>
          <w:rFonts w:ascii="宋体" w:hAnsi="宋体"/>
          <w:szCs w:val="21"/>
          <w:highlight w:val="none"/>
        </w:rPr>
        <w:t>9:00－12:00</w:t>
      </w:r>
      <w:r>
        <w:rPr>
          <w:rFonts w:hint="eastAsia" w:ascii="宋体" w:hAnsi="宋体"/>
          <w:szCs w:val="21"/>
          <w:highlight w:val="none"/>
        </w:rPr>
        <w:t>，下午2:00－5:30，法定节假日及工休时间除外）报名，购买招标文件。</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5.2发售地点：</w:t>
      </w:r>
      <w:r>
        <w:rPr>
          <w:rFonts w:hint="eastAsia" w:cs="宋体"/>
          <w:bCs/>
          <w:szCs w:val="21"/>
          <w:highlight w:val="none"/>
        </w:rPr>
        <w:t>佛山市禅城区文华北路223号文华荟产业园1号楼5层527号广东中采招标有限公司</w:t>
      </w:r>
      <w:r>
        <w:rPr>
          <w:rFonts w:hint="eastAsia" w:ascii="宋体" w:hAnsi="宋体" w:cs="宋体"/>
          <w:b/>
          <w:bCs/>
          <w:kern w:val="0"/>
          <w:szCs w:val="21"/>
          <w:highlight w:val="none"/>
        </w:rPr>
        <w:t>或可进行网上报名（具体请联系采购代理机构0757-81993027）。</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5.3文件售价：人民币500元/套，售后不退。</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6、本项目投标保证金为人民币</w:t>
      </w:r>
      <w:r>
        <w:rPr>
          <w:rFonts w:hint="eastAsia" w:ascii="宋体" w:hAnsi="宋体"/>
          <w:szCs w:val="21"/>
          <w:highlight w:val="none"/>
          <w:u w:val="single"/>
        </w:rPr>
        <w:t>10万</w:t>
      </w:r>
      <w:r>
        <w:rPr>
          <w:rFonts w:hint="eastAsia" w:ascii="宋体" w:hAnsi="宋体"/>
          <w:szCs w:val="21"/>
          <w:highlight w:val="none"/>
        </w:rPr>
        <w:t>元（壹拾万元整），投标保证金必须在</w:t>
      </w:r>
      <w:r>
        <w:rPr>
          <w:rFonts w:hint="eastAsia" w:ascii="仿宋_GB2312" w:hAnsi="宋体" w:cs="Arial"/>
          <w:szCs w:val="21"/>
          <w:highlight w:val="none"/>
        </w:rPr>
        <w:t>投标截止日前以电汇方式存入招标人规定账</w:t>
      </w:r>
      <w:r>
        <w:rPr>
          <w:rFonts w:hint="eastAsia" w:ascii="宋体" w:hAnsi="宋体"/>
          <w:bCs/>
          <w:szCs w:val="21"/>
          <w:highlight w:val="none"/>
        </w:rPr>
        <w:t>户，投标保证金必须以投标人的名义转账，否则将被视为非响应性投标予以拒绝。</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7、投标文件递交及开标事宜：</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7.1</w:t>
      </w:r>
      <w:r>
        <w:rPr>
          <w:rFonts w:ascii="宋体" w:hAnsi="宋体"/>
          <w:szCs w:val="21"/>
          <w:highlight w:val="none"/>
        </w:rPr>
        <w:t>递交投标文件时间：201</w:t>
      </w:r>
      <w:r>
        <w:rPr>
          <w:rFonts w:hint="eastAsia" w:ascii="宋体" w:hAnsi="宋体"/>
          <w:szCs w:val="21"/>
          <w:highlight w:val="none"/>
        </w:rPr>
        <w:t>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5</w:t>
      </w:r>
      <w:r>
        <w:rPr>
          <w:rFonts w:hint="eastAsia" w:ascii="宋体" w:hAnsi="宋体"/>
          <w:szCs w:val="21"/>
          <w:highlight w:val="none"/>
        </w:rPr>
        <w:t>日</w:t>
      </w:r>
      <w:r>
        <w:rPr>
          <w:rFonts w:ascii="宋体" w:hAnsi="宋体"/>
          <w:szCs w:val="21"/>
          <w:highlight w:val="none"/>
        </w:rPr>
        <w:t>9时00分至9时30分止（北京时间）。</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7.2投标截止时间及开标时间：</w:t>
      </w:r>
      <w:r>
        <w:rPr>
          <w:rFonts w:ascii="宋体" w:hAnsi="宋体"/>
          <w:szCs w:val="21"/>
          <w:highlight w:val="none"/>
        </w:rPr>
        <w:t>201</w:t>
      </w:r>
      <w:r>
        <w:rPr>
          <w:rFonts w:hint="eastAsia" w:ascii="宋体" w:hAnsi="宋体"/>
          <w:szCs w:val="21"/>
          <w:highlight w:val="none"/>
        </w:rPr>
        <w:t>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5</w:t>
      </w:r>
      <w:r>
        <w:rPr>
          <w:rFonts w:hint="eastAsia" w:ascii="宋体" w:hAnsi="宋体"/>
          <w:szCs w:val="21"/>
          <w:highlight w:val="none"/>
        </w:rPr>
        <w:t>日</w:t>
      </w:r>
      <w:r>
        <w:rPr>
          <w:rFonts w:ascii="宋体" w:hAnsi="宋体"/>
          <w:szCs w:val="21"/>
          <w:highlight w:val="none"/>
        </w:rPr>
        <w:t>9时30分（北京时间）。</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7.3</w:t>
      </w:r>
      <w:r>
        <w:rPr>
          <w:rFonts w:ascii="宋体" w:hAnsi="宋体"/>
          <w:szCs w:val="21"/>
          <w:highlight w:val="none"/>
        </w:rPr>
        <w:t>投标文件</w:t>
      </w:r>
      <w:r>
        <w:rPr>
          <w:rFonts w:hint="eastAsia" w:ascii="宋体" w:hAnsi="宋体"/>
          <w:szCs w:val="21"/>
          <w:highlight w:val="none"/>
        </w:rPr>
        <w:t>递交及开标地点</w:t>
      </w:r>
      <w:r>
        <w:rPr>
          <w:rFonts w:ascii="宋体" w:hAnsi="宋体"/>
          <w:szCs w:val="21"/>
          <w:highlight w:val="none"/>
        </w:rPr>
        <w:t>：</w:t>
      </w:r>
      <w:r>
        <w:rPr>
          <w:rFonts w:hint="eastAsia" w:cs="宋体"/>
          <w:bCs/>
          <w:szCs w:val="21"/>
          <w:highlight w:val="none"/>
        </w:rPr>
        <w:t>佛山市禅城区文华北路223号文华荟产业园1号楼5层527号广东中采招标有限公司会议室</w:t>
      </w:r>
    </w:p>
    <w:p>
      <w:pPr>
        <w:adjustRightInd w:val="0"/>
        <w:spacing w:line="360" w:lineRule="auto"/>
        <w:ind w:firstLine="420" w:firstLineChars="200"/>
        <w:jc w:val="left"/>
        <w:rPr>
          <w:rFonts w:cs="宋体"/>
          <w:bCs/>
          <w:szCs w:val="21"/>
          <w:highlight w:val="none"/>
        </w:rPr>
      </w:pPr>
      <w:r>
        <w:rPr>
          <w:rFonts w:hint="eastAsia" w:ascii="宋体" w:hAnsi="宋体"/>
          <w:szCs w:val="21"/>
          <w:highlight w:val="none"/>
        </w:rPr>
        <w:t>8、资格审查</w:t>
      </w:r>
      <w:r>
        <w:rPr>
          <w:rFonts w:hint="eastAsia" w:cs="宋体"/>
          <w:bCs/>
          <w:szCs w:val="21"/>
          <w:highlight w:val="none"/>
        </w:rPr>
        <w:t>：</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w:t>
      </w:r>
      <w:r>
        <w:rPr>
          <w:rFonts w:ascii="宋体" w:hAnsi="宋体"/>
          <w:szCs w:val="21"/>
          <w:highlight w:val="none"/>
        </w:rPr>
        <w:t>本次招标采用资格后审。</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2</w:t>
      </w:r>
      <w:r>
        <w:rPr>
          <w:rFonts w:ascii="宋体" w:hAnsi="宋体"/>
          <w:szCs w:val="21"/>
          <w:highlight w:val="none"/>
        </w:rPr>
        <w:t>满足资格审查合格条件的投标申请人多于等于</w:t>
      </w:r>
      <w:r>
        <w:rPr>
          <w:rFonts w:ascii="宋体" w:hAnsi="宋体"/>
          <w:szCs w:val="21"/>
          <w:highlight w:val="none"/>
          <w:u w:val="single"/>
        </w:rPr>
        <w:t>3名时</w:t>
      </w:r>
      <w:r>
        <w:rPr>
          <w:rFonts w:ascii="宋体" w:hAnsi="宋体"/>
          <w:szCs w:val="21"/>
          <w:highlight w:val="none"/>
        </w:rPr>
        <w:t>，取全部满足资格审查合格条件的投标申请人为正式投标人。</w:t>
      </w:r>
    </w:p>
    <w:p>
      <w:pPr>
        <w:adjustRightInd w:val="0"/>
        <w:spacing w:line="360" w:lineRule="auto"/>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3</w:t>
      </w:r>
      <w:r>
        <w:rPr>
          <w:rFonts w:ascii="宋体" w:hAnsi="宋体"/>
          <w:szCs w:val="21"/>
          <w:highlight w:val="none"/>
        </w:rPr>
        <w:t>满足资格审查合格条件的投标申请人</w:t>
      </w:r>
      <w:r>
        <w:rPr>
          <w:rFonts w:ascii="宋体" w:hAnsi="宋体"/>
          <w:szCs w:val="21"/>
          <w:highlight w:val="none"/>
          <w:u w:val="single"/>
        </w:rPr>
        <w:t>不足3名</w:t>
      </w:r>
      <w:r>
        <w:rPr>
          <w:rFonts w:ascii="宋体" w:hAnsi="宋体"/>
          <w:szCs w:val="21"/>
          <w:highlight w:val="none"/>
        </w:rPr>
        <w:t>时为招标失败。招标人分析招标失败原因，修正招标方案，报有关管理部门核准后，重新组织招标。</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9、招标信息公告网址：佛山市公共资源交易网（http://www.fsggzy.cn/）</w:t>
      </w:r>
    </w:p>
    <w:p>
      <w:pPr>
        <w:adjustRightInd w:val="0"/>
        <w:spacing w:line="360" w:lineRule="auto"/>
        <w:ind w:firstLine="2730" w:firstLineChars="1300"/>
        <w:jc w:val="left"/>
        <w:rPr>
          <w:rFonts w:ascii="宋体" w:hAnsi="宋体"/>
          <w:szCs w:val="21"/>
          <w:highlight w:val="none"/>
        </w:rPr>
      </w:pPr>
      <w:r>
        <w:rPr>
          <w:rFonts w:hint="eastAsia" w:ascii="宋体" w:hAnsi="宋体"/>
          <w:szCs w:val="21"/>
          <w:highlight w:val="none"/>
        </w:rPr>
        <w:t>中国采购与招标网（https://www.chinabidding.com.cn/index.html）</w:t>
      </w:r>
    </w:p>
    <w:p>
      <w:pPr>
        <w:adjustRightInd w:val="0"/>
        <w:spacing w:line="360" w:lineRule="auto"/>
        <w:ind w:firstLine="2730" w:firstLineChars="1300"/>
        <w:jc w:val="left"/>
        <w:rPr>
          <w:rFonts w:ascii="宋体" w:hAnsi="宋体"/>
          <w:szCs w:val="21"/>
          <w:highlight w:val="none"/>
        </w:rPr>
      </w:pPr>
      <w:r>
        <w:rPr>
          <w:rFonts w:hint="eastAsia" w:ascii="宋体" w:hAnsi="宋体"/>
          <w:szCs w:val="21"/>
          <w:highlight w:val="none"/>
        </w:rPr>
        <w:t>招标代理机构网站（http://www.gdzczb.com/）</w:t>
      </w:r>
    </w:p>
    <w:p>
      <w:pPr>
        <w:adjustRightInd w:val="0"/>
        <w:spacing w:line="360" w:lineRule="auto"/>
        <w:ind w:firstLine="2730" w:firstLineChars="1300"/>
        <w:jc w:val="left"/>
        <w:rPr>
          <w:rFonts w:ascii="宋体" w:hAnsi="宋体"/>
          <w:szCs w:val="21"/>
          <w:highlight w:val="none"/>
        </w:rPr>
      </w:pPr>
      <w:r>
        <w:rPr>
          <w:rFonts w:hint="eastAsia" w:ascii="宋体" w:hAnsi="宋体"/>
          <w:szCs w:val="21"/>
          <w:highlight w:val="none"/>
        </w:rPr>
        <w:t>广州发展电子采购平台（</w:t>
      </w:r>
      <w:r>
        <w:rPr>
          <w:rFonts w:ascii="宋体" w:hAnsi="宋体"/>
          <w:szCs w:val="21"/>
          <w:highlight w:val="none"/>
        </w:rPr>
        <w:t>https://eps.gdg.com.cn/</w:t>
      </w:r>
      <w:r>
        <w:rPr>
          <w:rFonts w:hint="eastAsia" w:ascii="宋体" w:hAnsi="宋体"/>
          <w:szCs w:val="21"/>
          <w:highlight w:val="none"/>
        </w:rPr>
        <w:t xml:space="preserve">）  </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10、联系方式</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招标人：佛山市恒益环保建材有限公司           招标代理机构：广东中采招标有限公司</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联系人：唐小姐　                             联系人：吴小姐</w:t>
      </w:r>
    </w:p>
    <w:p>
      <w:pPr>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联系电话：0757-87655532                      电话/传真：0757-81993027</w:t>
      </w:r>
    </w:p>
    <w:p>
      <w:pPr>
        <w:adjustRightInd w:val="0"/>
        <w:spacing w:line="360" w:lineRule="auto"/>
        <w:ind w:left="5145" w:leftChars="200" w:hanging="4725" w:hangingChars="2250"/>
        <w:jc w:val="left"/>
        <w:rPr>
          <w:rFonts w:hint="eastAsia" w:cs="宋体"/>
          <w:bCs/>
          <w:szCs w:val="21"/>
          <w:highlight w:val="none"/>
        </w:rPr>
      </w:pPr>
      <w:r>
        <w:rPr>
          <w:rFonts w:hint="eastAsia" w:ascii="宋体" w:hAnsi="宋体"/>
          <w:szCs w:val="21"/>
          <w:highlight w:val="none"/>
        </w:rPr>
        <w:t>联系地址：</w:t>
      </w:r>
      <w:r>
        <w:rPr>
          <w:rFonts w:hint="eastAsia" w:ascii="宋体" w:hAnsi="宋体"/>
          <w:bCs/>
          <w:szCs w:val="21"/>
          <w:highlight w:val="none"/>
        </w:rPr>
        <w:t>佛山市三水区白坭镇临江工业城2号</w:t>
      </w:r>
      <w:r>
        <w:rPr>
          <w:rFonts w:hint="eastAsia" w:ascii="宋体" w:hAnsi="宋体"/>
          <w:szCs w:val="21"/>
          <w:highlight w:val="none"/>
        </w:rPr>
        <w:t xml:space="preserve">   联系地址：</w:t>
      </w:r>
      <w:r>
        <w:rPr>
          <w:rFonts w:hint="eastAsia" w:cs="宋体"/>
          <w:bCs/>
          <w:szCs w:val="21"/>
          <w:highlight w:val="none"/>
        </w:rPr>
        <w:t>佛山市禅城区文华北路223号文华荟产业园1号楼5层527号</w:t>
      </w:r>
      <w:bookmarkStart w:id="567" w:name="_GoBack"/>
      <w:bookmarkEnd w:id="567"/>
    </w:p>
    <w:p>
      <w:pPr>
        <w:adjustRightInd w:val="0"/>
        <w:spacing w:line="360" w:lineRule="auto"/>
        <w:ind w:firstLine="6720" w:firstLineChars="3200"/>
        <w:jc w:val="left"/>
        <w:rPr>
          <w:rFonts w:ascii="宋体" w:hAnsi="宋体"/>
          <w:szCs w:val="21"/>
          <w:highlight w:val="none"/>
        </w:rPr>
      </w:pPr>
      <w:r>
        <w:rPr>
          <w:rFonts w:hint="eastAsia" w:cs="宋体"/>
          <w:bCs/>
          <w:szCs w:val="21"/>
          <w:highlight w:val="none"/>
        </w:rPr>
        <w:t>广东中采招标有限公司</w:t>
      </w:r>
    </w:p>
    <w:p>
      <w:pPr>
        <w:adjustRightInd w:val="0"/>
        <w:spacing w:line="360" w:lineRule="auto"/>
        <w:jc w:val="right"/>
        <w:rPr>
          <w:rFonts w:ascii="宋体" w:hAnsi="宋体"/>
          <w:szCs w:val="21"/>
          <w:highlight w:val="none"/>
        </w:rPr>
      </w:pPr>
      <w:r>
        <w:rPr>
          <w:rFonts w:hint="eastAsia" w:ascii="宋体" w:hAnsi="宋体"/>
          <w:szCs w:val="21"/>
          <w:highlight w:val="none"/>
        </w:rPr>
        <w:t xml:space="preserve">                                                      二〇一九年</w:t>
      </w:r>
      <w:r>
        <w:rPr>
          <w:rFonts w:hint="eastAsia" w:ascii="宋体" w:hAnsi="宋体"/>
          <w:szCs w:val="21"/>
          <w:highlight w:val="none"/>
          <w:lang w:eastAsia="zh-CN"/>
        </w:rPr>
        <w:t>十</w:t>
      </w:r>
      <w:r>
        <w:rPr>
          <w:rFonts w:hint="eastAsia" w:ascii="宋体" w:hAnsi="宋体"/>
          <w:szCs w:val="21"/>
          <w:highlight w:val="none"/>
        </w:rPr>
        <w:t>月</w:t>
      </w:r>
      <w:r>
        <w:rPr>
          <w:rFonts w:hint="eastAsia" w:ascii="宋体" w:hAnsi="宋体"/>
          <w:szCs w:val="21"/>
          <w:highlight w:val="none"/>
          <w:lang w:eastAsia="zh-CN"/>
        </w:rPr>
        <w:t>十五</w:t>
      </w:r>
      <w:r>
        <w:rPr>
          <w:rFonts w:hint="eastAsia" w:ascii="宋体" w:hAnsi="宋体"/>
          <w:szCs w:val="21"/>
          <w:highlight w:val="none"/>
        </w:rPr>
        <w:t>日</w:t>
      </w:r>
    </w:p>
    <w:p>
      <w:pPr>
        <w:rPr>
          <w:rFonts w:ascii="宋体" w:hAnsi="宋体" w:cs="Arial"/>
          <w:sz w:val="30"/>
          <w:szCs w:val="30"/>
          <w:highlight w:val="none"/>
        </w:rPr>
      </w:pPr>
    </w:p>
    <w:p>
      <w:pPr>
        <w:pStyle w:val="2"/>
        <w:keepNext w:val="0"/>
        <w:keepLines w:val="0"/>
        <w:spacing w:before="480" w:after="480" w:line="400" w:lineRule="exact"/>
        <w:rPr>
          <w:rFonts w:ascii="宋体" w:hAnsi="宋体" w:cs="Arial"/>
          <w:highlight w:val="none"/>
        </w:rPr>
      </w:pPr>
    </w:p>
    <w:p>
      <w:pPr>
        <w:pStyle w:val="2"/>
        <w:keepNext w:val="0"/>
        <w:keepLines w:val="0"/>
        <w:spacing w:before="480" w:after="480" w:line="400" w:lineRule="exact"/>
        <w:rPr>
          <w:rFonts w:ascii="宋体" w:hAnsi="宋体" w:cs="Arial"/>
          <w:highlight w:val="none"/>
        </w:rPr>
      </w:pPr>
      <w:r>
        <w:rPr>
          <w:rFonts w:ascii="宋体" w:hAnsi="宋体" w:cs="Arial"/>
          <w:highlight w:val="none"/>
        </w:rPr>
        <w:br w:type="page"/>
      </w:r>
    </w:p>
    <w:p>
      <w:pPr>
        <w:pStyle w:val="2"/>
        <w:keepNext w:val="0"/>
        <w:keepLines w:val="0"/>
        <w:spacing w:before="480" w:after="480" w:line="400" w:lineRule="exact"/>
        <w:jc w:val="center"/>
        <w:rPr>
          <w:highlight w:val="none"/>
        </w:rPr>
      </w:pPr>
      <w:bookmarkStart w:id="11" w:name="_Toc14770"/>
      <w:bookmarkStart w:id="12" w:name="_Toc292434256"/>
      <w:bookmarkStart w:id="13" w:name="_Toc26254"/>
      <w:bookmarkStart w:id="14" w:name="_Toc23278"/>
      <w:bookmarkStart w:id="15" w:name="_Toc30585"/>
      <w:bookmarkStart w:id="16" w:name="_Toc26103"/>
      <w:r>
        <w:rPr>
          <w:rFonts w:hint="eastAsia" w:ascii="宋体" w:hAnsi="宋体" w:cs="Arial"/>
          <w:highlight w:val="none"/>
        </w:rPr>
        <w:t>第二章  投标人须知</w:t>
      </w:r>
      <w:bookmarkEnd w:id="1"/>
      <w:bookmarkEnd w:id="11"/>
      <w:bookmarkEnd w:id="12"/>
      <w:bookmarkEnd w:id="13"/>
      <w:bookmarkEnd w:id="14"/>
      <w:bookmarkEnd w:id="15"/>
      <w:bookmarkEnd w:id="16"/>
      <w:bookmarkStart w:id="17" w:name="_1．_前附表"/>
      <w:bookmarkEnd w:id="17"/>
    </w:p>
    <w:p>
      <w:pPr>
        <w:spacing w:line="400" w:lineRule="exact"/>
        <w:jc w:val="center"/>
        <w:outlineLvl w:val="1"/>
        <w:rPr>
          <w:rFonts w:ascii="宋体" w:hAnsi="宋体"/>
          <w:b/>
          <w:sz w:val="24"/>
          <w:highlight w:val="none"/>
        </w:rPr>
      </w:pPr>
      <w:bookmarkStart w:id="18" w:name="_Toc1323"/>
      <w:bookmarkStart w:id="19" w:name="_Toc20039"/>
      <w:bookmarkStart w:id="20" w:name="_Toc27501"/>
      <w:bookmarkStart w:id="21" w:name="_Toc44350282"/>
      <w:bookmarkStart w:id="22" w:name="_Toc177140851"/>
      <w:bookmarkStart w:id="23" w:name="_Toc73526185"/>
      <w:bookmarkStart w:id="24" w:name="_Toc4898"/>
      <w:bookmarkStart w:id="25" w:name="_Toc31307"/>
      <w:bookmarkStart w:id="26" w:name="_Toc108435087"/>
      <w:r>
        <w:rPr>
          <w:rFonts w:hint="eastAsia" w:ascii="宋体" w:hAnsi="宋体"/>
          <w:b/>
          <w:sz w:val="24"/>
          <w:highlight w:val="none"/>
        </w:rPr>
        <w:t>一、投标人须知前附表</w:t>
      </w:r>
      <w:bookmarkEnd w:id="18"/>
      <w:bookmarkEnd w:id="19"/>
      <w:bookmarkEnd w:id="20"/>
      <w:bookmarkEnd w:id="21"/>
      <w:bookmarkEnd w:id="22"/>
      <w:bookmarkEnd w:id="23"/>
      <w:bookmarkEnd w:id="24"/>
      <w:bookmarkEnd w:id="25"/>
      <w:bookmarkEnd w:id="26"/>
    </w:p>
    <w:p>
      <w:pPr>
        <w:spacing w:line="400" w:lineRule="exact"/>
        <w:jc w:val="center"/>
        <w:rPr>
          <w:rFonts w:ascii="宋体" w:hAnsi="宋体"/>
          <w:b/>
          <w:sz w:val="24"/>
          <w:highlight w:val="none"/>
        </w:rPr>
      </w:pPr>
    </w:p>
    <w:tbl>
      <w:tblPr>
        <w:tblStyle w:val="42"/>
        <w:tblW w:w="929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17"/>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blHeader/>
        </w:trPr>
        <w:tc>
          <w:tcPr>
            <w:tcW w:w="720" w:type="dxa"/>
            <w:tcBorders>
              <w:top w:val="single" w:color="auto" w:sz="4" w:space="0"/>
              <w:left w:val="single" w:color="auto" w:sz="4" w:space="0"/>
              <w:bottom w:val="single" w:color="auto" w:sz="4" w:space="0"/>
              <w:right w:val="single" w:color="auto" w:sz="4" w:space="0"/>
            </w:tcBorders>
            <w:vAlign w:val="center"/>
          </w:tcPr>
          <w:p>
            <w:pPr>
              <w:pStyle w:val="23"/>
              <w:widowControl/>
              <w:snapToGrid w:val="0"/>
              <w:spacing w:line="320" w:lineRule="exact"/>
              <w:ind w:left="0"/>
              <w:jc w:val="center"/>
              <w:rPr>
                <w:rFonts w:cs="Arial"/>
                <w:b/>
                <w:bCs/>
                <w:highlight w:val="none"/>
              </w:rPr>
            </w:pPr>
            <w:r>
              <w:rPr>
                <w:rFonts w:hint="eastAsia" w:cs="Arial"/>
                <w:b/>
                <w:bCs/>
                <w:highlight w:val="none"/>
              </w:rPr>
              <w:t>序号</w:t>
            </w:r>
          </w:p>
        </w:tc>
        <w:tc>
          <w:tcPr>
            <w:tcW w:w="1617" w:type="dxa"/>
            <w:tcBorders>
              <w:top w:val="single" w:color="auto" w:sz="4" w:space="0"/>
              <w:left w:val="single" w:color="auto" w:sz="4" w:space="0"/>
              <w:bottom w:val="single" w:color="auto" w:sz="4" w:space="0"/>
              <w:right w:val="single" w:color="auto" w:sz="4" w:space="0"/>
            </w:tcBorders>
            <w:vAlign w:val="center"/>
          </w:tcPr>
          <w:p>
            <w:pPr>
              <w:pStyle w:val="23"/>
              <w:widowControl/>
              <w:snapToGrid w:val="0"/>
              <w:spacing w:line="320" w:lineRule="exact"/>
              <w:jc w:val="center"/>
              <w:rPr>
                <w:rFonts w:cs="Arial"/>
                <w:b/>
                <w:bCs/>
                <w:highlight w:val="none"/>
              </w:rPr>
            </w:pPr>
            <w:r>
              <w:rPr>
                <w:rFonts w:hint="eastAsia" w:cs="Arial"/>
                <w:b/>
                <w:bCs/>
                <w:highlight w:val="none"/>
              </w:rPr>
              <w:t>项目</w:t>
            </w:r>
          </w:p>
        </w:tc>
        <w:tc>
          <w:tcPr>
            <w:tcW w:w="6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宋体" w:hAnsi="宋体" w:cs="Arial"/>
                <w:b/>
                <w:bCs/>
                <w:highlight w:val="none"/>
              </w:rPr>
            </w:pPr>
            <w:r>
              <w:rPr>
                <w:rFonts w:hint="eastAsia" w:ascii="宋体" w:hAnsi="宋体" w:cs="Arial"/>
                <w:b/>
                <w:bCs/>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cs="Arial"/>
                <w:highlight w:val="none"/>
              </w:rPr>
              <w:t>1</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cs="Arial"/>
                <w:highlight w:val="none"/>
              </w:rPr>
              <w:t>采购项目概况</w:t>
            </w:r>
          </w:p>
        </w:tc>
        <w:tc>
          <w:tcPr>
            <w:tcW w:w="695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Theme="minorEastAsia" w:hAnsiTheme="minorEastAsia" w:eastAsiaTheme="minorEastAsia"/>
                <w:szCs w:val="21"/>
                <w:highlight w:val="none"/>
              </w:rPr>
              <w:t>负责</w:t>
            </w:r>
            <w:r>
              <w:rPr>
                <w:rFonts w:hint="eastAsia"/>
                <w:highlight w:val="none"/>
              </w:rPr>
              <w:t>佛山市恒益环保建材有限公司2019年12月1日至2021年11月30日加气砌块生产辅助业务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cs="Arial"/>
                <w:highlight w:val="none"/>
              </w:rPr>
              <w:t>2</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cs="Arial"/>
                <w:highlight w:val="none"/>
              </w:rPr>
              <w:t>项目名称</w:t>
            </w:r>
          </w:p>
        </w:tc>
        <w:tc>
          <w:tcPr>
            <w:tcW w:w="695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b/>
                <w:sz w:val="18"/>
                <w:szCs w:val="18"/>
                <w:highlight w:val="none"/>
              </w:rPr>
            </w:pPr>
            <w:r>
              <w:rPr>
                <w:rFonts w:hint="eastAsia"/>
                <w:highlight w:val="none"/>
              </w:rPr>
              <w:t>佛山市恒益环保建材有限公司加气砌块生产辅助业务外委项目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3</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cs="Arial"/>
                <w:highlight w:val="none"/>
              </w:rPr>
              <w:t>招标范围</w:t>
            </w:r>
          </w:p>
        </w:tc>
        <w:tc>
          <w:tcPr>
            <w:tcW w:w="69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Arial"/>
                <w:highlight w:val="none"/>
              </w:rPr>
            </w:pPr>
            <w:r>
              <w:rPr>
                <w:rFonts w:hint="eastAsia" w:ascii="宋体" w:hAnsi="宋体"/>
                <w:szCs w:val="21"/>
                <w:highlight w:val="none"/>
              </w:rPr>
              <w:t>佛山市恒益环保建材有限公司加气砌块生产线辅助业务、发货辅助业务、叉运辅助业务、</w:t>
            </w:r>
            <w:r>
              <w:rPr>
                <w:rFonts w:hint="eastAsia" w:ascii="宋体" w:hAnsi="宋体" w:cs="宋体"/>
                <w:color w:val="000000"/>
                <w:kern w:val="0"/>
                <w:szCs w:val="21"/>
                <w:highlight w:val="none"/>
              </w:rPr>
              <w:t>质检辅助业务、锯场辅助业务、设备检修辅助业务</w:t>
            </w:r>
            <w:r>
              <w:rPr>
                <w:rFonts w:hint="eastAsia" w:ascii="宋体" w:hAnsi="宋体"/>
                <w:szCs w:val="21"/>
                <w:highlight w:val="none"/>
              </w:rPr>
              <w:t>等。详细内容见招标文件第四章《用户需求书》。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4</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Arial"/>
                <w:szCs w:val="21"/>
                <w:highlight w:val="none"/>
              </w:rPr>
            </w:pPr>
            <w:r>
              <w:rPr>
                <w:rFonts w:hint="eastAsia"/>
                <w:szCs w:val="21"/>
                <w:highlight w:val="none"/>
              </w:rPr>
              <w:t>服务要求</w:t>
            </w:r>
          </w:p>
        </w:tc>
        <w:tc>
          <w:tcPr>
            <w:tcW w:w="69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highlight w:val="none"/>
              </w:rPr>
            </w:pPr>
            <w:r>
              <w:rPr>
                <w:rFonts w:hint="eastAsia" w:ascii="宋体" w:hAnsi="宋体"/>
                <w:szCs w:val="21"/>
                <w:highlight w:val="none"/>
              </w:rPr>
              <w:t>详见第四章《用户需求》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5</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szCs w:val="21"/>
                <w:highlight w:val="none"/>
              </w:rPr>
            </w:pPr>
            <w:r>
              <w:rPr>
                <w:rFonts w:hint="eastAsia" w:ascii="宋体" w:hAnsi="宋体"/>
                <w:szCs w:val="21"/>
                <w:highlight w:val="none"/>
              </w:rPr>
              <w:t>报价方式</w:t>
            </w:r>
          </w:p>
        </w:tc>
        <w:tc>
          <w:tcPr>
            <w:tcW w:w="69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szCs w:val="21"/>
                <w:highlight w:val="none"/>
              </w:rPr>
            </w:pPr>
            <w:r>
              <w:rPr>
                <w:rFonts w:cs="Arial" w:asciiTheme="minorEastAsia" w:hAnsiTheme="minorEastAsia" w:eastAsiaTheme="minorEastAsia"/>
                <w:szCs w:val="21"/>
                <w:highlight w:val="none"/>
              </w:rPr>
              <w:t>本项目采用固定报价方式</w:t>
            </w:r>
            <w:r>
              <w:rPr>
                <w:rFonts w:ascii="宋体" w:hAnsi="宋体"/>
                <w:szCs w:val="21"/>
                <w:highlight w:val="none"/>
              </w:rPr>
              <w:t>。</w:t>
            </w:r>
            <w:r>
              <w:rPr>
                <w:rFonts w:asciiTheme="minorEastAsia" w:hAnsiTheme="minorEastAsia" w:eastAsiaTheme="minorEastAsia"/>
                <w:szCs w:val="21"/>
                <w:highlight w:val="none"/>
              </w:rPr>
              <w:t>参照</w:t>
            </w:r>
            <w:r>
              <w:rPr>
                <w:rFonts w:hint="eastAsia" w:asciiTheme="minorEastAsia" w:hAnsiTheme="minorEastAsia" w:eastAsiaTheme="minorEastAsia"/>
                <w:szCs w:val="21"/>
                <w:highlight w:val="none"/>
              </w:rPr>
              <w:t>格式12：报价单格式。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6</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szCs w:val="21"/>
                <w:highlight w:val="none"/>
              </w:rPr>
            </w:pPr>
            <w:r>
              <w:rPr>
                <w:rFonts w:hint="eastAsia" w:ascii="宋体" w:hAnsi="宋体" w:cs="Arial"/>
                <w:highlight w:val="none"/>
              </w:rPr>
              <w:t>资金来源</w:t>
            </w:r>
          </w:p>
        </w:tc>
        <w:tc>
          <w:tcPr>
            <w:tcW w:w="69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szCs w:val="21"/>
                <w:highlight w:val="none"/>
              </w:rPr>
            </w:pPr>
            <w:r>
              <w:rPr>
                <w:rFonts w:hint="eastAsia" w:ascii="宋体" w:hAnsi="宋体" w:cs="Arial"/>
                <w:szCs w:val="21"/>
                <w:highlight w:val="none"/>
              </w:rPr>
              <w:t>招标人自筹，已落实。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7</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cs="Arial"/>
                <w:highlight w:val="none"/>
              </w:rPr>
              <w:t>招标人</w:t>
            </w:r>
          </w:p>
        </w:tc>
        <w:tc>
          <w:tcPr>
            <w:tcW w:w="69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Arial"/>
                <w:highlight w:val="none"/>
              </w:rPr>
            </w:pPr>
            <w:r>
              <w:rPr>
                <w:rFonts w:hint="eastAsia" w:ascii="宋体" w:hAnsi="宋体"/>
                <w:bCs/>
                <w:szCs w:val="21"/>
                <w:highlight w:val="none"/>
              </w:rPr>
              <w:t>佛山市恒益环保建材有限公司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8</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szCs w:val="21"/>
                <w:highlight w:val="none"/>
              </w:rPr>
              <w:t>投标人提交疑问截止时间</w:t>
            </w:r>
          </w:p>
        </w:tc>
        <w:tc>
          <w:tcPr>
            <w:tcW w:w="6954" w:type="dxa"/>
            <w:vMerge w:val="restart"/>
            <w:tcBorders>
              <w:top w:val="single" w:color="auto" w:sz="4" w:space="0"/>
              <w:left w:val="single" w:color="auto" w:sz="4" w:space="0"/>
              <w:right w:val="single" w:color="auto" w:sz="4" w:space="0"/>
            </w:tcBorders>
            <w:vAlign w:val="center"/>
          </w:tcPr>
          <w:p>
            <w:pPr>
              <w:snapToGrid w:val="0"/>
              <w:spacing w:line="300" w:lineRule="exact"/>
              <w:ind w:hanging="2"/>
              <w:rPr>
                <w:rFonts w:ascii="宋体" w:hAnsi="宋体"/>
                <w:bCs/>
                <w:szCs w:val="21"/>
                <w:highlight w:val="none"/>
              </w:rPr>
            </w:pPr>
            <w:r>
              <w:rPr>
                <w:rFonts w:hint="eastAsia" w:ascii="宋体" w:hAnsi="宋体"/>
                <w:bCs/>
                <w:szCs w:val="21"/>
                <w:highlight w:val="none"/>
              </w:rPr>
              <w:t>本项目不集中召开澄清会，投标人如对招标文件及本项目相关内容有疑问，请以书面的形式提出（加盖公章后以扫描件的形式通过电子邮件发送至招标代理机构处，邮箱：</w:t>
            </w:r>
            <w:r>
              <w:rPr>
                <w:highlight w:val="none"/>
              </w:rPr>
              <w:fldChar w:fldCharType="begin"/>
            </w:r>
            <w:r>
              <w:rPr>
                <w:highlight w:val="none"/>
              </w:rPr>
              <w:instrText xml:space="preserve"> HYPERLINK "mailto:gdzczb@126.com" </w:instrText>
            </w:r>
            <w:r>
              <w:rPr>
                <w:highlight w:val="none"/>
              </w:rPr>
              <w:fldChar w:fldCharType="separate"/>
            </w:r>
            <w:r>
              <w:rPr>
                <w:rFonts w:ascii="宋体" w:hAnsi="宋体"/>
                <w:highlight w:val="none"/>
              </w:rPr>
              <w:t>gdzczb@126.com</w:t>
            </w:r>
            <w:r>
              <w:rPr>
                <w:rFonts w:ascii="宋体" w:hAnsi="宋体"/>
                <w:highlight w:val="none"/>
              </w:rPr>
              <w:fldChar w:fldCharType="end"/>
            </w:r>
            <w:r>
              <w:rPr>
                <w:rFonts w:hint="eastAsia" w:ascii="宋体" w:hAnsi="宋体"/>
                <w:highlight w:val="none"/>
              </w:rPr>
              <w:t>）</w:t>
            </w:r>
            <w:r>
              <w:rPr>
                <w:rFonts w:hint="eastAsia" w:ascii="宋体" w:hAnsi="宋体"/>
                <w:bCs/>
                <w:szCs w:val="21"/>
                <w:highlight w:val="none"/>
              </w:rPr>
              <w:t>。</w:t>
            </w:r>
          </w:p>
          <w:p>
            <w:pPr>
              <w:snapToGrid w:val="0"/>
              <w:spacing w:line="300" w:lineRule="exact"/>
              <w:ind w:hanging="2"/>
              <w:rPr>
                <w:rFonts w:ascii="宋体" w:hAnsi="宋体"/>
                <w:bCs/>
                <w:szCs w:val="21"/>
                <w:highlight w:val="none"/>
              </w:rPr>
            </w:pPr>
            <w:r>
              <w:rPr>
                <w:rFonts w:hint="eastAsia" w:ascii="宋体" w:hAnsi="宋体"/>
                <w:szCs w:val="21"/>
                <w:highlight w:val="none"/>
              </w:rPr>
              <w:t>投标人提交</w:t>
            </w:r>
            <w:r>
              <w:rPr>
                <w:rFonts w:hint="eastAsia" w:ascii="宋体" w:hAnsi="宋体"/>
                <w:bCs/>
                <w:szCs w:val="21"/>
                <w:highlight w:val="none"/>
              </w:rPr>
              <w:t>疑问截止时间：投标截止日期的</w:t>
            </w:r>
            <w:r>
              <w:rPr>
                <w:rFonts w:ascii="宋体" w:hAnsi="宋体"/>
                <w:bCs/>
                <w:szCs w:val="21"/>
                <w:highlight w:val="none"/>
              </w:rPr>
              <w:t>18日前</w:t>
            </w:r>
            <w:r>
              <w:rPr>
                <w:rFonts w:hint="eastAsia" w:ascii="宋体" w:hAnsi="宋体"/>
                <w:bCs/>
                <w:szCs w:val="21"/>
                <w:highlight w:val="none"/>
              </w:rPr>
              <w:t>；</w:t>
            </w:r>
          </w:p>
          <w:p>
            <w:pPr>
              <w:snapToGrid w:val="0"/>
              <w:spacing w:line="300" w:lineRule="exact"/>
              <w:ind w:hanging="2"/>
              <w:rPr>
                <w:rFonts w:ascii="宋体" w:hAnsi="宋体" w:cs="Arial"/>
                <w:highlight w:val="none"/>
              </w:rPr>
            </w:pPr>
            <w:r>
              <w:rPr>
                <w:rFonts w:hint="eastAsia" w:ascii="宋体" w:hAnsi="宋体"/>
                <w:bCs/>
                <w:szCs w:val="21"/>
                <w:highlight w:val="none"/>
              </w:rPr>
              <w:t>招标人答疑时间：投标截止日期的</w:t>
            </w:r>
            <w:r>
              <w:rPr>
                <w:rFonts w:ascii="宋体" w:hAnsi="宋体"/>
                <w:bCs/>
                <w:szCs w:val="21"/>
                <w:highlight w:val="none"/>
              </w:rPr>
              <w:t>15</w:t>
            </w:r>
            <w:r>
              <w:rPr>
                <w:rFonts w:hint="eastAsia" w:ascii="宋体" w:hAnsi="宋体"/>
                <w:bCs/>
                <w:szCs w:val="21"/>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9</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bCs/>
                <w:szCs w:val="21"/>
                <w:highlight w:val="none"/>
              </w:rPr>
              <w:t>招标人答疑时间</w:t>
            </w:r>
          </w:p>
        </w:tc>
        <w:tc>
          <w:tcPr>
            <w:tcW w:w="6954" w:type="dxa"/>
            <w:vMerge w:val="continue"/>
            <w:tcBorders>
              <w:left w:val="single" w:color="auto" w:sz="4" w:space="0"/>
              <w:bottom w:val="single" w:color="auto" w:sz="4" w:space="0"/>
              <w:right w:val="single" w:color="auto" w:sz="4" w:space="0"/>
            </w:tcBorders>
            <w:vAlign w:val="center"/>
          </w:tcPr>
          <w:p>
            <w:pPr>
              <w:spacing w:line="320" w:lineRule="exact"/>
              <w:rPr>
                <w:rFonts w:ascii="宋体" w:hAnsi="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10</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szCs w:val="21"/>
                <w:highlight w:val="none"/>
              </w:rPr>
              <w:t>投标人备选方案</w:t>
            </w:r>
          </w:p>
        </w:tc>
        <w:tc>
          <w:tcPr>
            <w:tcW w:w="69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Arial"/>
                <w:highlight w:val="none"/>
              </w:rPr>
            </w:pPr>
            <w:r>
              <w:rPr>
                <w:rFonts w:hint="eastAsia" w:ascii="宋体" w:hAnsi="宋体"/>
                <w:bCs/>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11</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szCs w:val="21"/>
                <w:highlight w:val="none"/>
              </w:rPr>
              <w:t>合格投标人条件</w:t>
            </w:r>
          </w:p>
        </w:tc>
        <w:tc>
          <w:tcPr>
            <w:tcW w:w="695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hanging="2"/>
              <w:rPr>
                <w:rFonts w:ascii="宋体" w:hAnsi="宋体"/>
                <w:bCs/>
                <w:szCs w:val="21"/>
                <w:highlight w:val="none"/>
              </w:rPr>
            </w:pPr>
            <w:r>
              <w:rPr>
                <w:rFonts w:hint="eastAsia" w:ascii="宋体" w:hAnsi="宋体"/>
                <w:bCs/>
                <w:szCs w:val="21"/>
                <w:highlight w:val="none"/>
              </w:rPr>
              <w:t>详见《招标公告》第</w:t>
            </w:r>
            <w:r>
              <w:rPr>
                <w:rFonts w:ascii="宋体" w:hAnsi="宋体"/>
                <w:bCs/>
                <w:szCs w:val="21"/>
                <w:highlight w:val="none"/>
              </w:rPr>
              <w:t>3</w:t>
            </w:r>
            <w:r>
              <w:rPr>
                <w:rFonts w:hint="eastAsia" w:ascii="宋体" w:hAnsi="宋体"/>
                <w:bCs/>
                <w:szCs w:val="2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12</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szCs w:val="21"/>
                <w:highlight w:val="none"/>
              </w:rPr>
              <w:t>证明投标人资格的文件</w:t>
            </w:r>
          </w:p>
        </w:tc>
        <w:tc>
          <w:tcPr>
            <w:tcW w:w="695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hanging="2"/>
              <w:rPr>
                <w:rFonts w:ascii="宋体" w:hAnsi="宋体"/>
                <w:bCs/>
                <w:szCs w:val="21"/>
                <w:highlight w:val="none"/>
              </w:rPr>
            </w:pPr>
            <w:r>
              <w:rPr>
                <w:rFonts w:hint="eastAsia" w:ascii="宋体" w:hAnsi="宋体"/>
                <w:bCs/>
                <w:szCs w:val="21"/>
                <w:highlight w:val="none"/>
              </w:rPr>
              <w:t>投标人根据招标公告“</w:t>
            </w:r>
            <w:r>
              <w:rPr>
                <w:rFonts w:ascii="宋体" w:hAnsi="宋体"/>
                <w:bCs/>
                <w:szCs w:val="21"/>
                <w:highlight w:val="none"/>
              </w:rPr>
              <w:t>3、</w:t>
            </w:r>
            <w:r>
              <w:rPr>
                <w:rFonts w:hint="eastAsia" w:ascii="宋体" w:hAnsi="宋体"/>
                <w:bCs/>
                <w:szCs w:val="21"/>
                <w:highlight w:val="none"/>
              </w:rPr>
              <w:t>合格的投标人条件”中的要求提供相应的佐证资料（须加盖投标人单位公章）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trPr>
        <w:tc>
          <w:tcPr>
            <w:tcW w:w="720" w:type="dxa"/>
            <w:vAlign w:val="center"/>
          </w:tcPr>
          <w:p>
            <w:pPr>
              <w:spacing w:line="320" w:lineRule="exact"/>
              <w:jc w:val="center"/>
              <w:rPr>
                <w:rFonts w:ascii="宋体" w:hAnsi="宋体" w:cs="Arial"/>
                <w:highlight w:val="none"/>
              </w:rPr>
            </w:pPr>
            <w:r>
              <w:rPr>
                <w:rFonts w:hint="eastAsia" w:ascii="宋体" w:hAnsi="宋体" w:cs="Arial"/>
                <w:highlight w:val="none"/>
              </w:rPr>
              <w:t>13</w:t>
            </w:r>
          </w:p>
        </w:tc>
        <w:tc>
          <w:tcPr>
            <w:tcW w:w="1617" w:type="dxa"/>
            <w:vAlign w:val="center"/>
          </w:tcPr>
          <w:p>
            <w:pPr>
              <w:widowControl/>
              <w:spacing w:line="320" w:lineRule="exact"/>
              <w:jc w:val="center"/>
              <w:rPr>
                <w:rFonts w:ascii="宋体" w:hAnsi="宋体" w:cs="Arial"/>
                <w:highlight w:val="none"/>
              </w:rPr>
            </w:pPr>
            <w:r>
              <w:rPr>
                <w:rFonts w:hint="eastAsia" w:ascii="宋体" w:hAnsi="宋体" w:cs="Arial"/>
                <w:highlight w:val="none"/>
              </w:rPr>
              <w:t>投标保证金</w:t>
            </w:r>
          </w:p>
        </w:tc>
        <w:tc>
          <w:tcPr>
            <w:tcW w:w="6954" w:type="dxa"/>
          </w:tcPr>
          <w:p>
            <w:pPr>
              <w:snapToGrid w:val="0"/>
              <w:spacing w:line="300" w:lineRule="exact"/>
              <w:ind w:hanging="2"/>
              <w:rPr>
                <w:rFonts w:ascii="宋体" w:hAnsi="宋体"/>
                <w:bCs/>
                <w:szCs w:val="21"/>
                <w:highlight w:val="none"/>
              </w:rPr>
            </w:pPr>
            <w:r>
              <w:rPr>
                <w:rFonts w:hint="eastAsia" w:ascii="宋体" w:hAnsi="宋体"/>
                <w:bCs/>
                <w:szCs w:val="21"/>
                <w:highlight w:val="none"/>
              </w:rPr>
              <w:t>投标保证金：人民币10万元</w:t>
            </w:r>
            <w:r>
              <w:rPr>
                <w:rFonts w:hint="eastAsia" w:ascii="宋体" w:hAnsi="宋体"/>
                <w:szCs w:val="21"/>
                <w:highlight w:val="none"/>
              </w:rPr>
              <w:t>（壹拾万元整）</w:t>
            </w:r>
            <w:r>
              <w:rPr>
                <w:rFonts w:hint="eastAsia" w:ascii="宋体" w:hAnsi="宋体"/>
                <w:bCs/>
                <w:szCs w:val="21"/>
                <w:highlight w:val="none"/>
              </w:rPr>
              <w:t>。</w:t>
            </w:r>
          </w:p>
          <w:p>
            <w:pPr>
              <w:snapToGrid w:val="0"/>
              <w:spacing w:line="300" w:lineRule="exact"/>
              <w:ind w:hanging="2"/>
              <w:rPr>
                <w:rFonts w:ascii="宋体" w:hAnsi="宋体"/>
                <w:bCs/>
                <w:szCs w:val="21"/>
                <w:highlight w:val="none"/>
              </w:rPr>
            </w:pPr>
            <w:r>
              <w:rPr>
                <w:rFonts w:hint="eastAsia" w:ascii="宋体" w:hAnsi="宋体"/>
                <w:bCs/>
                <w:szCs w:val="21"/>
                <w:highlight w:val="none"/>
              </w:rPr>
              <w:t>投标保证金以转账方式提交到</w:t>
            </w:r>
            <w:r>
              <w:rPr>
                <w:rFonts w:ascii="宋体" w:hAnsi="宋体"/>
                <w:bCs/>
                <w:szCs w:val="21"/>
                <w:highlight w:val="none"/>
              </w:rPr>
              <w:t>:</w:t>
            </w:r>
          </w:p>
          <w:p>
            <w:pPr>
              <w:widowControl/>
              <w:numPr>
                <w:ilvl w:val="2"/>
                <w:numId w:val="4"/>
              </w:numPr>
              <w:tabs>
                <w:tab w:val="left" w:pos="-9463"/>
                <w:tab w:val="clear" w:pos="1560"/>
              </w:tabs>
              <w:snapToGrid w:val="0"/>
              <w:spacing w:line="300" w:lineRule="exact"/>
              <w:ind w:left="0" w:hanging="2"/>
              <w:rPr>
                <w:rFonts w:ascii="宋体" w:hAnsi="宋体"/>
                <w:bCs/>
                <w:szCs w:val="21"/>
                <w:highlight w:val="none"/>
              </w:rPr>
            </w:pPr>
            <w:r>
              <w:rPr>
                <w:rFonts w:hint="eastAsia" w:ascii="宋体" w:hAnsi="宋体"/>
                <w:bCs/>
                <w:szCs w:val="21"/>
                <w:highlight w:val="none"/>
              </w:rPr>
              <w:t>收款人：佛山市恒益环保建材有限公司</w:t>
            </w:r>
          </w:p>
          <w:p>
            <w:pPr>
              <w:widowControl/>
              <w:tabs>
                <w:tab w:val="left" w:pos="-9463"/>
                <w:tab w:val="left" w:pos="720"/>
              </w:tabs>
              <w:snapToGrid w:val="0"/>
              <w:spacing w:line="300" w:lineRule="exact"/>
              <w:rPr>
                <w:rFonts w:ascii="宋体" w:hAnsi="宋体"/>
                <w:b/>
                <w:bCs/>
                <w:color w:val="FF0000"/>
                <w:spacing w:val="-18"/>
                <w:szCs w:val="21"/>
                <w:highlight w:val="none"/>
              </w:rPr>
            </w:pPr>
            <w:r>
              <w:rPr>
                <w:rFonts w:ascii="宋体" w:hAnsi="宋体"/>
                <w:bCs/>
                <w:szCs w:val="21"/>
                <w:highlight w:val="none"/>
              </w:rPr>
              <w:t xml:space="preserve">b.  </w:t>
            </w:r>
            <w:r>
              <w:rPr>
                <w:rFonts w:hint="eastAsia" w:ascii="宋体" w:hAnsi="宋体"/>
                <w:bCs/>
                <w:szCs w:val="21"/>
                <w:highlight w:val="none"/>
              </w:rPr>
              <w:t>开户银行：工行佛山南海丹灶支行</w:t>
            </w:r>
          </w:p>
          <w:p>
            <w:pPr>
              <w:widowControl/>
              <w:numPr>
                <w:ilvl w:val="2"/>
                <w:numId w:val="4"/>
              </w:numPr>
              <w:tabs>
                <w:tab w:val="left" w:pos="-9463"/>
                <w:tab w:val="clear" w:pos="1560"/>
              </w:tabs>
              <w:snapToGrid w:val="0"/>
              <w:spacing w:line="300" w:lineRule="exact"/>
              <w:ind w:left="0" w:hanging="2"/>
              <w:rPr>
                <w:rFonts w:ascii="宋体" w:hAnsi="宋体"/>
                <w:bCs/>
                <w:szCs w:val="21"/>
                <w:highlight w:val="none"/>
              </w:rPr>
            </w:pPr>
            <w:r>
              <w:rPr>
                <w:rFonts w:hint="eastAsia" w:ascii="宋体" w:hAnsi="宋体"/>
                <w:bCs/>
                <w:szCs w:val="21"/>
                <w:highlight w:val="none"/>
              </w:rPr>
              <w:t>账号：</w:t>
            </w:r>
            <w:r>
              <w:rPr>
                <w:rFonts w:ascii="宋体" w:hAnsi="宋体"/>
                <w:bCs/>
                <w:szCs w:val="21"/>
                <w:highlight w:val="none"/>
              </w:rPr>
              <w:t xml:space="preserve"> 2013024409200036018</w:t>
            </w:r>
          </w:p>
          <w:p>
            <w:pPr>
              <w:spacing w:line="320" w:lineRule="exact"/>
              <w:rPr>
                <w:rFonts w:ascii="宋体" w:hAnsi="宋体" w:cs="Arial"/>
                <w:highlight w:val="none"/>
              </w:rPr>
            </w:pPr>
            <w:r>
              <w:rPr>
                <w:rFonts w:hint="eastAsia" w:ascii="宋体" w:hAnsi="宋体"/>
                <w:bCs/>
                <w:szCs w:val="21"/>
                <w:highlight w:val="none"/>
              </w:rPr>
              <w:t>在</w:t>
            </w:r>
            <w:r>
              <w:rPr>
                <w:rFonts w:hint="eastAsia" w:ascii="仿宋_GB2312" w:hAnsi="宋体" w:cs="Arial"/>
                <w:szCs w:val="21"/>
                <w:highlight w:val="none"/>
              </w:rPr>
              <w:t>投标截止日前</w:t>
            </w:r>
            <w:r>
              <w:rPr>
                <w:rFonts w:hint="eastAsia" w:ascii="宋体" w:hAnsi="宋体"/>
                <w:bCs/>
                <w:szCs w:val="21"/>
                <w:highlight w:val="none"/>
              </w:rPr>
              <w:t>汇入并到达招标人账户上，以招标人财务部开具的收据凭证或银行收款凭证为准。限定从投标人基本账户转出，转账凭单请标注项目名称，招标人不接受个人名义提交的投标保证金。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14</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szCs w:val="21"/>
                <w:highlight w:val="none"/>
              </w:rPr>
              <w:t>投标有效期</w:t>
            </w:r>
          </w:p>
        </w:tc>
        <w:tc>
          <w:tcPr>
            <w:tcW w:w="69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Arial"/>
                <w:highlight w:val="none"/>
              </w:rPr>
            </w:pPr>
            <w:r>
              <w:rPr>
                <w:rFonts w:ascii="宋体" w:hAnsi="宋体"/>
                <w:bCs/>
                <w:szCs w:val="21"/>
                <w:highlight w:val="none"/>
              </w:rPr>
              <w:t>120</w:t>
            </w:r>
            <w:r>
              <w:rPr>
                <w:rFonts w:hint="eastAsia" w:ascii="宋体" w:hAnsi="宋体"/>
                <w:bCs/>
                <w:szCs w:val="21"/>
                <w:highlight w:val="none"/>
              </w:rPr>
              <w:t>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15</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szCs w:val="21"/>
                <w:highlight w:val="none"/>
              </w:rPr>
            </w:pPr>
            <w:r>
              <w:rPr>
                <w:rFonts w:hint="eastAsia" w:ascii="宋体" w:hAnsi="宋体"/>
                <w:szCs w:val="21"/>
                <w:highlight w:val="none"/>
              </w:rPr>
              <w:t>投标文件份数</w:t>
            </w:r>
          </w:p>
        </w:tc>
        <w:tc>
          <w:tcPr>
            <w:tcW w:w="6954" w:type="dxa"/>
            <w:tcBorders>
              <w:top w:val="single" w:color="auto" w:sz="4" w:space="0"/>
              <w:left w:val="single" w:color="auto" w:sz="4" w:space="0"/>
              <w:bottom w:val="single" w:color="auto" w:sz="4" w:space="0"/>
              <w:right w:val="single" w:color="auto" w:sz="4" w:space="0"/>
            </w:tcBorders>
          </w:tcPr>
          <w:p>
            <w:pPr>
              <w:snapToGrid w:val="0"/>
              <w:spacing w:line="300" w:lineRule="exact"/>
              <w:ind w:hanging="2"/>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书面投标文件一式</w:t>
            </w:r>
            <w:r>
              <w:rPr>
                <w:rFonts w:ascii="宋体" w:hAnsi="宋体"/>
                <w:bCs/>
                <w:szCs w:val="21"/>
                <w:highlight w:val="none"/>
              </w:rPr>
              <w:t>5份(</w:t>
            </w:r>
            <w:r>
              <w:rPr>
                <w:rFonts w:hint="eastAsia" w:ascii="宋体" w:hAnsi="宋体"/>
                <w:bCs/>
                <w:szCs w:val="21"/>
                <w:highlight w:val="none"/>
              </w:rPr>
              <w:t>正本</w:t>
            </w:r>
            <w:r>
              <w:rPr>
                <w:rFonts w:ascii="宋体" w:hAnsi="宋体"/>
                <w:bCs/>
                <w:szCs w:val="21"/>
                <w:highlight w:val="none"/>
              </w:rPr>
              <w:t>1份，副本4份)</w:t>
            </w:r>
            <w:r>
              <w:rPr>
                <w:rFonts w:hint="eastAsia" w:ascii="宋体" w:hAnsi="宋体"/>
                <w:bCs/>
                <w:szCs w:val="21"/>
                <w:highlight w:val="none"/>
              </w:rPr>
              <w:t>；商务技术文件、价格文件分别密封装订。</w:t>
            </w:r>
          </w:p>
          <w:p>
            <w:pPr>
              <w:tabs>
                <w:tab w:val="left" w:pos="315"/>
                <w:tab w:val="left" w:pos="1785"/>
                <w:tab w:val="left" w:pos="2310"/>
                <w:tab w:val="left" w:pos="8640"/>
              </w:tabs>
              <w:snapToGrid w:val="0"/>
              <w:spacing w:line="300" w:lineRule="exact"/>
              <w:ind w:hanging="2"/>
              <w:rPr>
                <w:rFonts w:ascii="宋体" w:hAnsi="宋体"/>
                <w:bCs/>
                <w:szCs w:val="21"/>
                <w:highlight w:val="none"/>
              </w:rPr>
            </w:pPr>
            <w:r>
              <w:rPr>
                <w:rFonts w:ascii="宋体" w:hAnsi="宋体"/>
                <w:bCs/>
                <w:szCs w:val="21"/>
                <w:highlight w:val="none"/>
              </w:rPr>
              <w:t>2、唱标信封一份；</w:t>
            </w:r>
          </w:p>
          <w:p>
            <w:pPr>
              <w:snapToGrid w:val="0"/>
              <w:spacing w:line="300" w:lineRule="exact"/>
              <w:ind w:hanging="2"/>
              <w:rPr>
                <w:rFonts w:ascii="宋体" w:hAnsi="宋体"/>
                <w:bCs/>
                <w:szCs w:val="21"/>
                <w:highlight w:val="none"/>
              </w:rPr>
            </w:pPr>
            <w:r>
              <w:rPr>
                <w:rFonts w:ascii="宋体" w:hAnsi="宋体"/>
                <w:bCs/>
                <w:szCs w:val="21"/>
                <w:highlight w:val="none"/>
              </w:rPr>
              <w:t>3、投标文件电子版2份（U盘2份）：包括①《商务技术投标文件》的电子版存入U盘（一式1份）</w:t>
            </w:r>
            <w:r>
              <w:rPr>
                <w:rFonts w:hint="eastAsia" w:ascii="宋体" w:hAnsi="宋体"/>
                <w:bCs/>
                <w:szCs w:val="21"/>
                <w:highlight w:val="none"/>
              </w:rPr>
              <w:t>，与书面商务技术投标文件一起密封</w:t>
            </w:r>
            <w:r>
              <w:rPr>
                <w:rFonts w:ascii="宋体" w:hAnsi="宋体"/>
                <w:bCs/>
                <w:szCs w:val="21"/>
                <w:highlight w:val="none"/>
              </w:rPr>
              <w:t>；②《价格投标文件》电子版存入U盘（一式1份）</w:t>
            </w:r>
            <w:r>
              <w:rPr>
                <w:rFonts w:hint="eastAsia" w:ascii="宋体" w:hAnsi="宋体"/>
                <w:bCs/>
                <w:szCs w:val="21"/>
                <w:highlight w:val="none"/>
              </w:rPr>
              <w:t>，与书面价格投标文件一起密封</w:t>
            </w:r>
            <w:r>
              <w:rPr>
                <w:rFonts w:ascii="宋体" w:hAnsi="宋体"/>
                <w:bCs/>
                <w:szCs w:val="21"/>
                <w:highlight w:val="none"/>
              </w:rPr>
              <w:t>；</w:t>
            </w:r>
          </w:p>
          <w:p>
            <w:pPr>
              <w:spacing w:line="320" w:lineRule="exact"/>
              <w:rPr>
                <w:rFonts w:ascii="宋体" w:hAnsi="宋体"/>
                <w:bCs/>
                <w:szCs w:val="21"/>
                <w:highlight w:val="none"/>
              </w:rPr>
            </w:pPr>
            <w:r>
              <w:rPr>
                <w:rFonts w:ascii="宋体" w:hAnsi="宋体"/>
                <w:bCs/>
                <w:szCs w:val="21"/>
                <w:highlight w:val="none"/>
              </w:rPr>
              <w:t xml:space="preserve">4、所有文字说明文件应采用 MS WORD </w:t>
            </w:r>
            <w:r>
              <w:rPr>
                <w:rFonts w:hint="eastAsia" w:ascii="宋体" w:hAnsi="宋体"/>
                <w:bCs/>
                <w:szCs w:val="21"/>
                <w:highlight w:val="none"/>
              </w:rPr>
              <w:t>格式和</w:t>
            </w:r>
            <w:r>
              <w:rPr>
                <w:rFonts w:ascii="宋体" w:hAnsi="宋体"/>
                <w:bCs/>
                <w:szCs w:val="21"/>
                <w:highlight w:val="none"/>
              </w:rPr>
              <w:t xml:space="preserve">PDF格式存储，电子版价格表文件应采用 MS EXCEL </w:t>
            </w:r>
            <w:r>
              <w:rPr>
                <w:rFonts w:hint="eastAsia" w:ascii="宋体" w:hAnsi="宋体"/>
                <w:bCs/>
                <w:szCs w:val="21"/>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16</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szCs w:val="21"/>
                <w:highlight w:val="none"/>
              </w:rPr>
              <w:t>唱标信封</w:t>
            </w:r>
          </w:p>
        </w:tc>
        <w:tc>
          <w:tcPr>
            <w:tcW w:w="6954" w:type="dxa"/>
            <w:tcBorders>
              <w:top w:val="single" w:color="auto" w:sz="4" w:space="0"/>
              <w:left w:val="single" w:color="auto" w:sz="4" w:space="0"/>
              <w:bottom w:val="single" w:color="auto" w:sz="4" w:space="0"/>
              <w:right w:val="single" w:color="auto" w:sz="4" w:space="0"/>
            </w:tcBorders>
            <w:vAlign w:val="center"/>
          </w:tcPr>
          <w:p>
            <w:pPr>
              <w:spacing w:line="320" w:lineRule="exact"/>
              <w:rPr>
                <w:highlight w:val="none"/>
              </w:rPr>
            </w:pPr>
            <w:r>
              <w:rPr>
                <w:rFonts w:hint="eastAsia"/>
                <w:highlight w:val="none"/>
              </w:rPr>
              <w:t>见投标人须知25.5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17</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szCs w:val="21"/>
                <w:highlight w:val="none"/>
                <w:lang w:eastAsia="zh-CN"/>
              </w:rPr>
            </w:pPr>
            <w:r>
              <w:rPr>
                <w:rFonts w:hint="eastAsia" w:ascii="宋体" w:hAnsi="宋体"/>
                <w:szCs w:val="21"/>
                <w:highlight w:val="none"/>
              </w:rPr>
              <w:t>履约</w:t>
            </w:r>
            <w:r>
              <w:rPr>
                <w:rFonts w:hint="eastAsia" w:ascii="宋体" w:hAnsi="宋体"/>
                <w:szCs w:val="21"/>
                <w:highlight w:val="none"/>
                <w:lang w:eastAsia="zh-CN"/>
              </w:rPr>
              <w:t>保证金</w:t>
            </w:r>
          </w:p>
        </w:tc>
        <w:tc>
          <w:tcPr>
            <w:tcW w:w="69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b/>
                <w:bCs/>
                <w:color w:val="FF0000"/>
                <w:spacing w:val="-18"/>
                <w:szCs w:val="21"/>
                <w:highlight w:val="none"/>
              </w:rPr>
            </w:pPr>
            <w:r>
              <w:rPr>
                <w:rFonts w:hint="eastAsia" w:ascii="宋体" w:hAnsi="宋体"/>
                <w:highlight w:val="none"/>
              </w:rPr>
              <w:t>中标人应在合同签订后</w:t>
            </w:r>
            <w:r>
              <w:rPr>
                <w:rFonts w:ascii="宋体" w:hAnsi="宋体"/>
                <w:highlight w:val="none"/>
              </w:rPr>
              <w:t>5个工作日内</w:t>
            </w:r>
            <w:r>
              <w:rPr>
                <w:rFonts w:hint="eastAsia" w:ascii="宋体" w:hAnsi="宋体"/>
                <w:highlight w:val="none"/>
              </w:rPr>
              <w:t>通过转账方式向招标人提供人民币65万元（大写：陆拾伍万元整）作为履约保证金。履约保证缴纳方式为银行转账，</w:t>
            </w:r>
            <w:r>
              <w:rPr>
                <w:rFonts w:hint="eastAsia" w:ascii="宋体" w:hAnsi="宋体"/>
                <w:bCs/>
                <w:szCs w:val="21"/>
                <w:highlight w:val="none"/>
              </w:rPr>
              <w:t>（履约保证金的银行账户信息见前附表13条）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18</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szCs w:val="21"/>
                <w:highlight w:val="none"/>
              </w:rPr>
            </w:pPr>
            <w:r>
              <w:rPr>
                <w:rFonts w:hint="eastAsia" w:ascii="宋体" w:hAnsi="宋体" w:cs="宋体"/>
                <w:szCs w:val="21"/>
                <w:highlight w:val="none"/>
              </w:rPr>
              <w:t>招标控制价或其计算方法</w:t>
            </w:r>
          </w:p>
        </w:tc>
        <w:tc>
          <w:tcPr>
            <w:tcW w:w="69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color w:val="000000"/>
                <w:szCs w:val="21"/>
                <w:highlight w:val="none"/>
                <w:shd w:val="clear" w:color="auto" w:fill="FFFFFF"/>
              </w:rPr>
            </w:pPr>
            <w:r>
              <w:rPr>
                <w:rFonts w:hint="eastAsia" w:ascii="宋体" w:hAnsi="宋体" w:cs="宋体"/>
                <w:color w:val="000000"/>
                <w:szCs w:val="21"/>
                <w:highlight w:val="none"/>
                <w:shd w:val="clear" w:color="auto" w:fill="FFFFFF"/>
              </w:rPr>
              <w:t>本项目最高投标限价：</w:t>
            </w:r>
            <w:r>
              <w:rPr>
                <w:rFonts w:hint="eastAsia" w:ascii="宋体" w:hAnsi="宋体" w:cs="宋体"/>
                <w:color w:val="000000"/>
                <w:szCs w:val="21"/>
                <w:highlight w:val="none"/>
                <w:shd w:val="clear" w:color="auto" w:fill="FFFFFF"/>
              </w:rPr>
              <w:br w:type="textWrapping"/>
            </w:r>
            <w:r>
              <w:rPr>
                <w:rFonts w:hint="eastAsia" w:ascii="宋体" w:hAnsi="宋体" w:cs="宋体"/>
                <w:color w:val="000000"/>
                <w:szCs w:val="21"/>
                <w:highlight w:val="none"/>
                <w:shd w:val="clear" w:color="auto" w:fill="FFFFFF"/>
              </w:rPr>
              <w:t>1.物料转运：        元/吨（含税）；</w:t>
            </w:r>
            <w:r>
              <w:rPr>
                <w:rFonts w:hint="eastAsia" w:ascii="宋体" w:hAnsi="宋体" w:cs="宋体"/>
                <w:color w:val="000000"/>
                <w:szCs w:val="21"/>
                <w:highlight w:val="none"/>
                <w:shd w:val="clear" w:color="auto" w:fill="FFFFFF"/>
              </w:rPr>
              <w:br w:type="textWrapping"/>
            </w:r>
            <w:r>
              <w:rPr>
                <w:rFonts w:hint="eastAsia" w:ascii="宋体" w:hAnsi="宋体" w:cs="宋体"/>
                <w:color w:val="000000"/>
                <w:szCs w:val="21"/>
                <w:highlight w:val="none"/>
                <w:shd w:val="clear" w:color="auto" w:fill="FFFFFF"/>
              </w:rPr>
              <w:t>2.业务外委：       元/立方米（含税）；</w:t>
            </w:r>
            <w:r>
              <w:rPr>
                <w:rFonts w:hint="eastAsia" w:ascii="宋体" w:hAnsi="宋体" w:cs="宋体"/>
                <w:color w:val="000000"/>
                <w:szCs w:val="21"/>
                <w:highlight w:val="none"/>
                <w:shd w:val="clear" w:color="auto" w:fill="FFFFFF"/>
              </w:rPr>
              <w:br w:type="textWrapping"/>
            </w:r>
            <w:r>
              <w:rPr>
                <w:rFonts w:hint="eastAsia" w:ascii="宋体" w:hAnsi="宋体" w:cs="宋体"/>
                <w:color w:val="000000"/>
                <w:szCs w:val="21"/>
                <w:highlight w:val="none"/>
                <w:shd w:val="clear" w:color="auto" w:fill="FFFFFF"/>
              </w:rPr>
              <w:t>3.投标人提供的物料转运含税单价或业务外委含税单价高于最高投标限价的投标文件将被否决。</w:t>
            </w:r>
          </w:p>
          <w:p>
            <w:pPr>
              <w:autoSpaceDE w:val="0"/>
              <w:autoSpaceDN w:val="0"/>
              <w:adjustRightInd w:val="0"/>
              <w:rPr>
                <w:rFonts w:ascii="宋体" w:hAnsi="宋体"/>
                <w:bCs/>
                <w:szCs w:val="21"/>
                <w:highlight w:val="none"/>
                <w:lang w:val="zh-CN"/>
              </w:rPr>
            </w:pPr>
            <w:r>
              <w:rPr>
                <w:rFonts w:hint="eastAsia" w:ascii="宋体" w:hAnsi="宋体" w:cs="宋体"/>
                <w:color w:val="000000"/>
                <w:szCs w:val="21"/>
                <w:highlight w:val="none"/>
                <w:shd w:val="clear" w:color="auto" w:fill="FFFFFF"/>
              </w:rPr>
              <w:t>（说明：最高限价在开标前</w:t>
            </w:r>
            <w:r>
              <w:rPr>
                <w:rFonts w:ascii="宋体" w:hAnsi="宋体" w:cs="宋体"/>
                <w:color w:val="000000"/>
                <w:szCs w:val="21"/>
                <w:highlight w:val="none"/>
                <w:shd w:val="clear" w:color="auto" w:fill="FFFFFF"/>
              </w:rPr>
              <w:t>3个工作日向购买标书的投标人公布）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19</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szCs w:val="21"/>
                <w:highlight w:val="none"/>
              </w:rPr>
            </w:pPr>
            <w:r>
              <w:rPr>
                <w:rFonts w:hint="eastAsia" w:ascii="宋体" w:hAnsi="宋体"/>
                <w:szCs w:val="21"/>
                <w:highlight w:val="none"/>
              </w:rPr>
              <w:t>商务、技术技术、经济标权重分配</w:t>
            </w:r>
          </w:p>
        </w:tc>
        <w:tc>
          <w:tcPr>
            <w:tcW w:w="69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bCs/>
                <w:szCs w:val="21"/>
                <w:highlight w:val="none"/>
              </w:rPr>
            </w:pPr>
            <w:r>
              <w:rPr>
                <w:rFonts w:hint="eastAsia" w:ascii="宋体" w:hAnsi="宋体"/>
                <w:szCs w:val="21"/>
                <w:highlight w:val="none"/>
              </w:rPr>
              <w:t>本项目采用综合评分法，</w:t>
            </w:r>
            <w:r>
              <w:rPr>
                <w:rFonts w:hint="eastAsia" w:ascii="宋体" w:hAnsi="宋体"/>
                <w:b/>
                <w:szCs w:val="21"/>
                <w:highlight w:val="none"/>
              </w:rPr>
              <w:t>（总分</w:t>
            </w:r>
            <w:r>
              <w:rPr>
                <w:rFonts w:ascii="宋体" w:hAnsi="宋体"/>
                <w:b/>
                <w:szCs w:val="21"/>
                <w:highlight w:val="none"/>
              </w:rPr>
              <w:t>100分，其中商务、技术权重</w:t>
            </w:r>
            <w:r>
              <w:rPr>
                <w:rFonts w:hint="eastAsia" w:ascii="宋体" w:hAnsi="宋体"/>
                <w:b/>
                <w:szCs w:val="21"/>
                <w:highlight w:val="none"/>
              </w:rPr>
              <w:t>3</w:t>
            </w:r>
            <w:r>
              <w:rPr>
                <w:rFonts w:ascii="宋体" w:hAnsi="宋体"/>
                <w:b/>
                <w:szCs w:val="21"/>
                <w:highlight w:val="none"/>
              </w:rPr>
              <w:t>0%，价格权重</w:t>
            </w:r>
            <w:r>
              <w:rPr>
                <w:rFonts w:hint="eastAsia" w:ascii="宋体" w:hAnsi="宋体"/>
                <w:b/>
                <w:szCs w:val="21"/>
                <w:highlight w:val="none"/>
              </w:rPr>
              <w:t>7</w:t>
            </w:r>
            <w:r>
              <w:rPr>
                <w:rFonts w:ascii="宋体" w:hAnsi="宋体"/>
                <w:b/>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20</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szCs w:val="21"/>
                <w:highlight w:val="none"/>
              </w:rPr>
              <w:t>评委人数</w:t>
            </w:r>
          </w:p>
        </w:tc>
        <w:tc>
          <w:tcPr>
            <w:tcW w:w="6954" w:type="dxa"/>
            <w:tcBorders>
              <w:top w:val="single" w:color="auto" w:sz="4" w:space="0"/>
              <w:left w:val="single" w:color="auto" w:sz="4" w:space="0"/>
              <w:bottom w:val="single" w:color="auto" w:sz="4" w:space="0"/>
              <w:right w:val="single" w:color="auto" w:sz="4" w:space="0"/>
            </w:tcBorders>
            <w:vAlign w:val="center"/>
          </w:tcPr>
          <w:p>
            <w:pPr>
              <w:spacing w:line="320" w:lineRule="exact"/>
              <w:rPr>
                <w:highlight w:val="none"/>
              </w:rPr>
            </w:pPr>
            <w:r>
              <w:rPr>
                <w:rFonts w:hint="eastAsia" w:ascii="宋体" w:hAnsi="宋体"/>
                <w:bCs/>
                <w:szCs w:val="21"/>
                <w:highlight w:val="none"/>
              </w:rPr>
              <w:t>本项目设置评委</w:t>
            </w:r>
            <w:r>
              <w:rPr>
                <w:rFonts w:ascii="宋体" w:hAnsi="宋体"/>
                <w:bCs/>
                <w:szCs w:val="21"/>
                <w:highlight w:val="none"/>
              </w:rPr>
              <w:t xml:space="preserve"> 5</w:t>
            </w:r>
            <w:r>
              <w:rPr>
                <w:rFonts w:hint="eastAsia" w:ascii="宋体" w:hAnsi="宋体"/>
                <w:bCs/>
                <w:szCs w:val="21"/>
                <w:highlight w:val="none"/>
              </w:rPr>
              <w:t>名，由1名业主评委和4名专家组成。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21</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szCs w:val="21"/>
                <w:highlight w:val="none"/>
              </w:rPr>
            </w:pPr>
            <w:r>
              <w:rPr>
                <w:rFonts w:hint="eastAsia" w:ascii="宋体" w:hAnsi="宋体" w:cs="宋体"/>
                <w:szCs w:val="21"/>
                <w:highlight w:val="none"/>
              </w:rPr>
              <w:t>集中载明否决投标条款</w:t>
            </w:r>
          </w:p>
        </w:tc>
        <w:tc>
          <w:tcPr>
            <w:tcW w:w="695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szCs w:val="21"/>
                <w:highlight w:val="none"/>
              </w:rPr>
            </w:pPr>
            <w:r>
              <w:rPr>
                <w:rFonts w:ascii="宋体" w:hAnsi="宋体" w:cs="宋体"/>
                <w:szCs w:val="21"/>
                <w:highlight w:val="none"/>
              </w:rPr>
              <w:t>1、开标时，投标文件出现下列情况之一的，招标人将按废标处理：</w:t>
            </w:r>
          </w:p>
          <w:p>
            <w:pPr>
              <w:widowControl/>
              <w:spacing w:line="320" w:lineRule="exact"/>
              <w:jc w:val="left"/>
              <w:rPr>
                <w:rFonts w:ascii="宋体" w:hAnsi="宋体" w:cs="宋体"/>
                <w:szCs w:val="21"/>
                <w:highlight w:val="none"/>
              </w:rPr>
            </w:pPr>
            <w:r>
              <w:rPr>
                <w:rFonts w:ascii="宋体" w:hAnsi="宋体" w:cs="宋体"/>
                <w:szCs w:val="21"/>
                <w:highlight w:val="none"/>
              </w:rPr>
              <w:t>A</w:t>
            </w:r>
            <w:r>
              <w:rPr>
                <w:rFonts w:hint="eastAsia" w:ascii="宋体" w:hAnsi="宋体" w:cs="宋体"/>
                <w:szCs w:val="21"/>
                <w:highlight w:val="none"/>
              </w:rPr>
              <w:t>、投标人未在投标截止时间前递交投标文件的。</w:t>
            </w:r>
          </w:p>
          <w:p>
            <w:pPr>
              <w:widowControl/>
              <w:spacing w:line="320" w:lineRule="exact"/>
              <w:jc w:val="left"/>
              <w:rPr>
                <w:rFonts w:ascii="宋体" w:hAnsi="宋体" w:cs="宋体"/>
                <w:szCs w:val="21"/>
                <w:highlight w:val="none"/>
              </w:rPr>
            </w:pPr>
            <w:r>
              <w:rPr>
                <w:rFonts w:ascii="宋体" w:hAnsi="宋体" w:cs="宋体"/>
                <w:szCs w:val="21"/>
                <w:highlight w:val="none"/>
              </w:rPr>
              <w:t>B</w:t>
            </w:r>
            <w:r>
              <w:rPr>
                <w:rFonts w:hint="eastAsia" w:ascii="宋体" w:hAnsi="宋体" w:cs="宋体"/>
                <w:szCs w:val="21"/>
                <w:highlight w:val="none"/>
              </w:rPr>
              <w:t>、未按招标文件要求提供投标担保的。</w:t>
            </w:r>
          </w:p>
          <w:p>
            <w:pPr>
              <w:widowControl/>
              <w:spacing w:line="320" w:lineRule="exact"/>
              <w:jc w:val="left"/>
              <w:rPr>
                <w:rFonts w:ascii="宋体" w:hAnsi="宋体" w:cs="宋体"/>
                <w:szCs w:val="21"/>
                <w:highlight w:val="none"/>
              </w:rPr>
            </w:pPr>
            <w:r>
              <w:rPr>
                <w:rFonts w:ascii="宋体" w:hAnsi="宋体" w:cs="宋体"/>
                <w:szCs w:val="21"/>
                <w:highlight w:val="none"/>
              </w:rPr>
              <w:t>C</w:t>
            </w:r>
            <w:r>
              <w:rPr>
                <w:rFonts w:hint="eastAsia" w:ascii="宋体" w:hAnsi="宋体" w:cs="宋体"/>
                <w:szCs w:val="21"/>
                <w:highlight w:val="none"/>
              </w:rPr>
              <w:t>、投标人应保证所提交给招标人的投标文件（含相关资料和数据）资料和数据是真实的，并承担相应的法律责任。如有作假，一经发现立即拒绝其投标。</w:t>
            </w:r>
          </w:p>
          <w:p>
            <w:pPr>
              <w:widowControl/>
              <w:spacing w:line="320" w:lineRule="exact"/>
              <w:jc w:val="left"/>
              <w:rPr>
                <w:rFonts w:ascii="宋体" w:hAnsi="宋体" w:cs="宋体"/>
                <w:szCs w:val="21"/>
                <w:highlight w:val="none"/>
              </w:rPr>
            </w:pPr>
            <w:r>
              <w:rPr>
                <w:rFonts w:ascii="宋体" w:hAnsi="宋体" w:cs="宋体"/>
                <w:szCs w:val="21"/>
                <w:highlight w:val="none"/>
              </w:rPr>
              <w:t>D</w:t>
            </w:r>
            <w:r>
              <w:rPr>
                <w:rFonts w:hint="eastAsia" w:ascii="宋体" w:hAnsi="宋体" w:cs="宋体"/>
                <w:szCs w:val="21"/>
                <w:highlight w:val="none"/>
              </w:rPr>
              <w:t>、投标文件应根据《投标人须知前附表》第</w:t>
            </w:r>
            <w:r>
              <w:rPr>
                <w:rFonts w:ascii="宋体" w:hAnsi="宋体" w:cs="宋体"/>
                <w:szCs w:val="21"/>
                <w:highlight w:val="none"/>
              </w:rPr>
              <w:t>14项规定的时间内保持有效。投标有效期比规定期限短的将被视为非响应投标而予以拒绝。</w:t>
            </w:r>
          </w:p>
          <w:p>
            <w:pPr>
              <w:widowControl/>
              <w:spacing w:line="320" w:lineRule="exact"/>
              <w:jc w:val="left"/>
              <w:rPr>
                <w:rFonts w:ascii="宋体" w:hAnsi="宋体" w:cs="宋体"/>
                <w:szCs w:val="21"/>
                <w:highlight w:val="none"/>
              </w:rPr>
            </w:pPr>
            <w:r>
              <w:rPr>
                <w:rFonts w:ascii="宋体" w:hAnsi="宋体" w:cs="宋体"/>
                <w:szCs w:val="21"/>
                <w:highlight w:val="none"/>
              </w:rPr>
              <w:t>2、资格审查有一项不符合</w:t>
            </w:r>
            <w:r>
              <w:rPr>
                <w:rFonts w:hint="eastAsia" w:ascii="宋体" w:hAnsi="宋体" w:cs="宋体"/>
                <w:szCs w:val="21"/>
                <w:highlight w:val="none"/>
              </w:rPr>
              <w:t>招标文件第三章</w:t>
            </w:r>
            <w:r>
              <w:rPr>
                <w:rFonts w:ascii="宋体" w:hAnsi="宋体" w:cs="宋体"/>
                <w:szCs w:val="21"/>
                <w:highlight w:val="none"/>
              </w:rPr>
              <w:t xml:space="preserve"> 开标、评标及定标办法 </w:t>
            </w:r>
            <w:r>
              <w:rPr>
                <w:rFonts w:hint="eastAsia" w:ascii="宋体" w:hAnsi="宋体" w:cs="宋体"/>
                <w:szCs w:val="21"/>
                <w:highlight w:val="none"/>
              </w:rPr>
              <w:t>《附表</w:t>
            </w:r>
            <w:r>
              <w:rPr>
                <w:rFonts w:ascii="宋体" w:hAnsi="宋体" w:cs="宋体"/>
                <w:szCs w:val="21"/>
                <w:highlight w:val="none"/>
              </w:rPr>
              <w:t>1：投标人资格审查表》中情形的，作废标处理。</w:t>
            </w:r>
          </w:p>
          <w:p>
            <w:pPr>
              <w:widowControl/>
              <w:spacing w:line="320" w:lineRule="exact"/>
              <w:jc w:val="left"/>
              <w:rPr>
                <w:rFonts w:ascii="宋体" w:hAnsi="宋体" w:cs="宋体"/>
                <w:szCs w:val="21"/>
                <w:highlight w:val="none"/>
              </w:rPr>
            </w:pPr>
            <w:r>
              <w:rPr>
                <w:rFonts w:ascii="宋体" w:hAnsi="宋体" w:cs="宋体"/>
                <w:szCs w:val="21"/>
                <w:highlight w:val="none"/>
              </w:rPr>
              <w:t>3、商务、技术标有效性审查有一项不符合《附表2：商务、技术标有效性审查表》中情形的，作废标处理。</w:t>
            </w:r>
          </w:p>
          <w:p>
            <w:pPr>
              <w:widowControl/>
              <w:spacing w:line="320" w:lineRule="exact"/>
              <w:jc w:val="left"/>
              <w:rPr>
                <w:rFonts w:ascii="宋体" w:hAnsi="宋体" w:cs="宋体"/>
                <w:szCs w:val="21"/>
                <w:highlight w:val="none"/>
              </w:rPr>
            </w:pPr>
            <w:r>
              <w:rPr>
                <w:rFonts w:ascii="宋体" w:hAnsi="宋体" w:cs="宋体"/>
                <w:szCs w:val="21"/>
                <w:highlight w:val="none"/>
              </w:rPr>
              <w:t>4、经济标有效性审查有一项不符合《附表3：经济标有效性审查表》中情形的，作废标处理。</w:t>
            </w:r>
          </w:p>
          <w:p>
            <w:pPr>
              <w:widowControl/>
              <w:numPr>
                <w:ilvl w:val="255"/>
                <w:numId w:val="0"/>
              </w:numPr>
              <w:spacing w:line="320" w:lineRule="exact"/>
              <w:jc w:val="left"/>
              <w:rPr>
                <w:rFonts w:ascii="宋体" w:hAnsi="宋体" w:cs="宋体"/>
                <w:szCs w:val="21"/>
                <w:highlight w:val="none"/>
              </w:rPr>
            </w:pPr>
            <w:r>
              <w:rPr>
                <w:rFonts w:ascii="宋体" w:hAnsi="宋体" w:cs="宋体"/>
                <w:szCs w:val="21"/>
                <w:highlight w:val="none"/>
              </w:rPr>
              <w:t>5、如果投标人不接受修正后的报价，则取消其投标资格，并且其投标担保也将不予退还。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Arial"/>
                <w:highlight w:val="none"/>
              </w:rPr>
            </w:pPr>
            <w:r>
              <w:rPr>
                <w:rFonts w:hint="eastAsia" w:ascii="宋体" w:hAnsi="宋体" w:cs="Arial"/>
                <w:highlight w:val="none"/>
              </w:rPr>
              <w:t>22</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Arial"/>
                <w:highlight w:val="none"/>
              </w:rPr>
            </w:pPr>
            <w:r>
              <w:rPr>
                <w:rFonts w:hint="eastAsia" w:ascii="宋体" w:hAnsi="宋体"/>
                <w:szCs w:val="21"/>
                <w:highlight w:val="none"/>
              </w:rPr>
              <w:t>中标候选人公示媒介及时间</w:t>
            </w:r>
          </w:p>
        </w:tc>
        <w:tc>
          <w:tcPr>
            <w:tcW w:w="6954" w:type="dxa"/>
            <w:tcBorders>
              <w:top w:val="single" w:color="auto" w:sz="4" w:space="0"/>
              <w:left w:val="single" w:color="auto" w:sz="4" w:space="0"/>
              <w:bottom w:val="single" w:color="auto" w:sz="4" w:space="0"/>
              <w:right w:val="single" w:color="auto" w:sz="4" w:space="0"/>
            </w:tcBorders>
            <w:vAlign w:val="center"/>
          </w:tcPr>
          <w:p>
            <w:pPr>
              <w:pStyle w:val="210"/>
              <w:numPr>
                <w:ilvl w:val="0"/>
                <w:numId w:val="5"/>
              </w:numPr>
              <w:spacing w:line="320" w:lineRule="exact"/>
              <w:ind w:firstLineChars="0"/>
              <w:rPr>
                <w:highlight w:val="none"/>
              </w:rPr>
            </w:pPr>
            <w:r>
              <w:rPr>
                <w:rFonts w:hint="eastAsia"/>
                <w:highlight w:val="none"/>
              </w:rPr>
              <w:t>公示媒介：</w:t>
            </w:r>
          </w:p>
          <w:p>
            <w:pPr>
              <w:pStyle w:val="210"/>
              <w:spacing w:line="320" w:lineRule="exact"/>
              <w:ind w:left="420" w:firstLine="46" w:firstLineChars="22"/>
              <w:rPr>
                <w:highlight w:val="none"/>
              </w:rPr>
            </w:pPr>
            <w:r>
              <w:rPr>
                <w:rFonts w:hint="eastAsia"/>
                <w:highlight w:val="none"/>
              </w:rPr>
              <w:t>佛山市公共资源交易网（http://www.fsggzy.cn/）</w:t>
            </w:r>
          </w:p>
          <w:p>
            <w:pPr>
              <w:pStyle w:val="210"/>
              <w:spacing w:line="320" w:lineRule="exact"/>
              <w:ind w:left="420" w:firstLine="46" w:firstLineChars="22"/>
              <w:rPr>
                <w:highlight w:val="none"/>
              </w:rPr>
            </w:pPr>
            <w:r>
              <w:rPr>
                <w:rFonts w:hint="eastAsia"/>
                <w:highlight w:val="none"/>
              </w:rPr>
              <w:t>中国采购与招标网（https://www.chinabidding.com.cn/index.html）</w:t>
            </w:r>
          </w:p>
          <w:p>
            <w:pPr>
              <w:pStyle w:val="210"/>
              <w:spacing w:line="320" w:lineRule="exact"/>
              <w:ind w:left="420" w:firstLine="46" w:firstLineChars="22"/>
              <w:rPr>
                <w:highlight w:val="none"/>
              </w:rPr>
            </w:pPr>
            <w:r>
              <w:rPr>
                <w:rFonts w:hint="eastAsia"/>
                <w:highlight w:val="none"/>
              </w:rPr>
              <w:t>招标代理机构网站（http://www.gdzczb.com/）</w:t>
            </w:r>
          </w:p>
          <w:p>
            <w:pPr>
              <w:pStyle w:val="210"/>
              <w:spacing w:line="320" w:lineRule="exact"/>
              <w:ind w:left="420" w:firstLine="46" w:firstLineChars="22"/>
              <w:rPr>
                <w:highlight w:val="none"/>
              </w:rPr>
            </w:pPr>
            <w:r>
              <w:rPr>
                <w:rFonts w:hint="eastAsia" w:ascii="宋体" w:hAnsi="宋体"/>
                <w:szCs w:val="21"/>
                <w:highlight w:val="none"/>
              </w:rPr>
              <w:t>广州发展电子采购平台</w:t>
            </w:r>
            <w:r>
              <w:rPr>
                <w:rFonts w:hint="eastAsia"/>
                <w:highlight w:val="none"/>
              </w:rPr>
              <w:t>·</w:t>
            </w:r>
          </w:p>
          <w:p>
            <w:pPr>
              <w:pStyle w:val="210"/>
              <w:numPr>
                <w:ilvl w:val="0"/>
                <w:numId w:val="5"/>
              </w:numPr>
              <w:spacing w:line="320" w:lineRule="exact"/>
              <w:ind w:firstLineChars="0"/>
              <w:rPr>
                <w:highlight w:val="none"/>
              </w:rPr>
            </w:pPr>
            <w:r>
              <w:rPr>
                <w:highlight w:val="none"/>
              </w:rPr>
              <w:fldChar w:fldCharType="begin"/>
            </w:r>
            <w:r>
              <w:rPr>
                <w:highlight w:val="none"/>
              </w:rPr>
              <w:instrText xml:space="preserve"> HYPERLINK "http://www.fsggzy.cn），公示3/" </w:instrText>
            </w:r>
            <w:r>
              <w:rPr>
                <w:highlight w:val="none"/>
              </w:rPr>
              <w:fldChar w:fldCharType="separate"/>
            </w:r>
            <w:r>
              <w:rPr>
                <w:rFonts w:hint="eastAsia"/>
                <w:highlight w:val="none"/>
              </w:rPr>
              <w:t>公示时间：</w:t>
            </w:r>
            <w:r>
              <w:rPr>
                <w:highlight w:val="none"/>
              </w:rPr>
              <w:t>3</w:t>
            </w:r>
            <w:r>
              <w:rPr>
                <w:highlight w:val="none"/>
              </w:rPr>
              <w:fldChar w:fldCharType="end"/>
            </w:r>
            <w:r>
              <w:rPr>
                <w:rFonts w:hint="eastAsia"/>
                <w:highlight w:val="none"/>
              </w:rPr>
              <w:t>个工作日。</w:t>
            </w:r>
          </w:p>
        </w:tc>
      </w:tr>
    </w:tbl>
    <w:p>
      <w:pPr>
        <w:pStyle w:val="3"/>
        <w:keepNext w:val="0"/>
        <w:keepLines w:val="0"/>
        <w:numPr>
          <w:ilvl w:val="0"/>
          <w:numId w:val="0"/>
        </w:numPr>
        <w:spacing w:before="0" w:afterLines="50" w:line="400" w:lineRule="exact"/>
        <w:rPr>
          <w:rFonts w:asciiTheme="minorEastAsia" w:hAnsiTheme="minorEastAsia" w:eastAsiaTheme="minorEastAsia"/>
          <w:sz w:val="21"/>
          <w:szCs w:val="21"/>
          <w:highlight w:val="none"/>
        </w:rPr>
      </w:pPr>
      <w:r>
        <w:rPr>
          <w:rFonts w:hint="eastAsia" w:ascii="宋体" w:hAnsi="宋体" w:eastAsia="宋体"/>
          <w:b w:val="0"/>
          <w:highlight w:val="none"/>
        </w:rPr>
        <w:br w:type="page"/>
      </w:r>
      <w:bookmarkStart w:id="27" w:name="_Toc27244"/>
      <w:bookmarkStart w:id="28" w:name="_Toc32202"/>
      <w:bookmarkStart w:id="29" w:name="_Toc18664"/>
      <w:bookmarkStart w:id="30" w:name="_Toc22802"/>
      <w:bookmarkStart w:id="31" w:name="_Toc9630"/>
      <w:r>
        <w:rPr>
          <w:rFonts w:hint="eastAsia" w:asciiTheme="minorEastAsia" w:hAnsiTheme="minorEastAsia" w:eastAsiaTheme="minorEastAsia"/>
          <w:sz w:val="21"/>
          <w:szCs w:val="21"/>
          <w:highlight w:val="none"/>
        </w:rPr>
        <w:t>二、投标人须知通用条款</w:t>
      </w:r>
      <w:bookmarkEnd w:id="27"/>
      <w:bookmarkEnd w:id="28"/>
      <w:bookmarkEnd w:id="29"/>
      <w:bookmarkEnd w:id="30"/>
      <w:bookmarkEnd w:id="31"/>
    </w:p>
    <w:p>
      <w:pPr>
        <w:spacing w:line="360" w:lineRule="auto"/>
        <w:jc w:val="center"/>
        <w:outlineLvl w:val="1"/>
        <w:rPr>
          <w:rFonts w:asciiTheme="minorEastAsia" w:hAnsiTheme="minorEastAsia" w:eastAsiaTheme="minorEastAsia"/>
          <w:b/>
          <w:szCs w:val="21"/>
          <w:highlight w:val="none"/>
        </w:rPr>
      </w:pPr>
      <w:bookmarkStart w:id="32" w:name="_Toc20014"/>
      <w:bookmarkStart w:id="33" w:name="_Toc30726"/>
      <w:bookmarkStart w:id="34" w:name="_Toc10287"/>
      <w:bookmarkStart w:id="35" w:name="_Toc15060"/>
      <w:bookmarkStart w:id="36" w:name="_Toc17244"/>
      <w:r>
        <w:rPr>
          <w:rFonts w:hint="eastAsia" w:asciiTheme="minorEastAsia" w:hAnsiTheme="minorEastAsia" w:eastAsiaTheme="minorEastAsia"/>
          <w:b/>
          <w:szCs w:val="21"/>
          <w:highlight w:val="none"/>
        </w:rPr>
        <w:t>（一）总则</w:t>
      </w:r>
      <w:bookmarkEnd w:id="32"/>
      <w:bookmarkEnd w:id="33"/>
      <w:bookmarkEnd w:id="34"/>
      <w:bookmarkEnd w:id="35"/>
      <w:bookmarkEnd w:id="36"/>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37" w:name="_Toc25300"/>
      <w:bookmarkStart w:id="38" w:name="_Toc28805"/>
      <w:bookmarkStart w:id="39" w:name="_Toc26805"/>
      <w:bookmarkStart w:id="40" w:name="_Toc32158"/>
      <w:bookmarkStart w:id="41" w:name="_Toc7652"/>
      <w:r>
        <w:rPr>
          <w:rFonts w:asciiTheme="minorEastAsia" w:hAnsiTheme="minorEastAsia" w:eastAsiaTheme="minorEastAsia"/>
          <w:sz w:val="21"/>
          <w:szCs w:val="21"/>
          <w:highlight w: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193675</wp:posOffset>
                </wp:positionV>
                <wp:extent cx="635" cy="0"/>
                <wp:effectExtent l="0" t="0" r="0" b="0"/>
                <wp:wrapNone/>
                <wp:docPr id="2" name="Line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0pt;margin-top:15.25pt;height:0pt;width:0.05pt;z-index:251658240;mso-width-relative:page;mso-height-relative:page;" filled="f" stroked="t" coordsize="21600,21600" o:allowincell="f" o:gfxdata="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R6&#10;BKDQAAAAAwEAAA8AAAAAAAAAAQAgAAAAIgAAAGRycy9kb3ducmV2LnhtbFBLAQIUABQAAAAIAIdO&#10;4kC7r7rwuQEAAIkDAAAOAAAAAAAAAAEAIAAAAB8BAABkcnMvZTJvRG9jLnhtbFBLBQYAAAAABgAG&#10;AFkBAABKBQAAAAA=&#10;">
                <v:fill on="f" focussize="0,0"/>
                <v:stroke color="#000000" joinstyle="round"/>
                <v:imagedata o:title=""/>
                <o:lock v:ext="edit" aspectratio="f"/>
              </v:line>
            </w:pict>
          </mc:Fallback>
        </mc:AlternateContent>
      </w:r>
      <w:bookmarkStart w:id="42" w:name="_2．概述"/>
      <w:bookmarkEnd w:id="42"/>
      <w:r>
        <w:rPr>
          <w:rFonts w:hint="eastAsia" w:asciiTheme="minorEastAsia" w:hAnsiTheme="minorEastAsia" w:eastAsiaTheme="minorEastAsia"/>
          <w:sz w:val="21"/>
          <w:szCs w:val="21"/>
          <w:highlight w:val="none"/>
        </w:rPr>
        <w:t>适用范围</w:t>
      </w:r>
      <w:bookmarkEnd w:id="37"/>
      <w:bookmarkEnd w:id="38"/>
      <w:bookmarkEnd w:id="39"/>
      <w:bookmarkEnd w:id="40"/>
      <w:bookmarkEnd w:id="41"/>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 </w:t>
      </w:r>
      <w:r>
        <w:rPr>
          <w:rFonts w:hint="eastAsia" w:asciiTheme="minorEastAsia" w:hAnsiTheme="minorEastAsia" w:eastAsiaTheme="minorEastAsia"/>
          <w:szCs w:val="21"/>
          <w:highlight w:val="none"/>
        </w:rPr>
        <w:t>本次招标文件仅适用于《投标人须知前附表》第</w:t>
      </w:r>
      <w:r>
        <w:rPr>
          <w:rFonts w:asciiTheme="minorEastAsia" w:hAnsiTheme="minorEastAsia" w:eastAsiaTheme="minorEastAsia"/>
          <w:szCs w:val="21"/>
          <w:highlight w:val="none"/>
        </w:rPr>
        <w:t>1项所叙述的采购项目相关采购。</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43" w:name="_Toc18426"/>
      <w:bookmarkStart w:id="44" w:name="_Toc31294"/>
      <w:bookmarkStart w:id="45" w:name="_Toc28205"/>
      <w:bookmarkStart w:id="46" w:name="_Toc32681"/>
      <w:bookmarkStart w:id="47" w:name="_Toc15638"/>
      <w:r>
        <w:rPr>
          <w:rFonts w:hint="eastAsia" w:asciiTheme="minorEastAsia" w:hAnsiTheme="minorEastAsia" w:eastAsiaTheme="minorEastAsia"/>
          <w:sz w:val="21"/>
          <w:szCs w:val="21"/>
          <w:highlight w:val="none"/>
        </w:rPr>
        <w:t>项目说明</w:t>
      </w:r>
      <w:bookmarkEnd w:id="43"/>
      <w:bookmarkEnd w:id="44"/>
      <w:bookmarkEnd w:id="45"/>
      <w:bookmarkEnd w:id="46"/>
      <w:bookmarkEnd w:id="47"/>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2.1本招标项目按照《中华人民共和国招标投标法》等有关法律、行政法规、规章和规范性文件，通过招标方式选定承包人。</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2.2招标方式：本次招标采用</w:t>
      </w:r>
      <w:r>
        <w:rPr>
          <w:rFonts w:hint="eastAsia" w:asciiTheme="minorEastAsia" w:hAnsiTheme="minorEastAsia" w:eastAsiaTheme="minorEastAsia"/>
          <w:szCs w:val="21"/>
          <w:highlight w:val="none"/>
          <w:u w:val="single"/>
        </w:rPr>
        <w:t>公开招标的</w:t>
      </w:r>
      <w:r>
        <w:rPr>
          <w:rFonts w:hint="eastAsia" w:asciiTheme="minorEastAsia" w:hAnsiTheme="minorEastAsia" w:eastAsiaTheme="minorEastAsia"/>
          <w:szCs w:val="21"/>
          <w:highlight w:val="none"/>
        </w:rPr>
        <w:t>方式进行。</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2.3项目名称、招标范围、服务要求、报价方式等均在投标人须知前附表中列明。</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2.4设计说明：详见招标图纸（若有）。</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2.5资金来源：见《投标人须知前附表》。</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48" w:name="_Toc24167"/>
      <w:bookmarkStart w:id="49" w:name="_Toc15810"/>
      <w:bookmarkStart w:id="50" w:name="_Toc6223"/>
      <w:bookmarkStart w:id="51" w:name="_Toc8035"/>
      <w:bookmarkStart w:id="52" w:name="_Toc26009"/>
      <w:r>
        <w:rPr>
          <w:rFonts w:hint="eastAsia" w:asciiTheme="minorEastAsia" w:hAnsiTheme="minorEastAsia" w:eastAsiaTheme="minorEastAsia"/>
          <w:sz w:val="21"/>
          <w:szCs w:val="21"/>
          <w:highlight w:val="none"/>
        </w:rPr>
        <w:t>定义及解释</w:t>
      </w:r>
      <w:bookmarkEnd w:id="48"/>
      <w:bookmarkEnd w:id="49"/>
      <w:bookmarkEnd w:id="50"/>
      <w:bookmarkEnd w:id="51"/>
      <w:bookmarkEnd w:id="52"/>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1服务：投标人提供的服务内容以及用户需求书中要求的服务相关内容。</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2招标人：见《投标人须知前附表》第</w:t>
      </w:r>
      <w:r>
        <w:rPr>
          <w:rFonts w:asciiTheme="minorEastAsia" w:hAnsiTheme="minorEastAsia" w:eastAsiaTheme="minorEastAsia"/>
          <w:szCs w:val="21"/>
          <w:highlight w:val="none"/>
        </w:rPr>
        <w:t>7项。</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3投标人：指响应招标符合资格条件并参加投标竞争的依法成立的中华人民共和国境内的法人、其他组织。</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4评标委员会：是指依《中华人民共和国招标投标法》等国家、地方法规和招标人制度组建的专门负责本次招标项目评审工作的临时性机构。</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5“招标文件”指招标人发出的本文件（包括全部章节、附件）及招标答疑会会议纪要和招标文件的澄清与修改文件。</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“投标文件”指投标人根据本项目招标文件向招标人提交的全部文件。</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7</w:t>
      </w:r>
      <w:r>
        <w:rPr>
          <w:rFonts w:asciiTheme="minorEastAsia" w:hAnsiTheme="minorEastAsia" w:eastAsiaTheme="minorEastAsia"/>
          <w:szCs w:val="21"/>
          <w:highlight w:val="none"/>
        </w:rPr>
        <w:t>日期：指公历日。</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 xml:space="preserve">合同: </w:t>
      </w:r>
      <w:r>
        <w:rPr>
          <w:rFonts w:hint="eastAsia" w:asciiTheme="minorEastAsia" w:hAnsiTheme="minorEastAsia" w:eastAsiaTheme="minorEastAsia"/>
          <w:szCs w:val="21"/>
          <w:highlight w:val="none"/>
        </w:rPr>
        <w:t>指依据本次服务采购招标结果签订的协议或合约文件。</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9</w:t>
      </w:r>
      <w:r>
        <w:rPr>
          <w:rFonts w:asciiTheme="minorEastAsia" w:hAnsiTheme="minorEastAsia" w:eastAsiaTheme="minorEastAsia"/>
          <w:szCs w:val="21"/>
          <w:highlight w:val="none"/>
        </w:rPr>
        <w:t>招标文件中的标题或题名仅起引导作用，而不应视为对招标文件内容的理解和解释。</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3.1</w:t>
      </w:r>
      <w:r>
        <w:rPr>
          <w:rFonts w:hint="eastAsia" w:asciiTheme="minorEastAsia" w:hAnsiTheme="minorEastAsia" w:eastAsiaTheme="minorEastAsia"/>
          <w:szCs w:val="21"/>
          <w:highlight w:val="none"/>
        </w:rPr>
        <w:t>0“招标人”、“投标人”等人或有关组织的用词均是指依法成立的公司或组织。</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53" w:name="_Toc13881"/>
      <w:bookmarkStart w:id="54" w:name="_Toc32755"/>
      <w:bookmarkStart w:id="55" w:name="_Toc1178"/>
      <w:bookmarkStart w:id="56" w:name="_Toc30383"/>
      <w:bookmarkStart w:id="57" w:name="_Toc2530"/>
      <w:r>
        <w:rPr>
          <w:rFonts w:hint="eastAsia" w:asciiTheme="minorEastAsia" w:hAnsiTheme="minorEastAsia" w:eastAsiaTheme="minorEastAsia"/>
          <w:sz w:val="21"/>
          <w:szCs w:val="21"/>
          <w:highlight w:val="none"/>
        </w:rPr>
        <w:t>招标采购</w:t>
      </w:r>
      <w:bookmarkEnd w:id="53"/>
      <w:bookmarkEnd w:id="54"/>
      <w:bookmarkEnd w:id="55"/>
      <w:bookmarkEnd w:id="56"/>
      <w:bookmarkEnd w:id="57"/>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招标人接受合格的投标人就招标文件所述的服务采购项目进行投标。投标人必须响应全部内容。</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58" w:name="_Toc10934"/>
      <w:bookmarkStart w:id="59" w:name="_Toc8015"/>
      <w:bookmarkStart w:id="60" w:name="_Toc12780"/>
      <w:bookmarkStart w:id="61" w:name="_Toc18197"/>
      <w:bookmarkStart w:id="62" w:name="_Toc21608"/>
      <w:r>
        <w:rPr>
          <w:rFonts w:hint="eastAsia" w:asciiTheme="minorEastAsia" w:hAnsiTheme="minorEastAsia" w:eastAsiaTheme="minorEastAsia"/>
          <w:sz w:val="21"/>
          <w:szCs w:val="21"/>
          <w:highlight w:val="none"/>
        </w:rPr>
        <w:t>合格的投标人条件</w:t>
      </w:r>
      <w:bookmarkEnd w:id="58"/>
      <w:bookmarkEnd w:id="59"/>
      <w:bookmarkEnd w:id="60"/>
      <w:bookmarkEnd w:id="61"/>
      <w:bookmarkEnd w:id="62"/>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见本项目招标公告。</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63" w:name="_Toc1191"/>
      <w:bookmarkStart w:id="64" w:name="_Toc14609"/>
      <w:bookmarkStart w:id="65" w:name="_Toc15166"/>
      <w:bookmarkStart w:id="66" w:name="_Toc19548"/>
      <w:bookmarkStart w:id="67" w:name="_Toc5634"/>
      <w:r>
        <w:rPr>
          <w:rFonts w:hint="eastAsia" w:asciiTheme="minorEastAsia" w:hAnsiTheme="minorEastAsia" w:eastAsiaTheme="minorEastAsia"/>
          <w:sz w:val="21"/>
          <w:szCs w:val="21"/>
          <w:highlight w:val="none"/>
        </w:rPr>
        <w:t>合格的服务</w:t>
      </w:r>
      <w:bookmarkEnd w:id="63"/>
      <w:bookmarkEnd w:id="64"/>
      <w:bookmarkEnd w:id="65"/>
      <w:bookmarkEnd w:id="66"/>
      <w:bookmarkEnd w:id="67"/>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合同中提供的服务，其来源均应符合《中华人民共和国招标投标法》的有关规定。</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68" w:name="_Toc11541"/>
      <w:bookmarkStart w:id="69" w:name="_Toc11753"/>
      <w:bookmarkStart w:id="70" w:name="_Toc27510"/>
      <w:bookmarkStart w:id="71" w:name="_Toc7601"/>
      <w:bookmarkStart w:id="72" w:name="_Toc27299"/>
      <w:r>
        <w:rPr>
          <w:rFonts w:hint="eastAsia" w:asciiTheme="minorEastAsia" w:hAnsiTheme="minorEastAsia" w:eastAsiaTheme="minorEastAsia"/>
          <w:sz w:val="21"/>
          <w:szCs w:val="21"/>
          <w:highlight w:val="none"/>
        </w:rPr>
        <w:t>纪律与保密事项</w:t>
      </w:r>
      <w:bookmarkEnd w:id="68"/>
      <w:bookmarkEnd w:id="69"/>
      <w:bookmarkEnd w:id="70"/>
      <w:bookmarkEnd w:id="71"/>
      <w:bookmarkEnd w:id="72"/>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7.1 </w:t>
      </w:r>
      <w:r>
        <w:rPr>
          <w:rFonts w:hint="eastAsia" w:asciiTheme="minorEastAsia" w:hAnsiTheme="minorEastAsia" w:eastAsiaTheme="minorEastAsia"/>
          <w:szCs w:val="21"/>
          <w:highlight w:val="none"/>
        </w:rPr>
        <w:t>凡参与招标工作的有关人员均应自觉接受有关主管部门的监督，不得向他人透露可能影响公平竞争的有关招标投标的情况。</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7.2除投标人被要求对投标文件进行澄清外，从开标之时起至授予合同期间，投标人不得就与其投标文件有关的事项主动与评标委员会、以及招标人联系。</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7.3 </w:t>
      </w:r>
      <w:r>
        <w:rPr>
          <w:rFonts w:hint="eastAsia" w:asciiTheme="minorEastAsia" w:hAnsiTheme="minorEastAsia" w:eastAsiaTheme="minorEastAsia"/>
          <w:szCs w:val="21"/>
          <w:highlight w:val="none"/>
        </w:rPr>
        <w:t>从开标之日起至授予合同期间</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投标人试图在投标文件审查、澄清、比较和评价时对评标委员会和招标人施加任何影响或对招标人的比较及授予合同的决定进行影响，都可能导致其投标文件被拒绝。</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7.4投标人不得串通作弊，以不正当的手段妨碍、排挤其他投标人，扰乱招标市场，破坏公平竞争原则。</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7.5获得本招标文件者，应对文件进行保密，不得用作本次投标以外的任何用途。若有要求，开标后，投标人应归还招标文件中的保密的文件和资料。</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7.6 </w:t>
      </w:r>
      <w:r>
        <w:rPr>
          <w:rFonts w:hint="eastAsia" w:asciiTheme="minorEastAsia" w:hAnsiTheme="minorEastAsia" w:eastAsiaTheme="minorEastAsia"/>
          <w:szCs w:val="21"/>
          <w:highlight w:val="none"/>
        </w:rPr>
        <w:t>由招标人向投标人提供的图纸、详细资料、样品、模型、模件和所有其他资料，被视为保密资料，仅被用于它所规定的用途，除非得到招标人的同意，不能向任何第三方透露。开标完成后，应招标人要求，投标人应归还所有从招标人处获得的保密资料。</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73" w:name="_Toc940"/>
      <w:bookmarkStart w:id="74" w:name="_Toc8856"/>
      <w:bookmarkStart w:id="75" w:name="_Toc7059"/>
      <w:bookmarkStart w:id="76" w:name="_Toc17665"/>
      <w:bookmarkStart w:id="77" w:name="_Toc6423"/>
      <w:r>
        <w:rPr>
          <w:rFonts w:hint="eastAsia" w:asciiTheme="minorEastAsia" w:hAnsiTheme="minorEastAsia" w:eastAsiaTheme="minorEastAsia"/>
          <w:sz w:val="21"/>
          <w:szCs w:val="21"/>
          <w:highlight w:val="none"/>
        </w:rPr>
        <w:t>投标人知悉</w:t>
      </w:r>
      <w:bookmarkEnd w:id="73"/>
      <w:bookmarkEnd w:id="74"/>
      <w:bookmarkEnd w:id="75"/>
      <w:bookmarkEnd w:id="76"/>
      <w:bookmarkEnd w:id="77"/>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.1凡响应本次招标的投标人均被视为已充分认识和理解了任何与本项目有关的影响事项和困难等情况。</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.2投标人应对所有的招标内容进行投标，不允许只对其中部分内容的投标。</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78" w:name="_Toc27190"/>
      <w:bookmarkStart w:id="79" w:name="_Toc30294"/>
      <w:bookmarkStart w:id="80" w:name="_Toc12618"/>
      <w:bookmarkStart w:id="81" w:name="_Toc22507"/>
      <w:bookmarkStart w:id="82" w:name="_Toc17769"/>
      <w:r>
        <w:rPr>
          <w:rFonts w:hint="eastAsia" w:asciiTheme="minorEastAsia" w:hAnsiTheme="minorEastAsia" w:eastAsiaTheme="minorEastAsia"/>
          <w:sz w:val="21"/>
          <w:szCs w:val="21"/>
          <w:highlight w:val="none"/>
        </w:rPr>
        <w:t>投标费用</w:t>
      </w:r>
      <w:bookmarkEnd w:id="78"/>
      <w:bookmarkEnd w:id="79"/>
      <w:bookmarkEnd w:id="80"/>
      <w:bookmarkEnd w:id="81"/>
      <w:bookmarkEnd w:id="82"/>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投标人应承担所有与编写和提交投标文件以及参加投标有关的费用，不论投标的结果如何，招标人在任何情况下均无义务和责任承担这些费用。</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83" w:name="_Toc17148"/>
      <w:bookmarkStart w:id="84" w:name="_Toc12163"/>
      <w:bookmarkStart w:id="85" w:name="_Toc20861"/>
      <w:bookmarkStart w:id="86" w:name="_Toc22780"/>
      <w:bookmarkStart w:id="87" w:name="_Toc3289"/>
      <w:r>
        <w:rPr>
          <w:rFonts w:hint="eastAsia" w:asciiTheme="minorEastAsia" w:hAnsiTheme="minorEastAsia" w:eastAsiaTheme="minorEastAsia"/>
          <w:sz w:val="21"/>
          <w:szCs w:val="21"/>
          <w:highlight w:val="none"/>
        </w:rPr>
        <w:t>保证</w:t>
      </w:r>
      <w:bookmarkEnd w:id="83"/>
      <w:bookmarkEnd w:id="84"/>
      <w:bookmarkEnd w:id="85"/>
      <w:bookmarkEnd w:id="86"/>
      <w:bookmarkEnd w:id="87"/>
    </w:p>
    <w:p>
      <w:pPr>
        <w:pStyle w:val="3"/>
        <w:keepNext w:val="0"/>
        <w:keepLines w:val="0"/>
        <w:numPr>
          <w:ilvl w:val="0"/>
          <w:numId w:val="0"/>
        </w:numPr>
        <w:spacing w:before="0" w:afterLines="50" w:line="400" w:lineRule="exact"/>
        <w:ind w:firstLine="420" w:firstLineChars="200"/>
        <w:jc w:val="both"/>
        <w:rPr>
          <w:rFonts w:asciiTheme="minorEastAsia" w:hAnsiTheme="minorEastAsia" w:eastAsiaTheme="minorEastAsia"/>
          <w:sz w:val="21"/>
          <w:szCs w:val="21"/>
          <w:highlight w:val="none"/>
        </w:rPr>
      </w:pPr>
      <w:bookmarkStart w:id="88" w:name="_Toc28690"/>
      <w:bookmarkStart w:id="89" w:name="_Toc8591"/>
      <w:bookmarkStart w:id="90" w:name="_Toc23827"/>
      <w:bookmarkStart w:id="91" w:name="_Toc26446"/>
      <w:bookmarkStart w:id="92" w:name="_Toc20593"/>
      <w:bookmarkStart w:id="93" w:name="_Toc10421"/>
      <w:bookmarkStart w:id="94" w:name="_Toc6522"/>
      <w:bookmarkStart w:id="95" w:name="_Toc28324"/>
      <w:bookmarkStart w:id="96" w:name="_Toc4387"/>
      <w:r>
        <w:rPr>
          <w:rFonts w:hint="eastAsia" w:asciiTheme="minorEastAsia" w:hAnsiTheme="minorEastAsia" w:eastAsiaTheme="minorEastAsia"/>
          <w:b w:val="0"/>
          <w:sz w:val="21"/>
          <w:szCs w:val="21"/>
          <w:highlight w:val="none"/>
        </w:rPr>
        <w:t>投标人应保证所提交给招标人的投标文件（含相关资料和数据）资料和数据是真实的，并承担相应的法律责任。如有作假，一经发现立即拒绝其投标。</w:t>
      </w:r>
      <w:bookmarkEnd w:id="88"/>
      <w:bookmarkEnd w:id="89"/>
      <w:bookmarkEnd w:id="90"/>
      <w:bookmarkEnd w:id="91"/>
      <w:bookmarkEnd w:id="92"/>
      <w:bookmarkEnd w:id="93"/>
      <w:bookmarkEnd w:id="94"/>
      <w:bookmarkEnd w:id="95"/>
      <w:bookmarkEnd w:id="96"/>
    </w:p>
    <w:p>
      <w:pPr>
        <w:spacing w:line="380" w:lineRule="exact"/>
        <w:jc w:val="center"/>
        <w:outlineLvl w:val="1"/>
        <w:rPr>
          <w:rFonts w:cs="Arial" w:asciiTheme="minorEastAsia" w:hAnsiTheme="minorEastAsia" w:eastAsiaTheme="minorEastAsia"/>
          <w:b/>
          <w:szCs w:val="21"/>
          <w:highlight w:val="none"/>
        </w:rPr>
      </w:pPr>
      <w:bookmarkStart w:id="97" w:name="_Toc21495"/>
      <w:bookmarkStart w:id="98" w:name="_Toc17058"/>
      <w:bookmarkStart w:id="99" w:name="_Toc9978"/>
      <w:bookmarkStart w:id="100" w:name="_Toc454"/>
      <w:bookmarkStart w:id="101" w:name="_Toc29246"/>
      <w:r>
        <w:rPr>
          <w:rFonts w:hint="eastAsia" w:cs="Arial" w:asciiTheme="minorEastAsia" w:hAnsiTheme="minorEastAsia" w:eastAsiaTheme="minorEastAsia"/>
          <w:b/>
          <w:szCs w:val="21"/>
          <w:highlight w:val="none"/>
        </w:rPr>
        <w:t>（二）招标文件</w:t>
      </w:r>
      <w:bookmarkEnd w:id="97"/>
      <w:bookmarkEnd w:id="98"/>
      <w:bookmarkEnd w:id="99"/>
      <w:bookmarkEnd w:id="100"/>
      <w:bookmarkEnd w:id="101"/>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02" w:name="_Toc2428"/>
      <w:bookmarkStart w:id="103" w:name="_Toc32671"/>
      <w:bookmarkStart w:id="104" w:name="_Toc10197"/>
      <w:bookmarkStart w:id="105" w:name="_Toc16319"/>
      <w:bookmarkStart w:id="106" w:name="_Toc25971"/>
      <w:r>
        <w:rPr>
          <w:rFonts w:hint="eastAsia" w:asciiTheme="minorEastAsia" w:hAnsiTheme="minorEastAsia" w:eastAsiaTheme="minorEastAsia"/>
          <w:sz w:val="21"/>
          <w:szCs w:val="21"/>
          <w:highlight w:val="none"/>
        </w:rPr>
        <w:t>招标文件构成</w:t>
      </w:r>
      <w:bookmarkEnd w:id="102"/>
      <w:bookmarkEnd w:id="103"/>
      <w:bookmarkEnd w:id="104"/>
      <w:bookmarkEnd w:id="105"/>
      <w:bookmarkEnd w:id="106"/>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11.1 </w:t>
      </w:r>
      <w:r>
        <w:rPr>
          <w:rFonts w:hint="eastAsia" w:asciiTheme="minorEastAsia" w:hAnsiTheme="minorEastAsia" w:eastAsiaTheme="minorEastAsia"/>
          <w:szCs w:val="21"/>
          <w:highlight w:val="none"/>
        </w:rPr>
        <w:t>本次招标的有关内容和要求在招标文件中均有说明。招标文件包括：</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第一章招标公告</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第二章  投标人须知</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第三章  开标、评标办法</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第四章  用户需求书</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第五章  合同条款</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第六章  投标文件格式</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 </w:t>
      </w:r>
      <w:r>
        <w:rPr>
          <w:rFonts w:hint="eastAsia" w:asciiTheme="minorEastAsia" w:hAnsiTheme="minorEastAsia" w:eastAsiaTheme="minorEastAsia"/>
          <w:szCs w:val="21"/>
          <w:highlight w:val="none"/>
        </w:rPr>
        <w:t>投标人应认真阅读招标文件中所有的事项、格式、条款和规范等要求。投标人没有按照招标文件要求提交全部资料，或者投标文件没有对招标文件各方面都作出实质性响应是投标人的风险，没有实质性响应招标文件要求的投标将被拒绝。</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 </w:t>
      </w:r>
      <w:r>
        <w:rPr>
          <w:rFonts w:hint="eastAsia" w:asciiTheme="minorEastAsia" w:hAnsiTheme="minorEastAsia" w:eastAsiaTheme="minorEastAsia"/>
          <w:szCs w:val="21"/>
          <w:highlight w:val="none"/>
        </w:rPr>
        <w:t>招标文件的澄清及修改</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11.3.1 </w:t>
      </w:r>
      <w:r>
        <w:rPr>
          <w:rFonts w:hint="eastAsia" w:asciiTheme="minorEastAsia" w:hAnsiTheme="minorEastAsia" w:eastAsiaTheme="minorEastAsia"/>
          <w:szCs w:val="21"/>
          <w:highlight w:val="none"/>
        </w:rPr>
        <w:t>任何要求对招标文件进行澄清的投标人，均应以书面形式通知招标人。招标人按《投标人须知前附表》第</w:t>
      </w:r>
      <w:r>
        <w:rPr>
          <w:rFonts w:asciiTheme="minorEastAsia" w:hAnsiTheme="minorEastAsia" w:eastAsiaTheme="minorEastAsia"/>
          <w:szCs w:val="21"/>
          <w:highlight w:val="none"/>
        </w:rPr>
        <w:t>8项规定的时间内对收到的投标人对招标文件的澄清要求以书面答复，答复将通知每个购买招标文件的投标人（答复中包括所有问题，但不包括问题的来源）。</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11.3.2 </w:t>
      </w:r>
      <w:r>
        <w:rPr>
          <w:rFonts w:hint="eastAsia" w:asciiTheme="minorEastAsia" w:hAnsiTheme="minorEastAsia" w:eastAsiaTheme="minorEastAsia"/>
          <w:szCs w:val="21"/>
          <w:highlight w:val="none"/>
        </w:rPr>
        <w:t>《投标人须知前附表》第</w:t>
      </w:r>
      <w:r>
        <w:rPr>
          <w:rFonts w:asciiTheme="minorEastAsia" w:hAnsiTheme="minorEastAsia" w:eastAsiaTheme="minorEastAsia"/>
          <w:szCs w:val="21"/>
          <w:highlight w:val="none"/>
        </w:rPr>
        <w:t>9项规定时间之前的任何时候，无论出于何种原因，招标人可主动地或在解答投标人提出的需澄清问题时向投标人发出修改文件对招标文件进行修改。</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11.3.3 </w:t>
      </w:r>
      <w:r>
        <w:rPr>
          <w:rFonts w:hint="eastAsia" w:asciiTheme="minorEastAsia" w:hAnsiTheme="minorEastAsia" w:eastAsiaTheme="minorEastAsia"/>
          <w:szCs w:val="21"/>
          <w:highlight w:val="none"/>
        </w:rPr>
        <w:t>招标文件的澄清和修改文件将以书面形式通知所有购买招标文件的投标人，该澄清和修改文件也是招标文件的组成部分，并对投标人具有约束力。</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11.3.4 </w:t>
      </w:r>
      <w:r>
        <w:rPr>
          <w:rFonts w:hint="eastAsia" w:asciiTheme="minorEastAsia" w:hAnsiTheme="minorEastAsia" w:eastAsiaTheme="minorEastAsia"/>
          <w:szCs w:val="21"/>
          <w:highlight w:val="none"/>
        </w:rPr>
        <w:t>投标人在收到招标人发给的任何澄清和修改文件时，都应在收到后立即以书面形式向招标人确认。</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11.3.5 </w:t>
      </w:r>
      <w:r>
        <w:rPr>
          <w:rFonts w:hint="eastAsia" w:asciiTheme="minorEastAsia" w:hAnsiTheme="minorEastAsia" w:eastAsiaTheme="minorEastAsia"/>
          <w:szCs w:val="21"/>
          <w:highlight w:val="none"/>
        </w:rPr>
        <w:t>招标人可视具体情况延长投标截止时间和开标时间，并将此变更通知所有招标文件收受人。在推迟了投标截止时间的情况下，招标人和投标人受投标截止时间制约的所有权利和义务均应延长至新的截止时间。</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07" w:name="_Toc22263"/>
      <w:bookmarkStart w:id="108" w:name="_Toc32050"/>
      <w:bookmarkStart w:id="109" w:name="_Toc19261"/>
      <w:bookmarkStart w:id="110" w:name="_Toc26371"/>
      <w:bookmarkStart w:id="111" w:name="_Toc29933"/>
      <w:r>
        <w:rPr>
          <w:rFonts w:hint="eastAsia" w:asciiTheme="minorEastAsia" w:hAnsiTheme="minorEastAsia" w:eastAsiaTheme="minorEastAsia"/>
          <w:sz w:val="21"/>
          <w:szCs w:val="21"/>
          <w:highlight w:val="none"/>
        </w:rPr>
        <w:t>招标语言</w:t>
      </w:r>
      <w:bookmarkEnd w:id="107"/>
      <w:bookmarkEnd w:id="108"/>
      <w:bookmarkEnd w:id="109"/>
      <w:bookmarkEnd w:id="110"/>
      <w:bookmarkEnd w:id="111"/>
    </w:p>
    <w:p>
      <w:pPr>
        <w:spacing w:line="380" w:lineRule="exact"/>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招标文件的主导语言为中文。</w:t>
      </w:r>
    </w:p>
    <w:p>
      <w:pPr>
        <w:pStyle w:val="219"/>
        <w:adjustRightInd w:val="0"/>
        <w:spacing w:before="120" w:line="360" w:lineRule="auto"/>
        <w:ind w:firstLine="384"/>
        <w:rPr>
          <w:rFonts w:asciiTheme="minorEastAsia" w:hAnsiTheme="minorEastAsia" w:eastAsiaTheme="minorEastAsia"/>
          <w:b/>
          <w:sz w:val="21"/>
          <w:szCs w:val="21"/>
          <w:highlight w:val="none"/>
        </w:rPr>
      </w:pPr>
      <w:bookmarkStart w:id="112" w:name="_Toc31616"/>
      <w:bookmarkStart w:id="113" w:name="_Toc1357"/>
      <w:bookmarkStart w:id="114" w:name="_Toc4285"/>
      <w:bookmarkStart w:id="115" w:name="_Toc26528"/>
      <w:bookmarkStart w:id="116" w:name="_Toc16080"/>
      <w:r>
        <w:rPr>
          <w:rFonts w:hint="eastAsia" w:asciiTheme="minorEastAsia" w:hAnsiTheme="minorEastAsia" w:eastAsiaTheme="minorEastAsia"/>
          <w:b/>
          <w:sz w:val="21"/>
          <w:szCs w:val="21"/>
          <w:highlight w:val="none"/>
        </w:rPr>
        <w:t>（三）投标文件的编制</w:t>
      </w:r>
      <w:bookmarkEnd w:id="112"/>
      <w:bookmarkEnd w:id="113"/>
      <w:bookmarkEnd w:id="114"/>
      <w:bookmarkEnd w:id="115"/>
      <w:bookmarkEnd w:id="116"/>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17" w:name="_Toc29967"/>
      <w:bookmarkStart w:id="118" w:name="_Toc20265"/>
      <w:bookmarkStart w:id="119" w:name="_Toc5512"/>
      <w:bookmarkStart w:id="120" w:name="_Toc3006"/>
      <w:bookmarkStart w:id="121" w:name="_Toc1633"/>
      <w:r>
        <w:rPr>
          <w:rFonts w:hint="eastAsia" w:asciiTheme="minorEastAsia" w:hAnsiTheme="minorEastAsia" w:eastAsiaTheme="minorEastAsia"/>
          <w:sz w:val="21"/>
          <w:szCs w:val="21"/>
          <w:highlight w:val="none"/>
        </w:rPr>
        <w:t>投标语言及计量</w:t>
      </w:r>
      <w:bookmarkEnd w:id="117"/>
      <w:bookmarkEnd w:id="118"/>
      <w:bookmarkEnd w:id="119"/>
      <w:bookmarkEnd w:id="120"/>
      <w:bookmarkEnd w:id="121"/>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13.1 </w:t>
      </w:r>
      <w:r>
        <w:rPr>
          <w:rFonts w:hint="eastAsia" w:asciiTheme="minorEastAsia" w:hAnsiTheme="minorEastAsia" w:eastAsiaTheme="minorEastAsia"/>
          <w:szCs w:val="21"/>
          <w:highlight w:val="none"/>
        </w:rPr>
        <w:t>投标人提交的投标文件以及投标人与招标人就有关投标的所有往来函电均应使用中文。投标人提供的支持文件和印刷的文献可以用英文，但相应内容应附有中文翻译本，在解释时以中文翻译本为准。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13.2 </w:t>
      </w:r>
      <w:r>
        <w:rPr>
          <w:rFonts w:hint="eastAsia" w:asciiTheme="minorEastAsia" w:hAnsiTheme="minorEastAsia" w:eastAsiaTheme="minorEastAsia"/>
          <w:szCs w:val="21"/>
          <w:highlight w:val="none"/>
        </w:rPr>
        <w:t>在投标文件中以及所有投标人与招标人往来文件中的所有计量单位为中华人民共和国的法定计量单位。</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22" w:name="_Toc27954"/>
      <w:bookmarkStart w:id="123" w:name="_Toc18313"/>
      <w:bookmarkStart w:id="124" w:name="_Toc19090"/>
      <w:bookmarkStart w:id="125" w:name="_Toc6782"/>
      <w:bookmarkStart w:id="126" w:name="_Toc4445"/>
      <w:r>
        <w:rPr>
          <w:rFonts w:hint="eastAsia" w:asciiTheme="minorEastAsia" w:hAnsiTheme="minorEastAsia" w:eastAsiaTheme="minorEastAsia"/>
          <w:sz w:val="21"/>
          <w:szCs w:val="21"/>
          <w:highlight w:val="none"/>
        </w:rPr>
        <w:t>投标文件的构成</w:t>
      </w:r>
      <w:bookmarkEnd w:id="122"/>
      <w:bookmarkEnd w:id="123"/>
      <w:bookmarkEnd w:id="124"/>
      <w:bookmarkEnd w:id="125"/>
      <w:bookmarkEnd w:id="126"/>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14.1投标人编写的投标文件应包括下列部分：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1）按《投标人须知》的规定填写投标函、投标报价表。</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2）按《投标人须知》的要求出具的资格证明文件，证明投标人是合格的，提供的货物是合格的，而且中标后有能力履行合同，格式按招标文件第</w:t>
      </w:r>
      <w:r>
        <w:rPr>
          <w:rFonts w:hint="eastAsia" w:asciiTheme="minorEastAsia" w:hAnsiTheme="minorEastAsia" w:eastAsiaTheme="minorEastAsia"/>
          <w:szCs w:val="21"/>
          <w:highlight w:val="none"/>
        </w:rPr>
        <w:t>六章要求的资格证明文件。</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3）按《投标人须知》的规定提交的投标保证金。</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4）按照招标文件的</w:t>
      </w:r>
      <w:r>
        <w:rPr>
          <w:rFonts w:hint="eastAsia" w:asciiTheme="minorEastAsia" w:hAnsiTheme="minorEastAsia" w:eastAsiaTheme="minorEastAsia"/>
          <w:szCs w:val="21"/>
          <w:highlight w:val="none"/>
        </w:rPr>
        <w:t>第六章格式对招标文件第四章用户需求书、第五章合同条款作出书面响应，包括但不限于服务描述、技术规范、技术参数等内容。</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27" w:name="_Toc5090"/>
      <w:bookmarkStart w:id="128" w:name="_Toc5951"/>
      <w:bookmarkStart w:id="129" w:name="_Toc3957"/>
      <w:bookmarkStart w:id="130" w:name="_Toc29324"/>
      <w:bookmarkStart w:id="131" w:name="_Toc17916"/>
      <w:r>
        <w:rPr>
          <w:rFonts w:hint="eastAsia" w:asciiTheme="minorEastAsia" w:hAnsiTheme="minorEastAsia" w:eastAsiaTheme="minorEastAsia"/>
          <w:sz w:val="21"/>
          <w:szCs w:val="21"/>
          <w:highlight w:val="none"/>
        </w:rPr>
        <w:t>投标函</w:t>
      </w:r>
      <w:bookmarkEnd w:id="127"/>
      <w:bookmarkEnd w:id="128"/>
      <w:bookmarkEnd w:id="129"/>
      <w:bookmarkEnd w:id="130"/>
      <w:bookmarkEnd w:id="131"/>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15.1 </w:t>
      </w:r>
      <w:r>
        <w:rPr>
          <w:rFonts w:hint="eastAsia" w:asciiTheme="minorEastAsia" w:hAnsiTheme="minorEastAsia" w:eastAsiaTheme="minorEastAsia"/>
          <w:szCs w:val="21"/>
          <w:highlight w:val="none"/>
        </w:rPr>
        <w:t>投标人应完整地填写投标文件格式中规定的投标函。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15.2 </w:t>
      </w:r>
      <w:r>
        <w:rPr>
          <w:rFonts w:hint="eastAsia" w:asciiTheme="minorEastAsia" w:hAnsiTheme="minorEastAsia" w:eastAsiaTheme="minorEastAsia"/>
          <w:szCs w:val="21"/>
          <w:highlight w:val="none"/>
        </w:rPr>
        <w:t>招标人不接受投标人备选方案见《投标人须知前附表》第</w:t>
      </w:r>
      <w:r>
        <w:rPr>
          <w:rFonts w:asciiTheme="minorEastAsia" w:hAnsiTheme="minorEastAsia" w:eastAsiaTheme="minorEastAsia"/>
          <w:szCs w:val="21"/>
          <w:highlight w:val="none"/>
        </w:rPr>
        <w:t>10项规定。</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32" w:name="_Toc19565"/>
      <w:bookmarkStart w:id="133" w:name="_Toc20639"/>
      <w:bookmarkStart w:id="134" w:name="_Toc7692"/>
      <w:bookmarkStart w:id="135" w:name="_Toc21517"/>
      <w:bookmarkStart w:id="136" w:name="_Toc30365"/>
      <w:r>
        <w:rPr>
          <w:rFonts w:hint="eastAsia" w:asciiTheme="minorEastAsia" w:hAnsiTheme="minorEastAsia" w:eastAsiaTheme="minorEastAsia"/>
          <w:sz w:val="21"/>
          <w:szCs w:val="21"/>
          <w:highlight w:val="none"/>
        </w:rPr>
        <w:t>投标报价</w:t>
      </w:r>
      <w:bookmarkEnd w:id="132"/>
      <w:bookmarkEnd w:id="133"/>
      <w:bookmarkEnd w:id="134"/>
      <w:bookmarkEnd w:id="135"/>
      <w:bookmarkEnd w:id="136"/>
    </w:p>
    <w:p>
      <w:pPr>
        <w:spacing w:line="384" w:lineRule="auto"/>
        <w:ind w:firstLine="420" w:firstLineChars="200"/>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16.1 本项目采用固定报价方式，</w:t>
      </w:r>
      <w:r>
        <w:rPr>
          <w:rFonts w:hint="eastAsia" w:cs="Arial" w:asciiTheme="minorEastAsia" w:hAnsiTheme="minorEastAsia" w:eastAsiaTheme="minorEastAsia"/>
          <w:szCs w:val="21"/>
          <w:highlight w:val="none"/>
        </w:rPr>
        <w:t>投标人应按照本项目招标范围进行报价。投标人的投标价必须是包含本项目所有招标内容的全部费用，投标人报价表中如有缺漏项，将被视为已经包含在投标价中，合同单价不做调整，同时不免除承包人对报价表中所缺漏的内容的承包责任。报价原则为以工作成本、费用加合理利润及税金报价。对投标人提交滑动价格的投标文件或任何包含价格调整要求的投标，都将被视为实质性不响应招标文件而被拒绝。</w:t>
      </w:r>
    </w:p>
    <w:p>
      <w:pPr>
        <w:tabs>
          <w:tab w:val="left" w:pos="425"/>
        </w:tabs>
        <w:spacing w:line="360" w:lineRule="auto"/>
        <w:ind w:firstLine="420" w:firstLineChars="200"/>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16.2</w:t>
      </w:r>
      <w:r>
        <w:rPr>
          <w:rFonts w:hint="eastAsia" w:cs="Arial" w:asciiTheme="minorEastAsia" w:hAnsiTheme="minorEastAsia" w:eastAsiaTheme="minorEastAsia"/>
          <w:szCs w:val="21"/>
          <w:highlight w:val="none"/>
        </w:rPr>
        <w:t>投标报价应包括人工费用、福利费用、管理费用、机具费用、税金、利润等所有与本项目相关、完成本合同的一切费用，包括但不限于：管理费、成本、利润、风险和所有税费。</w:t>
      </w:r>
    </w:p>
    <w:p>
      <w:pPr>
        <w:tabs>
          <w:tab w:val="left" w:pos="425"/>
        </w:tabs>
        <w:spacing w:line="360" w:lineRule="auto"/>
        <w:ind w:firstLine="420" w:firstLineChars="200"/>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 xml:space="preserve">16.3 </w:t>
      </w:r>
      <w:r>
        <w:rPr>
          <w:rFonts w:hint="eastAsia" w:cs="Arial" w:asciiTheme="minorEastAsia" w:hAnsiTheme="minorEastAsia" w:eastAsiaTheme="minorEastAsia"/>
          <w:szCs w:val="21"/>
          <w:highlight w:val="none"/>
        </w:rPr>
        <w:t>投标总报价应包括本项目要求投标人所提供的全部责任和义务的费用。投标人未单独列明的分项价格将被视为该项目的费用已包含在其他分项中，合同执行中不另予支付，同时不免除承包人对未单独列明的分项的承包责任。</w:t>
      </w:r>
    </w:p>
    <w:p>
      <w:pPr>
        <w:tabs>
          <w:tab w:val="left" w:pos="425"/>
        </w:tabs>
        <w:spacing w:line="360" w:lineRule="auto"/>
        <w:ind w:firstLine="420" w:firstLineChars="200"/>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16.4投标人应按照招标文件规定的全部要求进行报价，如有偏差，投标人应在偏差表中单独列出。</w:t>
      </w:r>
    </w:p>
    <w:p>
      <w:pPr>
        <w:tabs>
          <w:tab w:val="left" w:pos="425"/>
        </w:tabs>
        <w:spacing w:line="360" w:lineRule="auto"/>
        <w:ind w:firstLine="420" w:firstLineChars="200"/>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16.5投标人应按投标价格表指定的格式，并根据招标文件招标内容以及投标人的实际情况对投标价格表格式进行完善和补充。</w:t>
      </w:r>
    </w:p>
    <w:p>
      <w:pPr>
        <w:tabs>
          <w:tab w:val="left" w:pos="425"/>
        </w:tabs>
        <w:spacing w:line="360" w:lineRule="auto"/>
        <w:ind w:firstLine="420" w:firstLineChars="200"/>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16.6投标报价应为人民币含税价格。</w:t>
      </w:r>
    </w:p>
    <w:p>
      <w:pPr>
        <w:tabs>
          <w:tab w:val="left" w:pos="425"/>
        </w:tabs>
        <w:spacing w:line="360" w:lineRule="auto"/>
        <w:ind w:firstLine="420" w:firstLineChars="200"/>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16.7投标价格表应按照本招标要求格式和顺序分别填写，招标文件提供的报价表格式供投标人参考，投标人须根据招标文件、用户需求书，对报价内容进一步完善和补充后进行报价，以确保投标人的投标报价可以包含本项目招标范围内的所有内容，否则如有缺漏项，按</w:t>
      </w:r>
      <w:r>
        <w:rPr>
          <w:rFonts w:hint="eastAsia" w:cs="Arial" w:asciiTheme="minorEastAsia" w:hAnsiTheme="minorEastAsia" w:eastAsiaTheme="minorEastAsia"/>
          <w:szCs w:val="21"/>
          <w:highlight w:val="none"/>
        </w:rPr>
        <w:t>1</w:t>
      </w:r>
      <w:r>
        <w:rPr>
          <w:rFonts w:cs="Arial" w:asciiTheme="minorEastAsia" w:hAnsiTheme="minorEastAsia" w:eastAsiaTheme="minorEastAsia"/>
          <w:szCs w:val="21"/>
          <w:highlight w:val="none"/>
        </w:rPr>
        <w:t>6.1和</w:t>
      </w:r>
      <w:r>
        <w:rPr>
          <w:rFonts w:hint="eastAsia" w:cs="Arial" w:asciiTheme="minorEastAsia" w:hAnsiTheme="minorEastAsia" w:eastAsiaTheme="minorEastAsia"/>
          <w:szCs w:val="21"/>
          <w:highlight w:val="none"/>
        </w:rPr>
        <w:t>1</w:t>
      </w:r>
      <w:r>
        <w:rPr>
          <w:rFonts w:cs="Arial" w:asciiTheme="minorEastAsia" w:hAnsiTheme="minorEastAsia" w:eastAsiaTheme="minorEastAsia"/>
          <w:szCs w:val="21"/>
          <w:highlight w:val="none"/>
        </w:rPr>
        <w:t>6.3规定处理。</w:t>
      </w:r>
    </w:p>
    <w:p>
      <w:pPr>
        <w:tabs>
          <w:tab w:val="left" w:pos="425"/>
        </w:tabs>
        <w:spacing w:line="360" w:lineRule="auto"/>
        <w:ind w:firstLine="420" w:firstLineChars="200"/>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16.8若在投标报价中</w:t>
      </w:r>
      <w:r>
        <w:rPr>
          <w:rFonts w:hint="eastAsia" w:cs="Arial" w:asciiTheme="minorEastAsia" w:hAnsiTheme="minorEastAsia" w:eastAsiaTheme="minorEastAsia"/>
          <w:szCs w:val="21"/>
          <w:highlight w:val="none"/>
        </w:rPr>
        <w:t>对同一内容提供两个以上的报价且未明确哪个报价有效，将被视为无效报价，其投标文件将被视为实质性不响应招标文件而被拒绝。</w:t>
      </w:r>
    </w:p>
    <w:p>
      <w:pPr>
        <w:pStyle w:val="210"/>
        <w:spacing w:line="360" w:lineRule="auto"/>
        <w:rPr>
          <w:rFonts w:asciiTheme="minorEastAsia" w:hAnsiTheme="minorEastAsia" w:eastAsiaTheme="minorEastAsia"/>
          <w:szCs w:val="21"/>
          <w:highlight w:val="none"/>
        </w:rPr>
      </w:pPr>
      <w:r>
        <w:rPr>
          <w:rFonts w:cs="Arial" w:asciiTheme="minorEastAsia" w:hAnsiTheme="minorEastAsia" w:eastAsiaTheme="minorEastAsia"/>
          <w:szCs w:val="21"/>
          <w:highlight w:val="none"/>
        </w:rPr>
        <w:t>16.9投标人应自行承担因其编制投标文件与递交投标文件等参加投标所涉及的一切投标费用。不管投标结果如何，招标人对上述费用不负任何责任。</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37" w:name="_Toc18796"/>
      <w:bookmarkStart w:id="138" w:name="_Toc6800"/>
      <w:bookmarkStart w:id="139" w:name="_Toc32470"/>
      <w:bookmarkStart w:id="140" w:name="_Toc20010"/>
      <w:bookmarkStart w:id="141" w:name="_Toc10615"/>
      <w:r>
        <w:rPr>
          <w:rFonts w:hint="eastAsia" w:asciiTheme="minorEastAsia" w:hAnsiTheme="minorEastAsia" w:eastAsiaTheme="minorEastAsia"/>
          <w:sz w:val="21"/>
          <w:szCs w:val="21"/>
          <w:highlight w:val="none"/>
        </w:rPr>
        <w:t>投标货币</w:t>
      </w:r>
      <w:bookmarkEnd w:id="137"/>
      <w:bookmarkEnd w:id="138"/>
      <w:bookmarkEnd w:id="139"/>
      <w:bookmarkEnd w:id="140"/>
      <w:bookmarkEnd w:id="141"/>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投标文件中，全部投标内容的报价，必须用人民币报价。</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42" w:name="_Toc17123"/>
      <w:bookmarkStart w:id="143" w:name="_Toc24620"/>
      <w:bookmarkStart w:id="144" w:name="_Toc8296"/>
      <w:bookmarkStart w:id="145" w:name="_Toc7599"/>
      <w:bookmarkStart w:id="146" w:name="_Toc12490"/>
      <w:r>
        <w:rPr>
          <w:rFonts w:hint="eastAsia" w:asciiTheme="minorEastAsia" w:hAnsiTheme="minorEastAsia" w:eastAsiaTheme="minorEastAsia"/>
          <w:sz w:val="21"/>
          <w:szCs w:val="21"/>
          <w:highlight w:val="none"/>
        </w:rPr>
        <w:t>证明投标人资格的文件</w:t>
      </w:r>
      <w:bookmarkEnd w:id="142"/>
      <w:bookmarkEnd w:id="143"/>
      <w:bookmarkEnd w:id="144"/>
      <w:bookmarkEnd w:id="145"/>
      <w:bookmarkEnd w:id="146"/>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18.1 </w:t>
      </w:r>
      <w:r>
        <w:rPr>
          <w:rFonts w:hint="eastAsia" w:asciiTheme="minorEastAsia" w:hAnsiTheme="minorEastAsia" w:eastAsiaTheme="minorEastAsia"/>
          <w:szCs w:val="21"/>
          <w:highlight w:val="none"/>
        </w:rPr>
        <w:t>按招标公告的规定，投标人应提交证明其有资格参加投标和中标后有能力履行合同的文件，并作为其投标文件的一部分。</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18.2 </w:t>
      </w:r>
      <w:r>
        <w:rPr>
          <w:rFonts w:hint="eastAsia" w:asciiTheme="minorEastAsia" w:hAnsiTheme="minorEastAsia" w:eastAsiaTheme="minorEastAsia"/>
          <w:szCs w:val="21"/>
          <w:highlight w:val="none"/>
        </w:rPr>
        <w:t>投标人须按《投标人须知前附表》第</w:t>
      </w:r>
      <w:r>
        <w:rPr>
          <w:rFonts w:asciiTheme="minorEastAsia" w:hAnsiTheme="minorEastAsia" w:eastAsiaTheme="minorEastAsia"/>
          <w:szCs w:val="21"/>
          <w:highlight w:val="none"/>
        </w:rPr>
        <w:t>12项规定提供资格性证明文件。</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i/>
          <w:sz w:val="21"/>
          <w:szCs w:val="21"/>
          <w:highlight w:val="none"/>
        </w:rPr>
      </w:pPr>
      <w:bookmarkStart w:id="147" w:name="_Toc18400"/>
      <w:bookmarkStart w:id="148" w:name="_Toc25447"/>
      <w:bookmarkStart w:id="149" w:name="_Toc19277"/>
      <w:bookmarkStart w:id="150" w:name="_Toc3369"/>
      <w:bookmarkStart w:id="151" w:name="_Toc29885"/>
      <w:r>
        <w:rPr>
          <w:rFonts w:hint="eastAsia" w:asciiTheme="minorEastAsia" w:hAnsiTheme="minorEastAsia" w:eastAsiaTheme="minorEastAsia"/>
          <w:sz w:val="21"/>
          <w:szCs w:val="21"/>
          <w:highlight w:val="none"/>
        </w:rPr>
        <w:t>证明货物的合格和符合招标文件规定的文件</w:t>
      </w:r>
      <w:bookmarkEnd w:id="147"/>
      <w:bookmarkEnd w:id="148"/>
      <w:bookmarkEnd w:id="149"/>
      <w:bookmarkEnd w:id="150"/>
      <w:bookmarkEnd w:id="151"/>
    </w:p>
    <w:p>
      <w:pPr>
        <w:adjustRightInd w:val="0"/>
        <w:snapToGrid w:val="0"/>
        <w:spacing w:line="360" w:lineRule="auto"/>
        <w:ind w:firstLine="422" w:firstLineChars="200"/>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无</w:t>
      </w:r>
      <w:r>
        <w:rPr>
          <w:rFonts w:hint="eastAsia" w:asciiTheme="minorEastAsia" w:hAnsiTheme="minorEastAsia" w:eastAsiaTheme="minorEastAsia"/>
          <w:b/>
          <w:i/>
          <w:szCs w:val="21"/>
          <w:highlight w:val="none"/>
        </w:rPr>
        <w:t>。</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52" w:name="_Toc25046"/>
      <w:bookmarkStart w:id="153" w:name="_Toc6972"/>
      <w:bookmarkStart w:id="154" w:name="_Toc25166"/>
      <w:bookmarkStart w:id="155" w:name="_Toc13376"/>
      <w:bookmarkStart w:id="156" w:name="_Toc16680"/>
      <w:r>
        <w:rPr>
          <w:rFonts w:hint="eastAsia" w:asciiTheme="minorEastAsia" w:hAnsiTheme="minorEastAsia" w:eastAsiaTheme="minorEastAsia"/>
          <w:sz w:val="21"/>
          <w:szCs w:val="21"/>
          <w:highlight w:val="none"/>
        </w:rPr>
        <w:t>投标保证金</w:t>
      </w:r>
      <w:bookmarkEnd w:id="152"/>
      <w:bookmarkEnd w:id="153"/>
      <w:bookmarkEnd w:id="154"/>
      <w:bookmarkEnd w:id="155"/>
      <w:bookmarkEnd w:id="156"/>
    </w:p>
    <w:p>
      <w:pPr>
        <w:adjustRightInd w:val="0"/>
        <w:snapToGrid w:val="0"/>
        <w:spacing w:line="360" w:lineRule="auto"/>
        <w:ind w:firstLine="382" w:firstLineChars="182"/>
        <w:rPr>
          <w:rFonts w:asciiTheme="minorEastAsia" w:hAnsiTheme="minorEastAsia" w:eastAsiaTheme="minorEastAsia"/>
          <w:szCs w:val="21"/>
          <w:highlight w:val="none"/>
          <w:u w:val="single"/>
        </w:rPr>
      </w:pPr>
      <w:r>
        <w:rPr>
          <w:rFonts w:asciiTheme="minorEastAsia" w:hAnsiTheme="minorEastAsia" w:eastAsiaTheme="minorEastAsia"/>
          <w:szCs w:val="21"/>
          <w:highlight w:val="none"/>
        </w:rPr>
        <w:t xml:space="preserve">20.1 </w:t>
      </w:r>
      <w:r>
        <w:rPr>
          <w:rFonts w:hint="eastAsia" w:asciiTheme="minorEastAsia" w:hAnsiTheme="minorEastAsia" w:eastAsiaTheme="minorEastAsia"/>
          <w:szCs w:val="21"/>
          <w:highlight w:val="none"/>
        </w:rPr>
        <w:t>所有投标人都必须按《投标人须知前附表》第</w:t>
      </w:r>
      <w:r>
        <w:rPr>
          <w:rFonts w:asciiTheme="minorEastAsia" w:hAnsiTheme="minorEastAsia" w:eastAsiaTheme="minorEastAsia"/>
          <w:szCs w:val="21"/>
          <w:highlight w:val="none"/>
        </w:rPr>
        <w:t>13项的规定提交投标保证金。投标保证金是投标文件的组成部分。</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20.2投标保证金是为了保护招标人免遭因投标人的行为而蒙受损失，招标人在因投标人的行为受到损害时可以根据20.6</w:t>
      </w:r>
      <w:r>
        <w:rPr>
          <w:rFonts w:hint="eastAsia" w:asciiTheme="minorEastAsia" w:hAnsiTheme="minorEastAsia" w:eastAsiaTheme="minorEastAsia"/>
          <w:szCs w:val="21"/>
          <w:highlight w:val="none"/>
        </w:rPr>
        <w:t>规定不予退还投标人的投标保证金。</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20.3 </w:t>
      </w:r>
      <w:r>
        <w:rPr>
          <w:rFonts w:hint="eastAsia" w:asciiTheme="minorEastAsia" w:hAnsiTheme="minorEastAsia" w:eastAsiaTheme="minorEastAsia"/>
          <w:szCs w:val="21"/>
          <w:highlight w:val="none"/>
        </w:rPr>
        <w:t>凡没有根据投标人须知的规定提交投标保证金的投标，将被视为非响应性投标予以拒绝。</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20.4未中标人的投标保证金，招标人将在与中标人合同签订后5日内退还。</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20.5中标人的投标保证金的退还必须同时满足以下要求：</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中标人按《中标通知书》的规定签订合同，并按规定提交履约保证金。</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20.6下列任何一种情况发生时，投标保证金将不予退还：</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1）投标人在投标文件中响应的投标有效期内撤回其投标；</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2）投标人不接受评标委员会按规定对其投标报价错误的修正；</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3）中标人在规定期限内未能根据《中标通知书》的规定签订合同。</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4）违反国家有关法律法规的规定的。</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57" w:name="_Toc13980"/>
      <w:bookmarkStart w:id="158" w:name="_Toc5283"/>
      <w:bookmarkStart w:id="159" w:name="_Toc5909"/>
      <w:bookmarkStart w:id="160" w:name="_Toc4355"/>
      <w:bookmarkStart w:id="161" w:name="_Toc14319"/>
      <w:r>
        <w:rPr>
          <w:rFonts w:hint="eastAsia" w:asciiTheme="minorEastAsia" w:hAnsiTheme="minorEastAsia" w:eastAsiaTheme="minorEastAsia"/>
          <w:sz w:val="21"/>
          <w:szCs w:val="21"/>
          <w:highlight w:val="none"/>
        </w:rPr>
        <w:t>知识产权</w:t>
      </w:r>
      <w:bookmarkEnd w:id="157"/>
      <w:bookmarkEnd w:id="158"/>
      <w:bookmarkEnd w:id="159"/>
      <w:bookmarkEnd w:id="160"/>
      <w:bookmarkEnd w:id="161"/>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21.1投标人应保证，招标人在中华人民共和国使用、销售货物或货物的任何一部分时，招标人免受第三方提出侵犯其专利权、商标权或其它知识产权的起诉。</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21.2投标价应包括所有应支付的对专利权和版权或其他知识产权而需要向其他方支付的费用。</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21.3 </w:t>
      </w:r>
      <w:r>
        <w:rPr>
          <w:rFonts w:hint="eastAsia" w:asciiTheme="minorEastAsia" w:hAnsiTheme="minorEastAsia" w:eastAsiaTheme="minorEastAsia"/>
          <w:szCs w:val="21"/>
          <w:highlight w:val="none"/>
        </w:rPr>
        <w:t>投标人应保证，投标人所提供产品的说明书或使用方法，或招标人使用该产品达到通常使用目的所必须的使用方法，应不侵犯第三方知识产权，否则，投标人应就此给招标人导致的损失承担赔偿责任。</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62" w:name="_Toc3231"/>
      <w:bookmarkStart w:id="163" w:name="_Toc6490"/>
      <w:bookmarkStart w:id="164" w:name="_Toc15084"/>
      <w:bookmarkStart w:id="165" w:name="_Toc24351"/>
      <w:bookmarkStart w:id="166" w:name="_Toc5121"/>
      <w:r>
        <w:rPr>
          <w:rFonts w:hint="eastAsia" w:asciiTheme="minorEastAsia" w:hAnsiTheme="minorEastAsia" w:eastAsiaTheme="minorEastAsia"/>
          <w:sz w:val="21"/>
          <w:szCs w:val="21"/>
          <w:highlight w:val="none"/>
        </w:rPr>
        <w:t>投标有效期</w:t>
      </w:r>
      <w:bookmarkEnd w:id="162"/>
      <w:bookmarkEnd w:id="163"/>
      <w:bookmarkEnd w:id="164"/>
      <w:bookmarkEnd w:id="165"/>
      <w:bookmarkEnd w:id="166"/>
    </w:p>
    <w:p>
      <w:pPr>
        <w:widowControl/>
        <w:numPr>
          <w:ilvl w:val="1"/>
          <w:numId w:val="7"/>
        </w:numPr>
        <w:adjustRightInd w:val="0"/>
        <w:snapToGrid w:val="0"/>
        <w:spacing w:line="360" w:lineRule="auto"/>
        <w:ind w:left="0"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投标文件应根据</w:t>
      </w:r>
      <w:r>
        <w:rPr>
          <w:rFonts w:hint="eastAsia" w:asciiTheme="minorEastAsia" w:hAnsiTheme="minorEastAsia" w:eastAsiaTheme="minorEastAsia"/>
          <w:b/>
          <w:szCs w:val="21"/>
          <w:highlight w:val="none"/>
        </w:rPr>
        <w:t>《投标人须知前附表》第</w:t>
      </w:r>
      <w:r>
        <w:rPr>
          <w:rFonts w:asciiTheme="minorEastAsia" w:hAnsiTheme="minorEastAsia" w:eastAsiaTheme="minorEastAsia"/>
          <w:b/>
          <w:szCs w:val="21"/>
          <w:highlight w:val="none"/>
        </w:rPr>
        <w:t>14项</w:t>
      </w:r>
      <w:r>
        <w:rPr>
          <w:rFonts w:hint="eastAsia" w:asciiTheme="minorEastAsia" w:hAnsiTheme="minorEastAsia" w:eastAsiaTheme="minorEastAsia"/>
          <w:szCs w:val="21"/>
          <w:highlight w:val="none"/>
        </w:rPr>
        <w:t>规定的时间内保持有效。投标有效期比规定期限短的将被视为非响应投标而予以拒绝。</w:t>
      </w:r>
    </w:p>
    <w:p>
      <w:pPr>
        <w:widowControl/>
        <w:numPr>
          <w:ilvl w:val="1"/>
          <w:numId w:val="7"/>
        </w:numPr>
        <w:adjustRightInd w:val="0"/>
        <w:snapToGrid w:val="0"/>
        <w:spacing w:line="360" w:lineRule="auto"/>
        <w:ind w:left="0"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殊情况下在原有投标有效期截止之前，招标人可征求投标人同意延长投标有效期。这种要求与答复均应以书面形式提交。投标人可以拒绝招标人的这种要求，其投标保证金将予以退还。接受投标有效期延长的投标人将不会被要求和允许修正其投标文件，而只会要求其相应地延长其投标保证金的有效期。在这种情况下，本须知有关投标保证金的退还与否的规定将在延长了的有效期内继续有效。</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67" w:name="_Toc25561"/>
      <w:bookmarkStart w:id="168" w:name="_Toc13347"/>
      <w:bookmarkStart w:id="169" w:name="_Toc3683"/>
      <w:bookmarkStart w:id="170" w:name="_Toc20338"/>
      <w:bookmarkStart w:id="171" w:name="_Toc21509"/>
      <w:r>
        <w:rPr>
          <w:rFonts w:hint="eastAsia" w:asciiTheme="minorEastAsia" w:hAnsiTheme="minorEastAsia" w:eastAsiaTheme="minorEastAsia"/>
          <w:sz w:val="21"/>
          <w:szCs w:val="21"/>
          <w:highlight w:val="none"/>
        </w:rPr>
        <w:t>投标文件的组成、式样和签署</w:t>
      </w:r>
      <w:bookmarkEnd w:id="167"/>
      <w:bookmarkEnd w:id="168"/>
      <w:bookmarkEnd w:id="169"/>
      <w:bookmarkEnd w:id="170"/>
      <w:bookmarkEnd w:id="171"/>
    </w:p>
    <w:p>
      <w:pPr>
        <w:adjustRightInd w:val="0"/>
        <w:snapToGrid w:val="0"/>
        <w:spacing w:line="360" w:lineRule="auto"/>
        <w:ind w:firstLine="382" w:firstLineChars="182"/>
        <w:rPr>
          <w:rFonts w:asciiTheme="minorEastAsia" w:hAnsiTheme="minorEastAsia" w:eastAsiaTheme="minorEastAsia"/>
          <w:b/>
          <w:i/>
          <w:szCs w:val="21"/>
          <w:highlight w:val="none"/>
        </w:rPr>
      </w:pPr>
      <w:r>
        <w:rPr>
          <w:rFonts w:asciiTheme="minorEastAsia" w:hAnsiTheme="minorEastAsia" w:eastAsiaTheme="minorEastAsia"/>
          <w:szCs w:val="21"/>
          <w:highlight w:val="none"/>
        </w:rPr>
        <w:t>23.1投标人的投标文件由第一部分《商务</w:t>
      </w:r>
      <w:r>
        <w:rPr>
          <w:rFonts w:hint="eastAsia" w:asciiTheme="minorEastAsia" w:hAnsiTheme="minorEastAsia" w:eastAsiaTheme="minorEastAsia"/>
          <w:szCs w:val="21"/>
          <w:highlight w:val="none"/>
        </w:rPr>
        <w:t>技术</w:t>
      </w:r>
      <w:r>
        <w:rPr>
          <w:rFonts w:asciiTheme="minorEastAsia" w:hAnsiTheme="minorEastAsia" w:eastAsiaTheme="minorEastAsia"/>
          <w:szCs w:val="21"/>
          <w:highlight w:val="none"/>
        </w:rPr>
        <w:t>投标文件</w:t>
      </w:r>
      <w:r>
        <w:rPr>
          <w:rFonts w:hint="eastAsia" w:asciiTheme="minorEastAsia" w:hAnsiTheme="minorEastAsia" w:eastAsiaTheme="minorEastAsia"/>
          <w:szCs w:val="21"/>
          <w:highlight w:val="none"/>
        </w:rPr>
        <w:t>》（含电子文件</w:t>
      </w:r>
      <w:r>
        <w:rPr>
          <w:rFonts w:asciiTheme="minorEastAsia" w:hAnsiTheme="minorEastAsia" w:eastAsiaTheme="minorEastAsia"/>
          <w:szCs w:val="21"/>
          <w:highlight w:val="none"/>
        </w:rPr>
        <w:t>U盘1个）、第二部分《</w:t>
      </w:r>
      <w:r>
        <w:rPr>
          <w:rFonts w:hint="eastAsia" w:asciiTheme="minorEastAsia" w:hAnsiTheme="minorEastAsia" w:eastAsiaTheme="minorEastAsia"/>
          <w:szCs w:val="21"/>
          <w:highlight w:val="none"/>
        </w:rPr>
        <w:t>价格</w:t>
      </w:r>
      <w:r>
        <w:rPr>
          <w:rFonts w:asciiTheme="minorEastAsia" w:hAnsiTheme="minorEastAsia" w:eastAsiaTheme="minorEastAsia"/>
          <w:szCs w:val="21"/>
          <w:highlight w:val="none"/>
        </w:rPr>
        <w:t>投标</w:t>
      </w:r>
      <w:r>
        <w:rPr>
          <w:rFonts w:hint="eastAsia" w:asciiTheme="minorEastAsia" w:hAnsiTheme="minorEastAsia" w:eastAsiaTheme="minorEastAsia"/>
          <w:szCs w:val="21"/>
          <w:highlight w:val="none"/>
        </w:rPr>
        <w:t>文件》（含电子文件</w:t>
      </w:r>
      <w:r>
        <w:rPr>
          <w:rFonts w:asciiTheme="minorEastAsia" w:hAnsiTheme="minorEastAsia" w:eastAsiaTheme="minorEastAsia"/>
          <w:szCs w:val="21"/>
          <w:highlight w:val="none"/>
        </w:rPr>
        <w:t>U盘1个）、第三部分唱标信封组成。</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23.2 商务</w:t>
      </w:r>
      <w:r>
        <w:rPr>
          <w:rFonts w:hint="eastAsia" w:asciiTheme="minorEastAsia" w:hAnsiTheme="minorEastAsia" w:eastAsiaTheme="minorEastAsia"/>
          <w:szCs w:val="21"/>
          <w:highlight w:val="none"/>
        </w:rPr>
        <w:t>、技术</w:t>
      </w:r>
      <w:r>
        <w:rPr>
          <w:rFonts w:asciiTheme="minorEastAsia" w:hAnsiTheme="minorEastAsia" w:eastAsiaTheme="minorEastAsia"/>
          <w:szCs w:val="21"/>
          <w:highlight w:val="none"/>
        </w:rPr>
        <w:t>投标文件包括</w:t>
      </w:r>
      <w:r>
        <w:rPr>
          <w:rFonts w:hint="eastAsia" w:asciiTheme="minorEastAsia" w:hAnsiTheme="minorEastAsia" w:eastAsiaTheme="minorEastAsia"/>
          <w:szCs w:val="21"/>
          <w:highlight w:val="none"/>
        </w:rPr>
        <w:t>：</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投标函（详见第六章投标文件格式1）；</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投标人声明（详见第六章投标文件格式2）；</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（3）法定代表人资格证明书（详见第六章投标文件格式3）；</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（4）法定代表人授权委托书（详见第六章投标文件格式4）；</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（5）承诺书（详见第六章投标文件格式5）；</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（6）资格证明文件（详见第六章投标文件格式6）；</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合同条款响应表（详见第六章投标文件格式7）；</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投标保证金汇款声明函（详见第六章投标文件格式8）；</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（9）企业信誉（详见第六章投标文件格式9）；</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（10）财务状况（详见第六章投标文件格式10）</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（11）业绩一览表（详见第六章投标文件格式11）；</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（12）技术力量（详见第六章投标文件格式12）；</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w:t>
      </w:r>
      <w:r>
        <w:rPr>
          <w:rFonts w:asciiTheme="minorEastAsia" w:hAnsiTheme="minorEastAsia" w:eastAsiaTheme="minorEastAsia"/>
          <w:szCs w:val="21"/>
          <w:highlight w:val="none"/>
        </w:rPr>
        <w:t>）用户需求书响应表</w:t>
      </w:r>
      <w:r>
        <w:rPr>
          <w:rFonts w:hint="eastAsia" w:asciiTheme="minorEastAsia" w:hAnsiTheme="minorEastAsia" w:eastAsiaTheme="minorEastAsia"/>
          <w:szCs w:val="21"/>
          <w:highlight w:val="none"/>
        </w:rPr>
        <w:t>（详见第六章投标文件格式13）</w:t>
      </w:r>
      <w:r>
        <w:rPr>
          <w:rFonts w:asciiTheme="minorEastAsia" w:hAnsiTheme="minorEastAsia" w:eastAsiaTheme="minorEastAsia"/>
          <w:szCs w:val="21"/>
          <w:highlight w:val="none"/>
        </w:rPr>
        <w:t>；</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w:t>
      </w:r>
      <w:r>
        <w:rPr>
          <w:rFonts w:asciiTheme="minorEastAsia" w:hAnsiTheme="minorEastAsia" w:eastAsiaTheme="minorEastAsia"/>
          <w:szCs w:val="21"/>
          <w:highlight w:val="none"/>
        </w:rPr>
        <w:t>）投标人</w:t>
      </w:r>
      <w:r>
        <w:rPr>
          <w:rFonts w:hint="eastAsia" w:asciiTheme="minorEastAsia" w:hAnsiTheme="minorEastAsia" w:eastAsiaTheme="minorEastAsia"/>
          <w:szCs w:val="21"/>
          <w:highlight w:val="none"/>
        </w:rPr>
        <w:t>简介（详见第六章投标文件格式14）</w:t>
      </w:r>
      <w:r>
        <w:rPr>
          <w:rFonts w:asciiTheme="minorEastAsia" w:hAnsiTheme="minorEastAsia" w:eastAsiaTheme="minorEastAsia"/>
          <w:szCs w:val="21"/>
          <w:highlight w:val="none"/>
        </w:rPr>
        <w:t>；</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（15）项目人员配置（详见第六章投标文件格式15）；</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其</w:t>
      </w:r>
      <w:r>
        <w:rPr>
          <w:rFonts w:asciiTheme="minorEastAsia" w:hAnsiTheme="minorEastAsia" w:eastAsiaTheme="minorEastAsia"/>
          <w:szCs w:val="21"/>
          <w:highlight w:val="none"/>
        </w:rPr>
        <w:t>它资料。</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23.3</w:t>
      </w:r>
      <w:r>
        <w:rPr>
          <w:rFonts w:hint="eastAsia" w:asciiTheme="minorEastAsia" w:hAnsiTheme="minorEastAsia" w:eastAsiaTheme="minorEastAsia"/>
          <w:szCs w:val="21"/>
          <w:highlight w:val="none"/>
        </w:rPr>
        <w:t>价格</w:t>
      </w:r>
      <w:r>
        <w:rPr>
          <w:rFonts w:asciiTheme="minorEastAsia" w:hAnsiTheme="minorEastAsia" w:eastAsiaTheme="minorEastAsia"/>
          <w:szCs w:val="21"/>
          <w:highlight w:val="none"/>
        </w:rPr>
        <w:t>投标</w:t>
      </w:r>
      <w:r>
        <w:rPr>
          <w:rFonts w:hint="eastAsia" w:asciiTheme="minorEastAsia" w:hAnsiTheme="minorEastAsia" w:eastAsiaTheme="minorEastAsia"/>
          <w:szCs w:val="21"/>
          <w:highlight w:val="none"/>
        </w:rPr>
        <w:t>文件包括：</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详见招标文件第六章《投标文件格式》中的“第二部分《价格投标文件》”。</w:t>
      </w:r>
    </w:p>
    <w:p>
      <w:pPr>
        <w:adjustRightInd w:val="0"/>
        <w:snapToGrid w:val="0"/>
        <w:spacing w:line="360" w:lineRule="auto"/>
        <w:ind w:firstLine="382" w:firstLineChars="182"/>
        <w:rPr>
          <w:rFonts w:asciiTheme="minorEastAsia" w:hAnsiTheme="minorEastAsia" w:eastAsiaTheme="minorEastAsia"/>
          <w:b/>
          <w:szCs w:val="21"/>
          <w:highlight w:val="none"/>
        </w:rPr>
      </w:pPr>
      <w:r>
        <w:rPr>
          <w:rFonts w:asciiTheme="minorEastAsia" w:hAnsiTheme="minorEastAsia" w:eastAsiaTheme="minorEastAsia"/>
          <w:szCs w:val="21"/>
          <w:highlight w:val="none"/>
        </w:rPr>
        <w:t>23.4唱标信封内容见本须知第25.5项。</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23.5投标人按照投标人须知前附表第15</w:t>
      </w:r>
      <w:r>
        <w:rPr>
          <w:rFonts w:hint="eastAsia" w:asciiTheme="minorEastAsia" w:hAnsiTheme="minorEastAsia" w:eastAsiaTheme="minorEastAsia"/>
          <w:szCs w:val="21"/>
          <w:highlight w:val="none"/>
        </w:rPr>
        <w:t>项规定提交投标文件。在每份投标文件封面上注明“正本”或“副本”、“商务技术投标文件”或“价格投标文件”。</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23.6投标文件的任何行间插字、涂改和增删，须经法定代表人（或其授权代理人）签名或加盖单位章才有效。</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23.7投标文件[副本]</w:t>
      </w:r>
      <w:r>
        <w:rPr>
          <w:rFonts w:hint="eastAsia" w:asciiTheme="minorEastAsia" w:hAnsiTheme="minorEastAsia" w:eastAsiaTheme="minorEastAsia"/>
          <w:szCs w:val="21"/>
          <w:highlight w:val="none"/>
        </w:rPr>
        <w:t>的所有资料都可以用投标文件的</w:t>
      </w:r>
      <w:r>
        <w:rPr>
          <w:rFonts w:asciiTheme="minorEastAsia" w:hAnsiTheme="minorEastAsia" w:eastAsiaTheme="minorEastAsia"/>
          <w:szCs w:val="21"/>
          <w:highlight w:val="none"/>
        </w:rPr>
        <w:t>[正本]复印而成。如果正本与副本不符，应以正本为准。</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23.8投标文件的[正本]及所有[副本]的封面均须加盖投标人法人公章，并经法定代表人或其授权代理人签名或盖章。</w:t>
      </w:r>
    </w:p>
    <w:p>
      <w:pPr>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23.9传真、邮寄和电传的投标文件将被拒绝。</w:t>
      </w:r>
    </w:p>
    <w:p>
      <w:pPr>
        <w:adjustRightInd w:val="0"/>
        <w:snapToGrid w:val="0"/>
        <w:spacing w:line="360" w:lineRule="auto"/>
        <w:ind w:firstLine="382" w:firstLineChars="182"/>
        <w:rPr>
          <w:rFonts w:asciiTheme="minorEastAsia" w:hAnsiTheme="minorEastAsia" w:eastAsiaTheme="minorEastAsia"/>
          <w:szCs w:val="21"/>
          <w:highlight w:val="none"/>
        </w:rPr>
      </w:pPr>
    </w:p>
    <w:p>
      <w:pPr>
        <w:pStyle w:val="219"/>
        <w:adjustRightInd w:val="0"/>
        <w:spacing w:before="120" w:line="360" w:lineRule="auto"/>
        <w:ind w:firstLine="384"/>
        <w:rPr>
          <w:rFonts w:asciiTheme="minorEastAsia" w:hAnsiTheme="minorEastAsia" w:eastAsiaTheme="minorEastAsia"/>
          <w:b/>
          <w:sz w:val="21"/>
          <w:szCs w:val="21"/>
          <w:highlight w:val="none"/>
        </w:rPr>
      </w:pPr>
      <w:bookmarkStart w:id="172" w:name="_Toc6248"/>
      <w:bookmarkStart w:id="173" w:name="_Toc26070"/>
      <w:bookmarkStart w:id="174" w:name="_Toc22857"/>
      <w:bookmarkStart w:id="175" w:name="_Toc6899"/>
      <w:bookmarkStart w:id="176" w:name="_Toc1958"/>
      <w:r>
        <w:rPr>
          <w:rFonts w:hint="eastAsia" w:asciiTheme="minorEastAsia" w:hAnsiTheme="minorEastAsia" w:eastAsiaTheme="minorEastAsia"/>
          <w:b/>
          <w:sz w:val="21"/>
          <w:szCs w:val="21"/>
          <w:highlight w:val="none"/>
        </w:rPr>
        <w:t>（四）投标文件的递交</w:t>
      </w:r>
      <w:bookmarkEnd w:id="172"/>
      <w:bookmarkEnd w:id="173"/>
      <w:bookmarkEnd w:id="174"/>
      <w:bookmarkEnd w:id="175"/>
      <w:bookmarkEnd w:id="176"/>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77" w:name="_Toc26276"/>
      <w:bookmarkStart w:id="178" w:name="_Toc17015"/>
      <w:bookmarkStart w:id="179" w:name="_Toc26134"/>
      <w:bookmarkStart w:id="180" w:name="_Toc10367"/>
      <w:bookmarkStart w:id="181" w:name="_Toc5765"/>
      <w:r>
        <w:rPr>
          <w:rFonts w:hint="eastAsia" w:asciiTheme="minorEastAsia" w:hAnsiTheme="minorEastAsia" w:eastAsiaTheme="minorEastAsia"/>
          <w:sz w:val="21"/>
          <w:szCs w:val="21"/>
          <w:highlight w:val="none"/>
        </w:rPr>
        <w:t>投标文件递交要求</w:t>
      </w:r>
      <w:bookmarkEnd w:id="177"/>
      <w:bookmarkEnd w:id="178"/>
      <w:bookmarkEnd w:id="179"/>
      <w:bookmarkEnd w:id="180"/>
      <w:bookmarkEnd w:id="181"/>
    </w:p>
    <w:p>
      <w:pPr>
        <w:adjustRightInd w:val="0"/>
        <w:snapToGrid w:val="0"/>
        <w:spacing w:line="360" w:lineRule="auto"/>
        <w:ind w:firstLine="382" w:firstLineChars="182"/>
        <w:rPr>
          <w:rFonts w:asciiTheme="minorEastAsia" w:hAnsiTheme="minorEastAsia" w:eastAsiaTheme="minorEastAsia"/>
          <w:b/>
          <w:szCs w:val="21"/>
          <w:highlight w:val="none"/>
        </w:rPr>
      </w:pPr>
      <w:r>
        <w:rPr>
          <w:rFonts w:asciiTheme="minorEastAsia" w:hAnsiTheme="minorEastAsia" w:eastAsiaTheme="minorEastAsia"/>
          <w:szCs w:val="21"/>
          <w:highlight w:val="none"/>
        </w:rPr>
        <w:t>24.1到规定截止时间，未在现场递交投标文件，视为放弃投标。</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82" w:name="_Toc23348"/>
      <w:bookmarkStart w:id="183" w:name="_Toc28990"/>
      <w:bookmarkStart w:id="184" w:name="_Toc7156"/>
      <w:bookmarkStart w:id="185" w:name="_Toc15498"/>
      <w:bookmarkStart w:id="186" w:name="_Toc28585"/>
      <w:r>
        <w:rPr>
          <w:rFonts w:hint="eastAsia" w:asciiTheme="minorEastAsia" w:hAnsiTheme="minorEastAsia" w:eastAsiaTheme="minorEastAsia"/>
          <w:sz w:val="21"/>
          <w:szCs w:val="21"/>
          <w:highlight w:val="none"/>
        </w:rPr>
        <w:t>投标文件的密封和标记</w:t>
      </w:r>
      <w:bookmarkEnd w:id="182"/>
      <w:bookmarkEnd w:id="183"/>
      <w:bookmarkEnd w:id="184"/>
      <w:bookmarkEnd w:id="185"/>
      <w:bookmarkEnd w:id="186"/>
    </w:p>
    <w:p>
      <w:pPr>
        <w:adjustRightInd w:val="0"/>
        <w:snapToGrid w:val="0"/>
        <w:spacing w:line="360" w:lineRule="auto"/>
        <w:rPr>
          <w:rFonts w:asciiTheme="minorEastAsia" w:hAnsiTheme="minorEastAsia" w:eastAsiaTheme="minorEastAsia"/>
          <w:b/>
          <w:bCs/>
          <w:szCs w:val="21"/>
          <w:highlight w:val="none"/>
        </w:rPr>
      </w:pPr>
      <w:r>
        <w:rPr>
          <w:rFonts w:asciiTheme="minorEastAsia" w:hAnsiTheme="minorEastAsia" w:eastAsiaTheme="minorEastAsia"/>
          <w:szCs w:val="21"/>
          <w:highlight w:val="none"/>
        </w:rPr>
        <w:t xml:space="preserve">    25.1</w:t>
      </w:r>
      <w:r>
        <w:rPr>
          <w:rFonts w:cs="Arial" w:asciiTheme="minorEastAsia" w:hAnsiTheme="minorEastAsia" w:eastAsiaTheme="minorEastAsia"/>
          <w:szCs w:val="21"/>
          <w:highlight w:val="none"/>
        </w:rPr>
        <w:t>投标文件的正本、副本上应注明“正本”“副本”字样，</w:t>
      </w:r>
      <w:r>
        <w:rPr>
          <w:rFonts w:hint="eastAsia" w:cs="Arial" w:asciiTheme="minorEastAsia" w:hAnsiTheme="minorEastAsia" w:eastAsiaTheme="minorEastAsia"/>
          <w:szCs w:val="21"/>
          <w:highlight w:val="none"/>
        </w:rPr>
        <w:t>并与相应的电子</w:t>
      </w:r>
      <w:r>
        <w:rPr>
          <w:rFonts w:hint="eastAsia" w:ascii="宋体" w:hAnsi="宋体"/>
          <w:bCs/>
          <w:szCs w:val="21"/>
          <w:highlight w:val="none"/>
        </w:rPr>
        <w:t>投标文件（U盘）</w:t>
      </w:r>
      <w:r>
        <w:rPr>
          <w:rFonts w:cs="Arial" w:asciiTheme="minorEastAsia" w:hAnsiTheme="minorEastAsia" w:eastAsiaTheme="minorEastAsia"/>
          <w:szCs w:val="21"/>
          <w:highlight w:val="none"/>
        </w:rPr>
        <w:t>一同装入一个包封中。包装上均应</w:t>
      </w:r>
      <w:r>
        <w:rPr>
          <w:rFonts w:cs="Arial" w:asciiTheme="minorEastAsia" w:hAnsiTheme="minorEastAsia" w:eastAsiaTheme="minorEastAsia"/>
          <w:b/>
          <w:bCs/>
          <w:szCs w:val="21"/>
          <w:highlight w:val="none"/>
        </w:rPr>
        <w:t>注明</w:t>
      </w:r>
      <w:r>
        <w:rPr>
          <w:rFonts w:hint="eastAsia" w:cs="Arial" w:asciiTheme="minorEastAsia" w:hAnsiTheme="minorEastAsia" w:eastAsiaTheme="minorEastAsia"/>
          <w:b/>
          <w:bCs/>
          <w:szCs w:val="21"/>
          <w:highlight w:val="none"/>
        </w:rPr>
        <w:t>项目</w:t>
      </w:r>
      <w:r>
        <w:rPr>
          <w:rFonts w:cs="Arial" w:asciiTheme="minorEastAsia" w:hAnsiTheme="minorEastAsia" w:eastAsiaTheme="minorEastAsia"/>
          <w:b/>
          <w:bCs/>
          <w:szCs w:val="21"/>
          <w:highlight w:val="none"/>
        </w:rPr>
        <w:t>名称</w:t>
      </w:r>
      <w:r>
        <w:rPr>
          <w:rFonts w:hint="eastAsia" w:cs="Arial" w:asciiTheme="minorEastAsia" w:hAnsiTheme="minorEastAsia" w:eastAsiaTheme="minorEastAsia"/>
          <w:b/>
          <w:bCs/>
          <w:szCs w:val="21"/>
          <w:highlight w:val="none"/>
        </w:rPr>
        <w:t>、</w:t>
      </w:r>
      <w:r>
        <w:rPr>
          <w:rFonts w:cs="Arial" w:asciiTheme="minorEastAsia" w:hAnsiTheme="minorEastAsia" w:eastAsiaTheme="minorEastAsia"/>
          <w:b/>
          <w:bCs/>
          <w:szCs w:val="21"/>
          <w:highlight w:val="none"/>
        </w:rPr>
        <w:t>投标人名称、地址及“投标截止时间前不准启封”字样，并经投标人法定代表人或其授权代表签字和加盖投标人公章。</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25.2封套均应按以下要求标记：</w:t>
      </w:r>
    </w:p>
    <w:p>
      <w:pPr>
        <w:adjustRightInd w:val="0"/>
        <w:spacing w:line="360" w:lineRule="auto"/>
        <w:ind w:left="420" w:firstLine="147" w:firstLineChars="7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收件人：</w:t>
      </w:r>
    </w:p>
    <w:p>
      <w:pPr>
        <w:adjustRightInd w:val="0"/>
        <w:spacing w:line="360" w:lineRule="auto"/>
        <w:ind w:left="420" w:firstLine="147" w:firstLineChars="7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项目名称：</w:t>
      </w:r>
    </w:p>
    <w:p>
      <w:pPr>
        <w:adjustRightInd w:val="0"/>
        <w:spacing w:line="360" w:lineRule="auto"/>
        <w:ind w:left="420" w:firstLine="147" w:firstLineChars="7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u w:val="single"/>
        </w:rPr>
        <w:t>“投标文件”</w:t>
      </w:r>
    </w:p>
    <w:p>
      <w:pPr>
        <w:adjustRightInd w:val="0"/>
        <w:spacing w:line="360" w:lineRule="auto"/>
        <w:ind w:left="420" w:firstLine="147" w:firstLineChars="7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在规定的开标时间（年月日 时分）之前不得启封</w:t>
      </w:r>
    </w:p>
    <w:p>
      <w:pPr>
        <w:adjustRightInd w:val="0"/>
        <w:spacing w:line="360" w:lineRule="auto"/>
        <w:ind w:left="420" w:firstLine="147" w:firstLineChars="7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投标人名称、地址：</w:t>
      </w:r>
      <w:r>
        <w:rPr>
          <w:rFonts w:asciiTheme="minorEastAsia" w:hAnsiTheme="minorEastAsia" w:eastAsiaTheme="minorEastAsia"/>
          <w:szCs w:val="21"/>
          <w:highlight w:val="none"/>
          <w:u w:val="single"/>
        </w:rPr>
        <w:t xml:space="preserve">                             （加盖公章）</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25.3封套均应写明投标人名称和地址，以便如果其投标被宣布为“迟到”投标时，能原封退回。</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25.4如果封套未按本须知的要求密封和加写标记，招标人对误投或过早启封，概不负责。</w:t>
      </w:r>
    </w:p>
    <w:p>
      <w:pPr>
        <w:adjustRightInd w:val="0"/>
        <w:snapToGrid w:val="0"/>
        <w:spacing w:line="360" w:lineRule="auto"/>
        <w:rPr>
          <w:rFonts w:asciiTheme="minorEastAsia" w:hAnsiTheme="minorEastAsia" w:eastAsiaTheme="minorEastAsia"/>
          <w:b/>
          <w:szCs w:val="21"/>
          <w:highlight w:val="none"/>
        </w:rPr>
      </w:pPr>
      <w:r>
        <w:rPr>
          <w:rFonts w:asciiTheme="minorEastAsia" w:hAnsiTheme="minorEastAsia" w:eastAsiaTheme="minorEastAsia"/>
          <w:szCs w:val="21"/>
          <w:highlight w:val="none"/>
        </w:rPr>
        <w:t xml:space="preserve">    25.5唱标信封密封方式：</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为方便开标唱标，投标人提交投标文件时应备有一个“唱标信封”，下列内容密封入此信封，然后再将此“唱标信封”与正、副本分开密封。</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唱标信封内装：</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1）投标函（从投标文件正本中复印）；</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2）投标保证金交付收据复印件；</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3）退投标保证金说明</w:t>
      </w:r>
      <w:r>
        <w:rPr>
          <w:rFonts w:hint="eastAsia" w:asciiTheme="minorEastAsia" w:hAnsiTheme="minorEastAsia" w:eastAsiaTheme="minorEastAsia"/>
          <w:szCs w:val="21"/>
          <w:highlight w:val="none"/>
        </w:rPr>
        <w:t>；</w:t>
      </w:r>
    </w:p>
    <w:p>
      <w:pPr>
        <w:adjustRightInd w:val="0"/>
        <w:snapToGrid w:val="0"/>
        <w:spacing w:line="360" w:lineRule="auto"/>
        <w:ind w:firstLine="382" w:firstLineChars="18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4）报价单（从投标文件正本中复印）。</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87" w:name="_Toc12946"/>
      <w:bookmarkStart w:id="188" w:name="_Toc4890"/>
      <w:bookmarkStart w:id="189" w:name="_Toc8311"/>
      <w:bookmarkStart w:id="190" w:name="_Toc4238"/>
      <w:bookmarkStart w:id="191" w:name="_Toc28279"/>
      <w:r>
        <w:rPr>
          <w:rFonts w:hint="eastAsia" w:asciiTheme="minorEastAsia" w:hAnsiTheme="minorEastAsia" w:eastAsiaTheme="minorEastAsia"/>
          <w:sz w:val="21"/>
          <w:szCs w:val="21"/>
          <w:highlight w:val="none"/>
        </w:rPr>
        <w:t>投标截止时间</w:t>
      </w:r>
      <w:bookmarkEnd w:id="187"/>
      <w:bookmarkEnd w:id="188"/>
      <w:bookmarkEnd w:id="189"/>
      <w:bookmarkEnd w:id="190"/>
      <w:bookmarkEnd w:id="191"/>
    </w:p>
    <w:p>
      <w:pPr>
        <w:adjustRightInd w:val="0"/>
        <w:snapToGrid w:val="0"/>
        <w:spacing w:line="360" w:lineRule="auto"/>
        <w:ind w:left="437"/>
        <w:rPr>
          <w:rFonts w:asciiTheme="minorEastAsia" w:hAnsiTheme="minorEastAsia" w:eastAsiaTheme="minorEastAsia"/>
          <w:szCs w:val="21"/>
          <w:highlight w:val="none"/>
        </w:rPr>
      </w:pPr>
      <w:r>
        <w:rPr>
          <w:rFonts w:asciiTheme="minorEastAsia" w:hAnsiTheme="minorEastAsia" w:eastAsiaTheme="minorEastAsia"/>
          <w:szCs w:val="21"/>
          <w:highlight w:val="none"/>
        </w:rPr>
        <w:t>26.1本次招标的投标截止时间按第一章“招标公告”的规定；</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26.2本次招标的投标文件收取时间按第一章“招标公告”的规定，招标人收到投标文件的时间不得迟于上款规定的截止时间。</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26.3投标人务必于投标截止时间前，派代表将投标文件的[正本]和所有[副本]按要求送达于收件人。</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26.4在推迟了投标截止时间的情况下，招标人和投标人受投标截止时间制约的所有权利和义务均应延长至新的截止时间。</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92" w:name="_Toc12426"/>
      <w:bookmarkStart w:id="193" w:name="_Toc7168"/>
      <w:bookmarkStart w:id="194" w:name="_Toc14398"/>
      <w:bookmarkStart w:id="195" w:name="_Toc24633"/>
      <w:bookmarkStart w:id="196" w:name="_Toc8254"/>
      <w:r>
        <w:rPr>
          <w:rFonts w:hint="eastAsia" w:asciiTheme="minorEastAsia" w:hAnsiTheme="minorEastAsia" w:eastAsiaTheme="minorEastAsia"/>
          <w:sz w:val="21"/>
          <w:szCs w:val="21"/>
          <w:highlight w:val="none"/>
        </w:rPr>
        <w:t>迟交的投标文件</w:t>
      </w:r>
      <w:bookmarkEnd w:id="192"/>
      <w:bookmarkEnd w:id="193"/>
      <w:bookmarkEnd w:id="194"/>
      <w:bookmarkEnd w:id="195"/>
      <w:bookmarkEnd w:id="196"/>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按照投标人须知规定，招标人将拒绝并原封退回在其规定的投标截止时刻后收到的任何投标文件。</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197" w:name="_Toc14492"/>
      <w:bookmarkStart w:id="198" w:name="_Toc14778"/>
      <w:bookmarkStart w:id="199" w:name="_Toc16166"/>
      <w:bookmarkStart w:id="200" w:name="_Toc21322"/>
      <w:bookmarkStart w:id="201" w:name="_Toc13343"/>
      <w:r>
        <w:rPr>
          <w:rFonts w:hint="eastAsia" w:asciiTheme="minorEastAsia" w:hAnsiTheme="minorEastAsia" w:eastAsiaTheme="minorEastAsia"/>
          <w:sz w:val="21"/>
          <w:szCs w:val="21"/>
          <w:highlight w:val="none"/>
        </w:rPr>
        <w:t>投标文件的修改与撤回</w:t>
      </w:r>
      <w:bookmarkEnd w:id="197"/>
      <w:bookmarkEnd w:id="198"/>
      <w:bookmarkEnd w:id="199"/>
      <w:bookmarkEnd w:id="200"/>
      <w:bookmarkEnd w:id="201"/>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28.1投标人在递交投标文件后，在投标截止时间之前，可以对所递交的投标文件进行补充、修改或撤回。</w:t>
      </w:r>
    </w:p>
    <w:p>
      <w:pPr>
        <w:tabs>
          <w:tab w:val="left" w:pos="0"/>
        </w:tabs>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28.2投标人对投标文件的补充、修改内容应按本须知的规定编制、密封、标记和递交。撤回通知书不得迟于投标截止时间。</w:t>
      </w:r>
    </w:p>
    <w:p>
      <w:pPr>
        <w:tabs>
          <w:tab w:val="left" w:pos="0"/>
        </w:tabs>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28.3在投标截止时间之后，投标人不得对其投标文件做任何补充修改。</w:t>
      </w:r>
    </w:p>
    <w:p>
      <w:pPr>
        <w:tabs>
          <w:tab w:val="left" w:pos="0"/>
        </w:tabs>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28.4从投标截止时间至投标有效期之间的这段时间内，投标人不得撤回其投标，否则其投标保证金将按规定不予退还。</w:t>
      </w:r>
    </w:p>
    <w:p>
      <w:pPr>
        <w:pStyle w:val="219"/>
        <w:adjustRightInd w:val="0"/>
        <w:spacing w:before="120" w:line="360" w:lineRule="auto"/>
        <w:ind w:firstLine="384"/>
        <w:rPr>
          <w:rFonts w:asciiTheme="minorEastAsia" w:hAnsiTheme="minorEastAsia" w:eastAsiaTheme="minorEastAsia"/>
          <w:b/>
          <w:sz w:val="21"/>
          <w:szCs w:val="21"/>
          <w:highlight w:val="none"/>
        </w:rPr>
      </w:pPr>
      <w:bookmarkStart w:id="202" w:name="_Toc11666"/>
      <w:bookmarkStart w:id="203" w:name="_Toc8422"/>
      <w:bookmarkStart w:id="204" w:name="_Toc29960"/>
      <w:bookmarkStart w:id="205" w:name="_Toc3386"/>
      <w:bookmarkStart w:id="206" w:name="_Toc30174"/>
      <w:r>
        <w:rPr>
          <w:rFonts w:hint="eastAsia" w:asciiTheme="minorEastAsia" w:hAnsiTheme="minorEastAsia" w:eastAsiaTheme="minorEastAsia"/>
          <w:b/>
          <w:sz w:val="21"/>
          <w:szCs w:val="21"/>
          <w:highlight w:val="none"/>
        </w:rPr>
        <w:t>（五）开标与评标</w:t>
      </w:r>
      <w:bookmarkEnd w:id="202"/>
      <w:bookmarkEnd w:id="203"/>
      <w:bookmarkEnd w:id="204"/>
      <w:bookmarkEnd w:id="205"/>
      <w:bookmarkEnd w:id="206"/>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207" w:name="_Toc28331"/>
      <w:bookmarkStart w:id="208" w:name="_Toc3166"/>
      <w:bookmarkStart w:id="209" w:name="_Toc21767"/>
      <w:bookmarkStart w:id="210" w:name="_Toc25810"/>
      <w:bookmarkStart w:id="211" w:name="_Toc352"/>
      <w:r>
        <w:rPr>
          <w:rFonts w:hint="eastAsia" w:asciiTheme="minorEastAsia" w:hAnsiTheme="minorEastAsia" w:eastAsiaTheme="minorEastAsia"/>
          <w:sz w:val="21"/>
          <w:szCs w:val="21"/>
          <w:highlight w:val="none"/>
        </w:rPr>
        <w:t>开标</w:t>
      </w:r>
      <w:bookmarkEnd w:id="207"/>
      <w:bookmarkEnd w:id="208"/>
      <w:bookmarkEnd w:id="209"/>
      <w:bookmarkEnd w:id="210"/>
      <w:bookmarkEnd w:id="211"/>
    </w:p>
    <w:p>
      <w:pPr>
        <w:adjustRightIn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详见第三章“开标、评标及定标办法”。</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212" w:name="_Toc16948"/>
      <w:bookmarkStart w:id="213" w:name="_Toc18574"/>
      <w:bookmarkStart w:id="214" w:name="_Toc951"/>
      <w:bookmarkStart w:id="215" w:name="_Toc24829"/>
      <w:bookmarkStart w:id="216" w:name="_Toc13690"/>
      <w:r>
        <w:rPr>
          <w:rFonts w:hint="eastAsia" w:asciiTheme="minorEastAsia" w:hAnsiTheme="minorEastAsia" w:eastAsiaTheme="minorEastAsia"/>
          <w:sz w:val="21"/>
          <w:szCs w:val="21"/>
          <w:highlight w:val="none"/>
        </w:rPr>
        <w:t>投标文件的评审、评价和比较</w:t>
      </w:r>
      <w:bookmarkEnd w:id="212"/>
      <w:bookmarkEnd w:id="213"/>
      <w:bookmarkEnd w:id="214"/>
      <w:bookmarkEnd w:id="215"/>
      <w:bookmarkEnd w:id="216"/>
    </w:p>
    <w:p>
      <w:pPr>
        <w:adjustRightIn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详见本招标文件第三章“开标、评标及定标办法”。</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217" w:name="_Toc6424"/>
      <w:bookmarkStart w:id="218" w:name="_Toc11364"/>
      <w:bookmarkStart w:id="219" w:name="_Toc31419"/>
      <w:bookmarkStart w:id="220" w:name="_Toc21576"/>
      <w:bookmarkStart w:id="221" w:name="_Toc13202"/>
      <w:r>
        <w:rPr>
          <w:rFonts w:hint="eastAsia" w:asciiTheme="minorEastAsia" w:hAnsiTheme="minorEastAsia" w:eastAsiaTheme="minorEastAsia"/>
          <w:sz w:val="21"/>
          <w:szCs w:val="21"/>
          <w:highlight w:val="none"/>
        </w:rPr>
        <w:t>评标原则和评标办法</w:t>
      </w:r>
      <w:bookmarkEnd w:id="217"/>
      <w:bookmarkEnd w:id="218"/>
      <w:bookmarkEnd w:id="219"/>
      <w:bookmarkEnd w:id="220"/>
      <w:bookmarkEnd w:id="221"/>
    </w:p>
    <w:p>
      <w:pPr>
        <w:adjustRightIn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详见本招标文件第三章“开标、评标及定标办法”。</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222" w:name="_Toc7621"/>
      <w:bookmarkStart w:id="223" w:name="_Toc24889"/>
      <w:bookmarkStart w:id="224" w:name="_Toc9121"/>
      <w:bookmarkStart w:id="225" w:name="_Toc3260"/>
      <w:bookmarkStart w:id="226" w:name="_Toc10563"/>
      <w:r>
        <w:rPr>
          <w:rFonts w:hint="eastAsia" w:asciiTheme="minorEastAsia" w:hAnsiTheme="minorEastAsia" w:eastAsiaTheme="minorEastAsia"/>
          <w:bCs/>
          <w:sz w:val="21"/>
          <w:szCs w:val="21"/>
          <w:highlight w:val="none"/>
        </w:rPr>
        <w:t>投标文件的澄清，计算错误的修正</w:t>
      </w:r>
      <w:bookmarkEnd w:id="222"/>
      <w:bookmarkEnd w:id="223"/>
      <w:bookmarkEnd w:id="224"/>
      <w:bookmarkEnd w:id="225"/>
      <w:bookmarkEnd w:id="226"/>
    </w:p>
    <w:p>
      <w:pPr>
        <w:adjustRightIn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详见本招标文件第三章“开标、评标及定标办法”。</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227" w:name="_Toc24095"/>
      <w:bookmarkStart w:id="228" w:name="_Toc25566"/>
      <w:bookmarkStart w:id="229" w:name="_Toc31662"/>
      <w:bookmarkStart w:id="230" w:name="_Toc11004"/>
      <w:bookmarkStart w:id="231" w:name="_Toc14899"/>
      <w:r>
        <w:rPr>
          <w:rFonts w:hint="eastAsia" w:asciiTheme="minorEastAsia" w:hAnsiTheme="minorEastAsia" w:eastAsiaTheme="minorEastAsia"/>
          <w:sz w:val="21"/>
          <w:szCs w:val="21"/>
          <w:highlight w:val="none"/>
        </w:rPr>
        <w:t>评标过程的保密</w:t>
      </w:r>
      <w:bookmarkEnd w:id="227"/>
      <w:bookmarkEnd w:id="228"/>
      <w:bookmarkEnd w:id="229"/>
      <w:bookmarkEnd w:id="230"/>
      <w:bookmarkEnd w:id="231"/>
    </w:p>
    <w:p>
      <w:pPr>
        <w:tabs>
          <w:tab w:val="left" w:pos="0"/>
        </w:tabs>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33.1开标后，直至中标公示为止，凡属于对投标文件的审查、澄清、评价和比较有关的资料、中标候选人的推荐情况及与评标有关的其他任何情况均严格保密。</w:t>
      </w:r>
    </w:p>
    <w:p>
      <w:pPr>
        <w:tabs>
          <w:tab w:val="left" w:pos="0"/>
        </w:tabs>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33.2在投标文件的评审和比较、中标候选人推荐以及授予合同的过程中，投标人向招标人和评标委员会施加不公正影响的任何行为，都将会导致其投标被拒绝。 </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232" w:name="_Toc4406"/>
      <w:bookmarkStart w:id="233" w:name="_Toc23718"/>
      <w:bookmarkStart w:id="234" w:name="_Toc3508"/>
      <w:bookmarkStart w:id="235" w:name="_Toc29202"/>
      <w:bookmarkStart w:id="236" w:name="_Toc26057"/>
      <w:r>
        <w:rPr>
          <w:rFonts w:hint="eastAsia" w:asciiTheme="minorEastAsia" w:hAnsiTheme="minorEastAsia" w:eastAsiaTheme="minorEastAsia"/>
          <w:sz w:val="21"/>
          <w:szCs w:val="21"/>
          <w:highlight w:val="none"/>
        </w:rPr>
        <w:t>拒绝任何或所有投标的权利</w:t>
      </w:r>
      <w:bookmarkEnd w:id="232"/>
      <w:bookmarkEnd w:id="233"/>
      <w:bookmarkEnd w:id="234"/>
      <w:bookmarkEnd w:id="235"/>
      <w:bookmarkEnd w:id="236"/>
    </w:p>
    <w:p>
      <w:pPr>
        <w:tabs>
          <w:tab w:val="left" w:pos="0"/>
        </w:tabs>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34.1评标委员会经评审，认为所有投标都不符合招标文件要求的，可以否决所有投标。</w:t>
      </w:r>
    </w:p>
    <w:p>
      <w:pPr>
        <w:tabs>
          <w:tab w:val="left" w:pos="0"/>
        </w:tabs>
        <w:adjustRightInd w:val="0"/>
        <w:snapToGrid w:val="0"/>
        <w:spacing w:line="360" w:lineRule="auto"/>
        <w:ind w:firstLine="382" w:firstLineChars="182"/>
        <w:rPr>
          <w:rFonts w:asciiTheme="minorEastAsia" w:hAnsiTheme="minorEastAsia" w:eastAsiaTheme="minorEastAsia"/>
          <w:szCs w:val="21"/>
          <w:highlight w:val="none"/>
        </w:rPr>
      </w:pPr>
      <w:r>
        <w:rPr>
          <w:rFonts w:asciiTheme="minorEastAsia" w:hAnsiTheme="minorEastAsia" w:eastAsiaTheme="minorEastAsia"/>
          <w:szCs w:val="21"/>
          <w:highlight w:val="none"/>
        </w:rPr>
        <w:t>34.2招标人通过法定或规定的程序，有权在授标之前任何时候接受或拒绝任何投标，以及宣布招标程序无效，对受影响的投标人不承担任何责任，也无义务向受影响的投标人解释采取这一行动的理由。</w:t>
      </w:r>
    </w:p>
    <w:p>
      <w:pPr>
        <w:pStyle w:val="219"/>
        <w:adjustRightInd w:val="0"/>
        <w:spacing w:before="120" w:line="360" w:lineRule="auto"/>
        <w:ind w:firstLine="384"/>
        <w:rPr>
          <w:rFonts w:asciiTheme="minorEastAsia" w:hAnsiTheme="minorEastAsia" w:eastAsiaTheme="minorEastAsia"/>
          <w:b/>
          <w:sz w:val="21"/>
          <w:szCs w:val="21"/>
          <w:highlight w:val="none"/>
        </w:rPr>
      </w:pPr>
      <w:bookmarkStart w:id="237" w:name="_Toc9706"/>
      <w:bookmarkStart w:id="238" w:name="_Toc22292"/>
      <w:bookmarkStart w:id="239" w:name="_Toc28583"/>
      <w:bookmarkStart w:id="240" w:name="_Toc6716"/>
      <w:bookmarkStart w:id="241" w:name="_Toc17470"/>
      <w:r>
        <w:rPr>
          <w:rFonts w:hint="eastAsia" w:asciiTheme="minorEastAsia" w:hAnsiTheme="minorEastAsia" w:eastAsiaTheme="minorEastAsia"/>
          <w:b/>
          <w:sz w:val="21"/>
          <w:szCs w:val="21"/>
          <w:highlight w:val="none"/>
        </w:rPr>
        <w:t>（六）授予合同</w:t>
      </w:r>
      <w:bookmarkEnd w:id="237"/>
      <w:bookmarkEnd w:id="238"/>
      <w:bookmarkEnd w:id="239"/>
      <w:bookmarkEnd w:id="240"/>
      <w:bookmarkEnd w:id="241"/>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242" w:name="_Toc10718"/>
      <w:bookmarkStart w:id="243" w:name="_Toc3108"/>
      <w:bookmarkStart w:id="244" w:name="_Toc17851"/>
      <w:bookmarkStart w:id="245" w:name="_Toc29868"/>
      <w:bookmarkStart w:id="246" w:name="_Toc29149"/>
      <w:r>
        <w:rPr>
          <w:rFonts w:hint="eastAsia" w:asciiTheme="minorEastAsia" w:hAnsiTheme="minorEastAsia" w:eastAsiaTheme="minorEastAsia"/>
          <w:sz w:val="21"/>
          <w:szCs w:val="21"/>
          <w:highlight w:val="none"/>
        </w:rPr>
        <w:t>中标人的确定</w:t>
      </w:r>
      <w:bookmarkEnd w:id="242"/>
      <w:bookmarkEnd w:id="243"/>
      <w:bookmarkEnd w:id="244"/>
      <w:bookmarkEnd w:id="245"/>
      <w:bookmarkEnd w:id="246"/>
    </w:p>
    <w:p>
      <w:pPr>
        <w:adjustRightIn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招标人将依法确定中标人，并将合同授予之。</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确定中标候选人后，招标人在投标人须知前附表规定的媒介公示</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个工作日。</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247" w:name="_Toc18798"/>
      <w:bookmarkStart w:id="248" w:name="_Toc13798"/>
      <w:bookmarkStart w:id="249" w:name="_Toc8519"/>
      <w:bookmarkStart w:id="250" w:name="_Toc29683"/>
      <w:bookmarkStart w:id="251" w:name="_Toc32289"/>
      <w:r>
        <w:rPr>
          <w:rFonts w:hint="eastAsia" w:asciiTheme="minorEastAsia" w:hAnsiTheme="minorEastAsia" w:eastAsiaTheme="minorEastAsia"/>
          <w:sz w:val="21"/>
          <w:szCs w:val="21"/>
          <w:highlight w:val="none"/>
        </w:rPr>
        <w:t>中标及中标结果通知</w:t>
      </w:r>
      <w:bookmarkEnd w:id="247"/>
      <w:bookmarkEnd w:id="248"/>
      <w:bookmarkEnd w:id="249"/>
      <w:bookmarkEnd w:id="250"/>
      <w:bookmarkEnd w:id="251"/>
    </w:p>
    <w:p>
      <w:pPr>
        <w:adjustRightIn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招标人向中标人发出《中标通知书》的同时，向所有非中标人发出《中标结果通知书》。</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252" w:name="_Toc1776"/>
      <w:bookmarkStart w:id="253" w:name="_Toc11598"/>
      <w:bookmarkStart w:id="254" w:name="_Toc4303"/>
      <w:bookmarkStart w:id="255" w:name="_Toc19468"/>
      <w:bookmarkStart w:id="256" w:name="_Toc31905"/>
      <w:r>
        <w:rPr>
          <w:rFonts w:hint="eastAsia" w:asciiTheme="minorEastAsia" w:hAnsiTheme="minorEastAsia" w:eastAsiaTheme="minorEastAsia"/>
          <w:sz w:val="21"/>
          <w:szCs w:val="21"/>
          <w:highlight w:val="none"/>
        </w:rPr>
        <w:t>中标通知书</w:t>
      </w:r>
      <w:bookmarkEnd w:id="252"/>
      <w:bookmarkEnd w:id="253"/>
      <w:bookmarkEnd w:id="254"/>
      <w:bookmarkEnd w:id="255"/>
      <w:bookmarkEnd w:id="256"/>
    </w:p>
    <w:p>
      <w:pPr>
        <w:adjustRightIn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37.1在投标有效期期满之前，招标人将根据评标结果，依法确定中标人。《中标通知书》由招标人盖章确认后发给中标人。中标人收到《中标通知书》后及时以书面形式向招标人确认。</w:t>
      </w:r>
    </w:p>
    <w:p>
      <w:pPr>
        <w:adjustRightIn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37.2《中标通知书》将是合同的一个组成部分。 </w:t>
      </w:r>
    </w:p>
    <w:p>
      <w:pPr>
        <w:pStyle w:val="4"/>
        <w:keepNext w:val="0"/>
        <w:keepLines w:val="0"/>
        <w:numPr>
          <w:ilvl w:val="0"/>
          <w:numId w:val="6"/>
        </w:numPr>
        <w:tabs>
          <w:tab w:val="left" w:pos="851"/>
        </w:tabs>
        <w:spacing w:before="0" w:after="0" w:line="360" w:lineRule="auto"/>
        <w:rPr>
          <w:rFonts w:asciiTheme="minorEastAsia" w:hAnsiTheme="minorEastAsia" w:eastAsiaTheme="minorEastAsia"/>
          <w:b w:val="0"/>
          <w:sz w:val="21"/>
          <w:szCs w:val="21"/>
          <w:highlight w:val="none"/>
        </w:rPr>
      </w:pPr>
      <w:bookmarkStart w:id="257" w:name="_Toc4624"/>
      <w:bookmarkStart w:id="258" w:name="_Toc19695"/>
      <w:bookmarkStart w:id="259" w:name="_Toc30672"/>
      <w:bookmarkStart w:id="260" w:name="_Toc28879"/>
      <w:bookmarkStart w:id="261" w:name="_Toc9815"/>
      <w:r>
        <w:rPr>
          <w:rFonts w:hint="eastAsia" w:asciiTheme="minorEastAsia" w:hAnsiTheme="minorEastAsia" w:eastAsiaTheme="minorEastAsia"/>
          <w:sz w:val="21"/>
          <w:szCs w:val="21"/>
          <w:highlight w:val="none"/>
        </w:rPr>
        <w:t>签订合同</w:t>
      </w:r>
      <w:bookmarkEnd w:id="257"/>
      <w:bookmarkEnd w:id="258"/>
      <w:bookmarkEnd w:id="259"/>
      <w:bookmarkEnd w:id="260"/>
      <w:bookmarkEnd w:id="261"/>
    </w:p>
    <w:p>
      <w:pPr>
        <w:adjustRightIn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38.1 </w:t>
      </w:r>
      <w:r>
        <w:rPr>
          <w:rFonts w:hint="eastAsia" w:asciiTheme="minorEastAsia" w:hAnsiTheme="minorEastAsia" w:eastAsiaTheme="minorEastAsia"/>
          <w:szCs w:val="21"/>
          <w:highlight w:val="none"/>
        </w:rPr>
        <w:t>招标人与中标人将于中标通知书发出之日起</w:t>
      </w:r>
      <w:r>
        <w:rPr>
          <w:rFonts w:asciiTheme="minorEastAsia" w:hAnsiTheme="minorEastAsia" w:eastAsiaTheme="minorEastAsia"/>
          <w:szCs w:val="21"/>
          <w:highlight w:val="none"/>
        </w:rPr>
        <w:t>5个工作日内，按照招标文件和中标人的投标文件商定和签订合同，招标人和中标人不得再行订立背离合同实质性内容的其他协议。</w:t>
      </w:r>
    </w:p>
    <w:p>
      <w:pPr>
        <w:adjustRightIn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38.2中标通知书发出之日起5个工作日</w:t>
      </w:r>
      <w:r>
        <w:rPr>
          <w:rFonts w:hint="eastAsia" w:asciiTheme="minorEastAsia" w:hAnsiTheme="minorEastAsia" w:eastAsiaTheme="minorEastAsia"/>
          <w:szCs w:val="21"/>
          <w:highlight w:val="none"/>
        </w:rPr>
        <w:t>后</w:t>
      </w:r>
      <w:r>
        <w:rPr>
          <w:rFonts w:asciiTheme="minorEastAsia" w:hAnsiTheme="minorEastAsia" w:eastAsiaTheme="minorEastAsia"/>
          <w:szCs w:val="21"/>
          <w:highlight w:val="none"/>
        </w:rPr>
        <w:t>，中标人未按上款的规定与招标人订立合同，招标人将解除中标通知书，原中标人的投标保证金不予退还，且原中标人依法承担相应法律责任。原中标人给招标人造成的损失超过投标保证金数额的，还应当对超过部分予以赔偿。</w:t>
      </w:r>
    </w:p>
    <w:p>
      <w:pPr>
        <w:adjustRightIn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38.3非经招标人同意，中标人在投标过程中使用的银行名称及</w:t>
      </w:r>
      <w:r>
        <w:rPr>
          <w:rFonts w:hint="eastAsia" w:asciiTheme="minorEastAsia" w:hAnsiTheme="minorEastAsia" w:eastAsiaTheme="minorEastAsia"/>
          <w:szCs w:val="21"/>
          <w:highlight w:val="none"/>
        </w:rPr>
        <w:t>账号至完成本项目结算不得变更，否则招标人有权停止款项的拨付及至解除合同，由此造成的一切责任由中标人承担。</w:t>
      </w:r>
    </w:p>
    <w:p>
      <w:pPr>
        <w:adjustRightIn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38.4在合同签订前，中标人须提供营业执照、税务登记证和在投标文件中提供的资质证明文件、业绩合同等主要证明文件（如授权其分支机构进行项目实施或提供售后服务的，亦应提供其与分支机构关系的法律证明材料）的原件给招标人进行核对。如投标文件中复印件与原件不符，招标人有权取消其中标资格。</w:t>
      </w:r>
    </w:p>
    <w:p>
      <w:pPr>
        <w:adjustRightIn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在此情况下，招标人可按本须知规定将合同授予下一个中标候选人或重新招标。</w:t>
      </w:r>
      <w:bookmarkStart w:id="262" w:name="_Toc24415"/>
    </w:p>
    <w:p>
      <w:pPr>
        <w:adjustRightIn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38.5 </w:t>
      </w:r>
      <w:r>
        <w:rPr>
          <w:rFonts w:asciiTheme="minorEastAsia" w:hAnsiTheme="minorEastAsia" w:eastAsiaTheme="minorEastAsia"/>
          <w:szCs w:val="21"/>
          <w:highlight w:val="none"/>
        </w:rPr>
        <w:t>合同服务期限为2年。自2019年12月1日起至2021年11月30日止</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服务</w:t>
      </w:r>
      <w:r>
        <w:rPr>
          <w:rFonts w:hint="eastAsia" w:asciiTheme="minorEastAsia" w:hAnsiTheme="minorEastAsia" w:eastAsiaTheme="minorEastAsia"/>
          <w:szCs w:val="21"/>
          <w:highlight w:val="none"/>
        </w:rPr>
        <w:t>期</w:t>
      </w:r>
      <w:r>
        <w:rPr>
          <w:rFonts w:asciiTheme="minorEastAsia" w:hAnsiTheme="minorEastAsia" w:eastAsiaTheme="minorEastAsia"/>
          <w:szCs w:val="21"/>
          <w:highlight w:val="none"/>
        </w:rPr>
        <w:t>内合同价为</w:t>
      </w:r>
      <w:r>
        <w:rPr>
          <w:rFonts w:hint="eastAsia" w:asciiTheme="minorEastAsia" w:hAnsiTheme="minorEastAsia" w:eastAsiaTheme="minorEastAsia"/>
          <w:szCs w:val="21"/>
          <w:highlight w:val="none"/>
        </w:rPr>
        <w:t>固定</w:t>
      </w:r>
      <w:r>
        <w:rPr>
          <w:rFonts w:asciiTheme="minorEastAsia" w:hAnsiTheme="minorEastAsia" w:eastAsiaTheme="minorEastAsia"/>
          <w:szCs w:val="21"/>
          <w:highlight w:val="none"/>
        </w:rPr>
        <w:t>不变价。在服务期限内,</w:t>
      </w:r>
      <w:r>
        <w:rPr>
          <w:rFonts w:hint="eastAsia" w:asciiTheme="minorEastAsia" w:hAnsiTheme="minorEastAsia" w:eastAsiaTheme="minorEastAsia"/>
          <w:szCs w:val="21"/>
          <w:highlight w:val="none"/>
        </w:rPr>
        <w:t>招标人</w:t>
      </w:r>
      <w:r>
        <w:rPr>
          <w:rFonts w:asciiTheme="minorEastAsia" w:hAnsiTheme="minorEastAsia" w:eastAsiaTheme="minorEastAsia"/>
          <w:szCs w:val="21"/>
          <w:highlight w:val="none"/>
        </w:rPr>
        <w:t>会不定期对</w:t>
      </w:r>
      <w:r>
        <w:rPr>
          <w:rFonts w:hint="eastAsia" w:asciiTheme="minorEastAsia" w:hAnsiTheme="minorEastAsia" w:eastAsiaTheme="minorEastAsia"/>
          <w:szCs w:val="21"/>
          <w:highlight w:val="none"/>
        </w:rPr>
        <w:t>中标人</w:t>
      </w:r>
      <w:r>
        <w:rPr>
          <w:rFonts w:asciiTheme="minorEastAsia" w:hAnsiTheme="minorEastAsia" w:eastAsiaTheme="minorEastAsia"/>
          <w:szCs w:val="21"/>
          <w:highlight w:val="none"/>
        </w:rPr>
        <w:t>根据合同条款进行综合评估考核,若考核不合格的,限期整改,如不整改或者整改仍不合格,</w:t>
      </w:r>
      <w:r>
        <w:rPr>
          <w:rFonts w:hint="eastAsia" w:asciiTheme="minorEastAsia" w:hAnsiTheme="minorEastAsia" w:eastAsiaTheme="minorEastAsia"/>
          <w:szCs w:val="21"/>
          <w:highlight w:val="none"/>
        </w:rPr>
        <w:t>招标人</w:t>
      </w:r>
      <w:r>
        <w:rPr>
          <w:rFonts w:asciiTheme="minorEastAsia" w:hAnsiTheme="minorEastAsia" w:eastAsiaTheme="minorEastAsia"/>
          <w:szCs w:val="21"/>
          <w:highlight w:val="none"/>
        </w:rPr>
        <w:t>有权以书面通知的形式单方提出终止合同,并不就提前终止合同向</w:t>
      </w:r>
      <w:r>
        <w:rPr>
          <w:rFonts w:hint="eastAsia" w:asciiTheme="minorEastAsia" w:hAnsiTheme="minorEastAsia" w:eastAsiaTheme="minorEastAsia"/>
          <w:szCs w:val="21"/>
          <w:highlight w:val="none"/>
        </w:rPr>
        <w:t>中标人</w:t>
      </w:r>
      <w:r>
        <w:rPr>
          <w:rFonts w:asciiTheme="minorEastAsia" w:hAnsiTheme="minorEastAsia" w:eastAsiaTheme="minorEastAsia"/>
          <w:szCs w:val="21"/>
          <w:highlight w:val="none"/>
        </w:rPr>
        <w:t>承担任何责任,</w:t>
      </w:r>
      <w:r>
        <w:rPr>
          <w:rFonts w:hint="eastAsia" w:asciiTheme="minorEastAsia" w:hAnsiTheme="minorEastAsia" w:eastAsiaTheme="minorEastAsia"/>
          <w:szCs w:val="21"/>
          <w:highlight w:val="none"/>
        </w:rPr>
        <w:t>中标人</w:t>
      </w:r>
      <w:r>
        <w:rPr>
          <w:rFonts w:asciiTheme="minorEastAsia" w:hAnsiTheme="minorEastAsia" w:eastAsiaTheme="minorEastAsia"/>
          <w:szCs w:val="21"/>
          <w:highlight w:val="none"/>
        </w:rPr>
        <w:t>亦同意不就此向</w:t>
      </w:r>
      <w:r>
        <w:rPr>
          <w:rFonts w:hint="eastAsia" w:asciiTheme="minorEastAsia" w:hAnsiTheme="minorEastAsia" w:eastAsiaTheme="minorEastAsia"/>
          <w:szCs w:val="21"/>
          <w:highlight w:val="none"/>
        </w:rPr>
        <w:t>招标人</w:t>
      </w:r>
      <w:r>
        <w:rPr>
          <w:rFonts w:asciiTheme="minorEastAsia" w:hAnsiTheme="minorEastAsia" w:eastAsiaTheme="minorEastAsia"/>
          <w:szCs w:val="21"/>
          <w:highlight w:val="none"/>
        </w:rPr>
        <w:t>主张任何权利,同时</w:t>
      </w:r>
      <w:r>
        <w:rPr>
          <w:rFonts w:hint="eastAsia" w:asciiTheme="minorEastAsia" w:hAnsiTheme="minorEastAsia" w:eastAsiaTheme="minorEastAsia"/>
          <w:szCs w:val="21"/>
          <w:highlight w:val="none"/>
        </w:rPr>
        <w:t>招标人</w:t>
      </w:r>
      <w:r>
        <w:rPr>
          <w:rFonts w:asciiTheme="minorEastAsia" w:hAnsiTheme="minorEastAsia" w:eastAsiaTheme="minorEastAsia"/>
          <w:szCs w:val="21"/>
          <w:highlight w:val="none"/>
        </w:rPr>
        <w:t>有权与第二或第三中标候选人签订合同(在报价有效期内)或组织重新招标。</w:t>
      </w:r>
    </w:p>
    <w:p>
      <w:pPr>
        <w:numPr>
          <w:ilvl w:val="0"/>
          <w:numId w:val="6"/>
        </w:numPr>
        <w:adjustRightInd w:val="0"/>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eastAsia="zh-CN"/>
        </w:rPr>
        <w:t>履约保证金</w:t>
      </w:r>
    </w:p>
    <w:p>
      <w:pPr>
        <w:adjustRightIn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39.1 </w:t>
      </w:r>
      <w:r>
        <w:rPr>
          <w:rFonts w:hint="eastAsia" w:asciiTheme="minorEastAsia" w:hAnsiTheme="minorEastAsia" w:eastAsiaTheme="minorEastAsia"/>
          <w:szCs w:val="21"/>
          <w:highlight w:val="none"/>
        </w:rPr>
        <w:t>在合同签订后</w:t>
      </w:r>
      <w:r>
        <w:rPr>
          <w:rFonts w:asciiTheme="minorEastAsia" w:hAnsiTheme="minorEastAsia" w:eastAsiaTheme="minorEastAsia"/>
          <w:szCs w:val="21"/>
          <w:highlight w:val="none"/>
        </w:rPr>
        <w:t>5</w:t>
      </w:r>
      <w:r>
        <w:rPr>
          <w:rFonts w:hint="eastAsia" w:asciiTheme="minorEastAsia" w:hAnsiTheme="minorEastAsia" w:eastAsiaTheme="minorEastAsia"/>
          <w:szCs w:val="21"/>
          <w:highlight w:val="none"/>
        </w:rPr>
        <w:t>个工作日内，中标人应按本须知前附表第</w:t>
      </w:r>
      <w:r>
        <w:rPr>
          <w:rFonts w:asciiTheme="minorEastAsia" w:hAnsiTheme="minorEastAsia" w:eastAsiaTheme="minorEastAsia"/>
          <w:szCs w:val="21"/>
          <w:highlight w:val="none"/>
        </w:rPr>
        <w:t>17项规定的担保形式和招标文件第五章“合同条款”规定的或者事先经过招标人书面认可的</w:t>
      </w:r>
      <w:r>
        <w:rPr>
          <w:rFonts w:hint="eastAsia" w:asciiTheme="minorEastAsia" w:hAnsiTheme="minorEastAsia" w:eastAsiaTheme="minorEastAsia"/>
          <w:szCs w:val="21"/>
          <w:highlight w:val="none"/>
          <w:lang w:eastAsia="zh-CN"/>
        </w:rPr>
        <w:t>履约保证金</w:t>
      </w:r>
      <w:r>
        <w:rPr>
          <w:rFonts w:asciiTheme="minorEastAsia" w:hAnsiTheme="minorEastAsia" w:eastAsiaTheme="minorEastAsia"/>
          <w:szCs w:val="21"/>
          <w:highlight w:val="none"/>
        </w:rPr>
        <w:t>格式向招标人提交</w:t>
      </w:r>
      <w:r>
        <w:rPr>
          <w:rFonts w:hint="eastAsia" w:asciiTheme="minorEastAsia" w:hAnsiTheme="minorEastAsia" w:eastAsiaTheme="minorEastAsia"/>
          <w:szCs w:val="21"/>
          <w:highlight w:val="none"/>
          <w:lang w:eastAsia="zh-CN"/>
        </w:rPr>
        <w:t>履约保证金</w:t>
      </w:r>
      <w:r>
        <w:rPr>
          <w:rFonts w:asciiTheme="minorEastAsia" w:hAnsiTheme="minorEastAsia" w:eastAsiaTheme="minorEastAsia"/>
          <w:szCs w:val="21"/>
          <w:highlight w:val="none"/>
        </w:rPr>
        <w:t>。</w:t>
      </w:r>
    </w:p>
    <w:p>
      <w:pPr>
        <w:adjustRightIn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39.2 </w:t>
      </w:r>
      <w:r>
        <w:rPr>
          <w:rFonts w:hint="eastAsia" w:asciiTheme="minorEastAsia" w:hAnsiTheme="minorEastAsia" w:eastAsiaTheme="minorEastAsia"/>
          <w:szCs w:val="21"/>
          <w:highlight w:val="none"/>
        </w:rPr>
        <w:t>合同签订</w:t>
      </w:r>
      <w:r>
        <w:rPr>
          <w:rFonts w:asciiTheme="minorEastAsia" w:hAnsiTheme="minorEastAsia" w:eastAsiaTheme="minorEastAsia"/>
          <w:szCs w:val="21"/>
          <w:highlight w:val="none"/>
        </w:rPr>
        <w:t>5个工作日</w:t>
      </w:r>
      <w:r>
        <w:rPr>
          <w:rFonts w:hint="eastAsia" w:asciiTheme="minorEastAsia" w:hAnsiTheme="minorEastAsia" w:eastAsiaTheme="minorEastAsia"/>
          <w:szCs w:val="21"/>
          <w:highlight w:val="none"/>
        </w:rPr>
        <w:t>后</w:t>
      </w:r>
      <w:r>
        <w:rPr>
          <w:rFonts w:asciiTheme="minorEastAsia" w:hAnsiTheme="minorEastAsia" w:eastAsiaTheme="minorEastAsia"/>
          <w:szCs w:val="21"/>
          <w:highlight w:val="none"/>
        </w:rPr>
        <w:t>，中标人未按上款的规定提交</w:t>
      </w:r>
      <w:r>
        <w:rPr>
          <w:rFonts w:hint="eastAsia" w:asciiTheme="minorEastAsia" w:hAnsiTheme="minorEastAsia" w:eastAsiaTheme="minorEastAsia"/>
          <w:szCs w:val="21"/>
          <w:highlight w:val="none"/>
          <w:lang w:eastAsia="zh-CN"/>
        </w:rPr>
        <w:t>履约保证金</w:t>
      </w:r>
      <w:r>
        <w:rPr>
          <w:rFonts w:asciiTheme="minorEastAsia" w:hAnsiTheme="minorEastAsia" w:eastAsiaTheme="minorEastAsia"/>
          <w:szCs w:val="21"/>
          <w:highlight w:val="none"/>
        </w:rPr>
        <w:t>，招标人将解除</w:t>
      </w:r>
      <w:r>
        <w:rPr>
          <w:rFonts w:hint="eastAsia" w:asciiTheme="minorEastAsia" w:hAnsiTheme="minorEastAsia" w:eastAsiaTheme="minorEastAsia"/>
          <w:szCs w:val="21"/>
          <w:highlight w:val="none"/>
        </w:rPr>
        <w:t>合同</w:t>
      </w:r>
      <w:r>
        <w:rPr>
          <w:rFonts w:asciiTheme="minorEastAsia" w:hAnsiTheme="minorEastAsia" w:eastAsiaTheme="minorEastAsia"/>
          <w:szCs w:val="21"/>
          <w:highlight w:val="none"/>
        </w:rPr>
        <w:t>，原中标人的投标</w:t>
      </w:r>
      <w:r>
        <w:rPr>
          <w:rFonts w:hint="eastAsia" w:asciiTheme="minorEastAsia" w:hAnsiTheme="minorEastAsia" w:eastAsiaTheme="minorEastAsia"/>
          <w:szCs w:val="21"/>
          <w:highlight w:val="none"/>
        </w:rPr>
        <w:t>保证金不予退还，且</w:t>
      </w:r>
      <w:r>
        <w:rPr>
          <w:rFonts w:asciiTheme="minorEastAsia" w:hAnsiTheme="minorEastAsia" w:eastAsiaTheme="minorEastAsia"/>
          <w:szCs w:val="21"/>
          <w:highlight w:val="none"/>
        </w:rPr>
        <w:t>原中标人</w:t>
      </w:r>
      <w:r>
        <w:rPr>
          <w:rFonts w:hint="eastAsia" w:asciiTheme="minorEastAsia" w:hAnsiTheme="minorEastAsia" w:eastAsiaTheme="minorEastAsia"/>
          <w:szCs w:val="21"/>
          <w:highlight w:val="none"/>
        </w:rPr>
        <w:t>依法承担相应法律责任。原中标人给招标人造成的损失超过投标保证金数额的，还应当对超过部分予以赔偿。</w:t>
      </w:r>
    </w:p>
    <w:p>
      <w:pPr>
        <w:pStyle w:val="4"/>
        <w:keepNext w:val="0"/>
        <w:keepLines w:val="0"/>
        <w:numPr>
          <w:ilvl w:val="0"/>
          <w:numId w:val="0"/>
        </w:numPr>
        <w:tabs>
          <w:tab w:val="left" w:pos="425"/>
          <w:tab w:val="left" w:pos="851"/>
        </w:tabs>
        <w:spacing w:before="0" w:after="0" w:line="360" w:lineRule="auto"/>
        <w:rPr>
          <w:rFonts w:asciiTheme="minorEastAsia" w:hAnsiTheme="minorEastAsia" w:eastAsiaTheme="minorEastAsia"/>
          <w:b w:val="0"/>
          <w:sz w:val="21"/>
          <w:szCs w:val="21"/>
          <w:highlight w:val="none"/>
        </w:rPr>
      </w:pPr>
      <w:bookmarkStart w:id="263" w:name="_Toc3167"/>
      <w:bookmarkStart w:id="264" w:name="_Toc1132"/>
      <w:bookmarkStart w:id="265" w:name="_Toc832"/>
      <w:r>
        <w:rPr>
          <w:rFonts w:hint="eastAsia" w:asciiTheme="minorEastAsia" w:hAnsiTheme="minorEastAsia" w:eastAsiaTheme="minorEastAsia"/>
          <w:sz w:val="21"/>
          <w:szCs w:val="21"/>
          <w:highlight w:val="none"/>
        </w:rPr>
        <w:t>40. 合同生效</w:t>
      </w:r>
      <w:bookmarkEnd w:id="263"/>
      <w:bookmarkEnd w:id="264"/>
      <w:bookmarkEnd w:id="265"/>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在合同双方法定代表人或授权代表在合同协议书上签字，并分别加盖双方单位的公章后，合同正式生效。</w:t>
      </w:r>
    </w:p>
    <w:p>
      <w:pPr>
        <w:adjustRightInd w:val="0"/>
        <w:snapToGrid w:val="0"/>
        <w:spacing w:line="360" w:lineRule="auto"/>
        <w:rPr>
          <w:b/>
          <w:highlight w:val="none"/>
        </w:rPr>
      </w:pPr>
      <w:r>
        <w:rPr>
          <w:rFonts w:hint="eastAsia"/>
          <w:b/>
          <w:highlight w:val="none"/>
        </w:rPr>
        <w:t>41.腐败与欺诈行为</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在招标和合同实施期间，业主要求投标人和承包人遵守最高的道德标准。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41.1对本条款的规定，特定义如下词汇：</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1）“腐败行为”是指在招标或合同执行期间，通过提供、给予、接受或索要任何有价值的东西，从而影响</w:t>
      </w:r>
      <w:r>
        <w:rPr>
          <w:rFonts w:hint="eastAsia" w:cs="宋体" w:asciiTheme="minorEastAsia" w:hAnsiTheme="minorEastAsia" w:eastAsiaTheme="minorEastAsia"/>
          <w:szCs w:val="21"/>
          <w:highlight w:val="none"/>
        </w:rPr>
        <w:t>招标人</w:t>
      </w:r>
      <w:r>
        <w:rPr>
          <w:rFonts w:hint="eastAsia" w:asciiTheme="minorEastAsia" w:hAnsiTheme="minorEastAsia" w:eastAsiaTheme="minorEastAsia"/>
          <w:szCs w:val="21"/>
          <w:highlight w:val="none"/>
        </w:rPr>
        <w:t>有关人员工作的行为；</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2）“欺诈行为”是指通过提供伪证影响招标或合同执行，从而损害</w:t>
      </w:r>
      <w:r>
        <w:rPr>
          <w:rFonts w:hint="eastAsia" w:cs="宋体" w:asciiTheme="minorEastAsia" w:hAnsiTheme="minorEastAsia" w:eastAsiaTheme="minorEastAsia"/>
          <w:szCs w:val="21"/>
          <w:highlight w:val="none"/>
        </w:rPr>
        <w:t>招标人</w:t>
      </w:r>
      <w:r>
        <w:rPr>
          <w:rFonts w:hint="eastAsia" w:asciiTheme="minorEastAsia" w:hAnsiTheme="minorEastAsia" w:eastAsiaTheme="minorEastAsia"/>
          <w:szCs w:val="21"/>
          <w:highlight w:val="none"/>
        </w:rPr>
        <w:t>利益的行为；也包括投标人之间串通（在提交投标书之前或之后），人为地使招标过程失去竞争性，从而使业主无法从公开的自由竞争中获得利益的行为。</w:t>
      </w:r>
    </w:p>
    <w:p>
      <w:pPr>
        <w:spacing w:before="120" w:after="120" w:line="360" w:lineRule="auto"/>
        <w:ind w:firstLine="420" w:firstLineChars="200"/>
        <w:jc w:val="left"/>
        <w:rPr>
          <w:sz w:val="24"/>
          <w:highlight w:val="none"/>
        </w:rPr>
      </w:pPr>
      <w:r>
        <w:rPr>
          <w:rFonts w:asciiTheme="minorEastAsia" w:hAnsiTheme="minorEastAsia" w:eastAsiaTheme="minorEastAsia"/>
          <w:szCs w:val="21"/>
          <w:highlight w:val="none"/>
        </w:rPr>
        <w:t>41.2如果投标人被认定在本招标的竞争中有腐败或欺诈行为，则会被取消投标资格。</w:t>
      </w:r>
      <w:bookmarkEnd w:id="262"/>
      <w:r>
        <w:rPr>
          <w:rFonts w:ascii="宋体" w:hAnsi="宋体"/>
          <w:sz w:val="24"/>
          <w:highlight w:val="none"/>
        </w:rPr>
        <w:br w:type="page"/>
      </w:r>
      <w:bookmarkStart w:id="266" w:name="_Toc24249"/>
      <w:bookmarkStart w:id="267" w:name="_Toc6001"/>
      <w:bookmarkStart w:id="268" w:name="_Toc2224"/>
      <w:bookmarkStart w:id="269" w:name="_Toc27137"/>
      <w:r>
        <w:rPr>
          <w:b/>
          <w:kern w:val="0"/>
          <w:sz w:val="24"/>
          <w:highlight w:val="none"/>
        </w:rPr>
        <w:t>附件一：开标记录表</w:t>
      </w:r>
      <w:bookmarkEnd w:id="266"/>
      <w:bookmarkEnd w:id="267"/>
      <w:bookmarkEnd w:id="268"/>
      <w:bookmarkEnd w:id="269"/>
    </w:p>
    <w:p>
      <w:pPr>
        <w:spacing w:line="400" w:lineRule="exact"/>
        <w:rPr>
          <w:highlight w:val="none"/>
        </w:rPr>
      </w:pPr>
    </w:p>
    <w:p>
      <w:pPr>
        <w:spacing w:line="400" w:lineRule="exact"/>
        <w:jc w:val="center"/>
        <w:rPr>
          <w:rFonts w:hint="eastAsia" w:ascii="黑体" w:eastAsia="黑体"/>
          <w:sz w:val="28"/>
          <w:szCs w:val="28"/>
          <w:highlight w:val="none"/>
        </w:rPr>
      </w:pPr>
      <w:r>
        <w:rPr>
          <w:rFonts w:hint="eastAsia" w:ascii="黑体" w:eastAsia="黑体"/>
          <w:sz w:val="28"/>
          <w:szCs w:val="28"/>
          <w:highlight w:val="none"/>
        </w:rPr>
        <w:t>佛山市恒益环保建材有限公司加气砌块生产辅助业务外委采购项目</w:t>
      </w:r>
    </w:p>
    <w:p>
      <w:pPr>
        <w:spacing w:line="400" w:lineRule="exact"/>
        <w:jc w:val="center"/>
        <w:rPr>
          <w:rFonts w:ascii="黑体" w:eastAsia="黑体"/>
          <w:sz w:val="28"/>
          <w:szCs w:val="28"/>
          <w:highlight w:val="none"/>
        </w:rPr>
      </w:pPr>
      <w:r>
        <w:rPr>
          <w:rFonts w:hint="eastAsia" w:ascii="黑体" w:eastAsia="黑体"/>
          <w:sz w:val="28"/>
          <w:szCs w:val="28"/>
          <w:highlight w:val="none"/>
        </w:rPr>
        <w:t>开标记录表</w:t>
      </w:r>
    </w:p>
    <w:p>
      <w:pPr>
        <w:spacing w:line="400" w:lineRule="exact"/>
        <w:rPr>
          <w:highlight w:val="none"/>
        </w:rPr>
      </w:pPr>
    </w:p>
    <w:tbl>
      <w:tblPr>
        <w:tblStyle w:val="42"/>
        <w:tblW w:w="8330" w:type="dxa"/>
        <w:tblInd w:w="0" w:type="dxa"/>
        <w:tblLayout w:type="fixed"/>
        <w:tblCellMar>
          <w:top w:w="0" w:type="dxa"/>
          <w:left w:w="108" w:type="dxa"/>
          <w:bottom w:w="0" w:type="dxa"/>
          <w:right w:w="108" w:type="dxa"/>
        </w:tblCellMar>
      </w:tblPr>
      <w:tblGrid>
        <w:gridCol w:w="534"/>
        <w:gridCol w:w="708"/>
        <w:gridCol w:w="647"/>
        <w:gridCol w:w="823"/>
        <w:gridCol w:w="823"/>
        <w:gridCol w:w="823"/>
        <w:gridCol w:w="823"/>
        <w:gridCol w:w="865"/>
        <w:gridCol w:w="866"/>
        <w:gridCol w:w="567"/>
        <w:gridCol w:w="851"/>
      </w:tblGrid>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sz w:val="18"/>
                <w:szCs w:val="18"/>
                <w:highlight w:val="none"/>
              </w:rPr>
              <w:t>序号</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sz w:val="18"/>
                <w:szCs w:val="18"/>
                <w:highlight w:val="none"/>
              </w:rPr>
              <w:t>投标人</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sz w:val="18"/>
                <w:szCs w:val="18"/>
                <w:highlight w:val="none"/>
              </w:rPr>
              <w:t>密封</w:t>
            </w:r>
          </w:p>
          <w:p>
            <w:pPr>
              <w:jc w:val="center"/>
              <w:rPr>
                <w:sz w:val="18"/>
                <w:szCs w:val="18"/>
                <w:highlight w:val="none"/>
              </w:rPr>
            </w:pPr>
            <w:r>
              <w:rPr>
                <w:sz w:val="18"/>
                <w:szCs w:val="18"/>
                <w:highlight w:val="none"/>
              </w:rPr>
              <w:t>情况</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eastAsia"/>
                <w:sz w:val="18"/>
                <w:szCs w:val="18"/>
                <w:highlight w:val="none"/>
              </w:rPr>
              <w:t>文件数量（一正四副两电子版）</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sz w:val="18"/>
                <w:szCs w:val="18"/>
                <w:highlight w:val="none"/>
              </w:rPr>
              <w:t>投标保证金</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eastAsia" w:ascii="宋体" w:hAnsi="宋体" w:cs="Arial"/>
                <w:sz w:val="18"/>
                <w:szCs w:val="18"/>
                <w:highlight w:val="none"/>
              </w:rPr>
              <w:t>法定代表人资格证明书</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eastAsia" w:ascii="宋体" w:hAnsi="宋体" w:cs="Arial"/>
                <w:sz w:val="18"/>
                <w:szCs w:val="18"/>
                <w:highlight w:val="none"/>
              </w:rPr>
              <w:t>法定代表人授权委托书</w:t>
            </w:r>
          </w:p>
        </w:tc>
        <w:tc>
          <w:tcPr>
            <w:tcW w:w="865"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eastAsia"/>
                <w:sz w:val="18"/>
                <w:szCs w:val="18"/>
                <w:highlight w:val="none"/>
              </w:rPr>
              <w:t>投标报价：万元（含税）</w:t>
            </w: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eastAsia"/>
                <w:sz w:val="18"/>
                <w:szCs w:val="18"/>
                <w:highlight w:val="none"/>
              </w:rPr>
              <w:t>投标报价：万元（不含税）</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eastAsia"/>
                <w:sz w:val="18"/>
                <w:szCs w:val="18"/>
                <w:highlight w:val="none"/>
              </w:rPr>
              <w:t>税率</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sz w:val="18"/>
                <w:szCs w:val="18"/>
                <w:highlight w:val="none"/>
              </w:rPr>
              <w:t>签名</w:t>
            </w: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708"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64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23"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p>
        </w:tc>
      </w:tr>
      <w:tr>
        <w:tblPrEx>
          <w:tblLayout w:type="fixed"/>
          <w:tblCellMar>
            <w:top w:w="0" w:type="dxa"/>
            <w:left w:w="108" w:type="dxa"/>
            <w:bottom w:w="0" w:type="dxa"/>
            <w:right w:w="108" w:type="dxa"/>
          </w:tblCellMar>
        </w:tblPrEx>
        <w:tc>
          <w:tcPr>
            <w:tcW w:w="8330" w:type="dxa"/>
            <w:gridSpan w:val="11"/>
            <w:tcBorders>
              <w:top w:val="single" w:color="auto" w:sz="4" w:space="0"/>
              <w:left w:val="single" w:color="auto" w:sz="4" w:space="0"/>
              <w:bottom w:val="single" w:color="auto" w:sz="4" w:space="0"/>
              <w:right w:val="single" w:color="auto" w:sz="4" w:space="0"/>
            </w:tcBorders>
          </w:tcPr>
          <w:p>
            <w:pPr>
              <w:spacing w:line="500" w:lineRule="exact"/>
              <w:rPr>
                <w:szCs w:val="21"/>
                <w:highlight w:val="none"/>
              </w:rPr>
            </w:pPr>
            <w:r>
              <w:rPr>
                <w:szCs w:val="21"/>
                <w:highlight w:val="none"/>
              </w:rPr>
              <w:t>招标人编制的</w:t>
            </w:r>
            <w:r>
              <w:rPr>
                <w:rFonts w:hint="eastAsia"/>
                <w:szCs w:val="21"/>
                <w:highlight w:val="none"/>
              </w:rPr>
              <w:t>限价：</w:t>
            </w:r>
          </w:p>
        </w:tc>
      </w:tr>
    </w:tbl>
    <w:p>
      <w:pPr>
        <w:spacing w:line="440" w:lineRule="exact"/>
        <w:rPr>
          <w:szCs w:val="21"/>
          <w:highlight w:val="none"/>
        </w:rPr>
      </w:pPr>
      <w:r>
        <w:rPr>
          <w:rFonts w:hint="eastAsia"/>
          <w:highlight w:val="none"/>
        </w:rPr>
        <w:t>　　</w:t>
      </w:r>
      <w:r>
        <w:rPr>
          <w:rFonts w:hint="eastAsia"/>
          <w:szCs w:val="21"/>
          <w:highlight w:val="none"/>
        </w:rPr>
        <w:t>　</w:t>
      </w:r>
    </w:p>
    <w:p>
      <w:pPr>
        <w:spacing w:line="620" w:lineRule="exact"/>
        <w:rPr>
          <w:szCs w:val="21"/>
          <w:highlight w:val="none"/>
        </w:rPr>
      </w:pPr>
      <w:r>
        <w:rPr>
          <w:szCs w:val="21"/>
          <w:highlight w:val="none"/>
        </w:rPr>
        <w:t>招标人代表：</w:t>
      </w:r>
      <w:r>
        <w:rPr>
          <w:rFonts w:hint="eastAsia"/>
          <w:szCs w:val="21"/>
          <w:highlight w:val="none"/>
        </w:rPr>
        <w:t xml:space="preserve">             </w:t>
      </w:r>
      <w:r>
        <w:rPr>
          <w:szCs w:val="21"/>
          <w:highlight w:val="none"/>
        </w:rPr>
        <w:t xml:space="preserve"> 记录人： </w:t>
      </w:r>
      <w:r>
        <w:rPr>
          <w:rFonts w:hint="eastAsia"/>
          <w:szCs w:val="21"/>
          <w:highlight w:val="none"/>
        </w:rPr>
        <w:t xml:space="preserve">                </w:t>
      </w:r>
      <w:r>
        <w:rPr>
          <w:szCs w:val="21"/>
          <w:highlight w:val="none"/>
        </w:rPr>
        <w:t>监标人：</w:t>
      </w:r>
    </w:p>
    <w:p>
      <w:pPr>
        <w:spacing w:line="620" w:lineRule="exact"/>
        <w:rPr>
          <w:sz w:val="20"/>
          <w:highlight w:val="none"/>
        </w:rPr>
      </w:pPr>
      <w:r>
        <w:rPr>
          <w:szCs w:val="21"/>
          <w:highlight w:val="none"/>
        </w:rPr>
        <w:t>年月日</w:t>
      </w:r>
    </w:p>
    <w:p>
      <w:pPr>
        <w:spacing w:line="620" w:lineRule="exact"/>
        <w:rPr>
          <w:szCs w:val="21"/>
          <w:highlight w:val="none"/>
        </w:rPr>
      </w:pPr>
    </w:p>
    <w:p>
      <w:pPr>
        <w:spacing w:line="620" w:lineRule="exact"/>
        <w:rPr>
          <w:szCs w:val="21"/>
          <w:highlight w:val="none"/>
        </w:rPr>
      </w:pPr>
    </w:p>
    <w:p>
      <w:pPr>
        <w:pStyle w:val="4"/>
        <w:numPr>
          <w:ilvl w:val="0"/>
          <w:numId w:val="0"/>
        </w:numPr>
        <w:spacing w:before="120" w:after="120"/>
        <w:jc w:val="left"/>
        <w:rPr>
          <w:b w:val="0"/>
          <w:sz w:val="24"/>
          <w:szCs w:val="24"/>
          <w:highlight w:val="none"/>
        </w:rPr>
      </w:pPr>
      <w:bookmarkStart w:id="270" w:name="_Toc21192"/>
      <w:bookmarkStart w:id="271" w:name="_Toc23893"/>
      <w:bookmarkStart w:id="272" w:name="_Toc26844"/>
      <w:bookmarkStart w:id="273" w:name="_Toc7047"/>
      <w:bookmarkStart w:id="274" w:name="_Toc12042"/>
      <w:bookmarkStart w:id="275" w:name="_Toc24336"/>
      <w:bookmarkStart w:id="276" w:name="_Toc2438"/>
      <w:r>
        <w:rPr>
          <w:sz w:val="24"/>
          <w:szCs w:val="24"/>
          <w:highlight w:val="none"/>
        </w:rPr>
        <w:t>附</w:t>
      </w:r>
      <w:r>
        <w:rPr>
          <w:rFonts w:hint="eastAsia"/>
          <w:sz w:val="24"/>
          <w:szCs w:val="24"/>
          <w:highlight w:val="none"/>
        </w:rPr>
        <w:t>件</w:t>
      </w:r>
      <w:r>
        <w:rPr>
          <w:sz w:val="24"/>
          <w:szCs w:val="24"/>
          <w:highlight w:val="none"/>
        </w:rPr>
        <w:t>二：问题澄清通知</w:t>
      </w:r>
      <w:bookmarkEnd w:id="270"/>
      <w:bookmarkEnd w:id="271"/>
      <w:bookmarkEnd w:id="272"/>
      <w:bookmarkEnd w:id="273"/>
      <w:bookmarkEnd w:id="274"/>
      <w:bookmarkEnd w:id="275"/>
      <w:bookmarkEnd w:id="276"/>
    </w:p>
    <w:p>
      <w:pPr>
        <w:spacing w:line="440" w:lineRule="exact"/>
        <w:jc w:val="center"/>
        <w:rPr>
          <w:szCs w:val="21"/>
          <w:highlight w:val="none"/>
        </w:rPr>
      </w:pPr>
    </w:p>
    <w:p>
      <w:pPr>
        <w:spacing w:line="440" w:lineRule="exact"/>
        <w:jc w:val="center"/>
        <w:rPr>
          <w:rFonts w:eastAsia="黑体"/>
          <w:sz w:val="28"/>
          <w:szCs w:val="28"/>
          <w:highlight w:val="none"/>
        </w:rPr>
      </w:pPr>
      <w:r>
        <w:rPr>
          <w:rFonts w:eastAsia="黑体"/>
          <w:sz w:val="28"/>
          <w:szCs w:val="28"/>
          <w:highlight w:val="none"/>
        </w:rPr>
        <w:t>问题澄清通知</w:t>
      </w:r>
    </w:p>
    <w:p>
      <w:pPr>
        <w:spacing w:line="440" w:lineRule="exact"/>
        <w:rPr>
          <w:szCs w:val="21"/>
          <w:highlight w:val="none"/>
        </w:rPr>
      </w:pPr>
      <w:r>
        <w:rPr>
          <w:szCs w:val="21"/>
          <w:highlight w:val="none"/>
        </w:rPr>
        <w:t xml:space="preserve">                               编号：</w:t>
      </w:r>
    </w:p>
    <w:p>
      <w:pPr>
        <w:spacing w:line="440" w:lineRule="exact"/>
        <w:rPr>
          <w:szCs w:val="21"/>
          <w:highlight w:val="none"/>
        </w:rPr>
      </w:pPr>
    </w:p>
    <w:p>
      <w:pPr>
        <w:spacing w:line="440" w:lineRule="exact"/>
        <w:rPr>
          <w:szCs w:val="21"/>
          <w:highlight w:val="none"/>
        </w:rPr>
      </w:pPr>
      <w:r>
        <w:rPr>
          <w:szCs w:val="21"/>
          <w:highlight w:val="none"/>
        </w:rPr>
        <w:t>（投标人名称）：</w:t>
      </w:r>
    </w:p>
    <w:p>
      <w:pPr>
        <w:spacing w:line="440" w:lineRule="exact"/>
        <w:rPr>
          <w:szCs w:val="21"/>
          <w:highlight w:val="none"/>
        </w:rPr>
      </w:pPr>
    </w:p>
    <w:p>
      <w:pPr>
        <w:spacing w:line="440" w:lineRule="exact"/>
        <w:rPr>
          <w:szCs w:val="21"/>
          <w:highlight w:val="none"/>
        </w:rPr>
      </w:pPr>
      <w:r>
        <w:rPr>
          <w:szCs w:val="21"/>
          <w:highlight w:val="none"/>
        </w:rPr>
        <w:t xml:space="preserve">　　  </w:t>
      </w:r>
      <w:r>
        <w:rPr>
          <w:szCs w:val="21"/>
          <w:highlight w:val="none"/>
          <w:u w:val="single"/>
        </w:rPr>
        <w:t xml:space="preserve">　             </w:t>
      </w:r>
      <w:r>
        <w:rPr>
          <w:szCs w:val="21"/>
          <w:highlight w:val="none"/>
        </w:rPr>
        <w:t>（项目名称）招标的评标委员会，对你方的投标文件进行了仔细的审查，现需你方对下列问题以书面形式予以澄清：</w:t>
      </w:r>
    </w:p>
    <w:p>
      <w:pPr>
        <w:spacing w:line="440" w:lineRule="exact"/>
        <w:rPr>
          <w:szCs w:val="21"/>
          <w:highlight w:val="none"/>
        </w:rPr>
      </w:pPr>
      <w:r>
        <w:rPr>
          <w:szCs w:val="21"/>
          <w:highlight w:val="none"/>
        </w:rPr>
        <w:t>　　</w:t>
      </w:r>
    </w:p>
    <w:p>
      <w:pPr>
        <w:spacing w:line="440" w:lineRule="exact"/>
        <w:rPr>
          <w:szCs w:val="21"/>
          <w:highlight w:val="none"/>
        </w:rPr>
      </w:pPr>
      <w:r>
        <w:rPr>
          <w:szCs w:val="21"/>
          <w:highlight w:val="none"/>
        </w:rPr>
        <w:t xml:space="preserve">    1.</w:t>
      </w:r>
    </w:p>
    <w:p>
      <w:pPr>
        <w:spacing w:line="440" w:lineRule="exact"/>
        <w:rPr>
          <w:szCs w:val="21"/>
          <w:highlight w:val="none"/>
        </w:rPr>
      </w:pPr>
      <w:r>
        <w:rPr>
          <w:szCs w:val="21"/>
          <w:highlight w:val="none"/>
        </w:rPr>
        <w:t xml:space="preserve">    2.</w:t>
      </w:r>
    </w:p>
    <w:p>
      <w:pPr>
        <w:spacing w:line="440" w:lineRule="exact"/>
        <w:rPr>
          <w:szCs w:val="21"/>
          <w:highlight w:val="none"/>
        </w:rPr>
      </w:pPr>
      <w:r>
        <w:rPr>
          <w:szCs w:val="21"/>
          <w:highlight w:val="none"/>
        </w:rPr>
        <w:t xml:space="preserve">     ......   </w:t>
      </w:r>
    </w:p>
    <w:p>
      <w:pPr>
        <w:spacing w:line="440" w:lineRule="exact"/>
        <w:rPr>
          <w:szCs w:val="21"/>
          <w:highlight w:val="none"/>
        </w:rPr>
      </w:pPr>
      <w:r>
        <w:rPr>
          <w:szCs w:val="21"/>
          <w:highlight w:val="none"/>
        </w:rPr>
        <w:t>　　　</w:t>
      </w:r>
    </w:p>
    <w:p>
      <w:pPr>
        <w:spacing w:line="440" w:lineRule="exact"/>
        <w:rPr>
          <w:szCs w:val="21"/>
          <w:highlight w:val="none"/>
        </w:rPr>
      </w:pPr>
      <w:r>
        <w:rPr>
          <w:szCs w:val="21"/>
          <w:highlight w:val="none"/>
        </w:rPr>
        <w:t>　　请将上述问题的澄清于年月日时前递交至（详细地址）</w:t>
      </w:r>
      <w:r>
        <w:rPr>
          <w:rFonts w:hint="eastAsia"/>
          <w:szCs w:val="21"/>
          <w:highlight w:val="none"/>
        </w:rPr>
        <w:t>或</w:t>
      </w:r>
      <w:r>
        <w:rPr>
          <w:rFonts w:hint="eastAsia" w:ascii="宋体" w:hAnsi="宋体"/>
          <w:szCs w:val="21"/>
          <w:highlight w:val="none"/>
        </w:rPr>
        <w:t>传真至（传真号码）。采用传真方式的，应在</w:t>
      </w:r>
      <w:r>
        <w:rPr>
          <w:rFonts w:ascii="宋体" w:hAnsi="宋体"/>
          <w:szCs w:val="21"/>
          <w:highlight w:val="none"/>
        </w:rPr>
        <w:t>年月日</w:t>
      </w:r>
      <w:r>
        <w:rPr>
          <w:rFonts w:hint="eastAsia" w:ascii="宋体" w:hAnsi="宋体"/>
          <w:szCs w:val="21"/>
          <w:highlight w:val="none"/>
        </w:rPr>
        <w:t>时前将原件递交至</w:t>
      </w:r>
      <w:r>
        <w:rPr>
          <w:szCs w:val="21"/>
          <w:highlight w:val="none"/>
        </w:rPr>
        <w:t>（详细地址）。</w:t>
      </w:r>
    </w:p>
    <w:p>
      <w:pPr>
        <w:spacing w:line="440" w:lineRule="exact"/>
        <w:rPr>
          <w:szCs w:val="21"/>
          <w:highlight w:val="none"/>
        </w:rPr>
      </w:pPr>
    </w:p>
    <w:p>
      <w:pPr>
        <w:spacing w:line="440" w:lineRule="exact"/>
        <w:rPr>
          <w:szCs w:val="21"/>
          <w:highlight w:val="none"/>
        </w:rPr>
      </w:pPr>
    </w:p>
    <w:p>
      <w:pPr>
        <w:spacing w:line="440" w:lineRule="exact"/>
        <w:rPr>
          <w:szCs w:val="21"/>
          <w:highlight w:val="none"/>
        </w:rPr>
      </w:pPr>
      <w:r>
        <w:rPr>
          <w:szCs w:val="21"/>
          <w:highlight w:val="none"/>
        </w:rPr>
        <w:t xml:space="preserve">                         评标</w:t>
      </w:r>
      <w:r>
        <w:rPr>
          <w:rFonts w:hint="eastAsia"/>
          <w:szCs w:val="21"/>
          <w:highlight w:val="none"/>
        </w:rPr>
        <w:t>委员会授权的招标人或招标代理机构</w:t>
      </w:r>
      <w:r>
        <w:rPr>
          <w:szCs w:val="21"/>
          <w:highlight w:val="none"/>
        </w:rPr>
        <w:t>：（签字</w:t>
      </w:r>
      <w:r>
        <w:rPr>
          <w:rFonts w:hint="eastAsia"/>
          <w:szCs w:val="21"/>
          <w:highlight w:val="none"/>
        </w:rPr>
        <w:t>或盖章</w:t>
      </w:r>
      <w:r>
        <w:rPr>
          <w:szCs w:val="21"/>
          <w:highlight w:val="none"/>
        </w:rPr>
        <w:t>）</w:t>
      </w:r>
    </w:p>
    <w:p>
      <w:pPr>
        <w:spacing w:line="440" w:lineRule="exact"/>
        <w:rPr>
          <w:szCs w:val="21"/>
          <w:highlight w:val="none"/>
        </w:rPr>
      </w:pPr>
    </w:p>
    <w:p>
      <w:pPr>
        <w:spacing w:line="440" w:lineRule="exact"/>
        <w:rPr>
          <w:szCs w:val="21"/>
          <w:highlight w:val="none"/>
        </w:rPr>
      </w:pPr>
      <w:r>
        <w:rPr>
          <w:szCs w:val="21"/>
          <w:highlight w:val="none"/>
        </w:rPr>
        <w:t>年月日</w:t>
      </w:r>
    </w:p>
    <w:p>
      <w:pPr>
        <w:spacing w:line="400" w:lineRule="exact"/>
        <w:rPr>
          <w:highlight w:val="none"/>
        </w:rPr>
      </w:pPr>
    </w:p>
    <w:p>
      <w:pPr>
        <w:spacing w:line="400" w:lineRule="exact"/>
        <w:rPr>
          <w:highlight w:val="none"/>
        </w:rPr>
      </w:pPr>
      <w:r>
        <w:rPr>
          <w:highlight w:val="none"/>
        </w:rPr>
        <w:br w:type="page"/>
      </w:r>
    </w:p>
    <w:p>
      <w:pPr>
        <w:pStyle w:val="4"/>
        <w:numPr>
          <w:ilvl w:val="0"/>
          <w:numId w:val="0"/>
        </w:numPr>
        <w:spacing w:before="120" w:after="120"/>
        <w:jc w:val="left"/>
        <w:rPr>
          <w:b w:val="0"/>
          <w:sz w:val="24"/>
          <w:szCs w:val="24"/>
          <w:highlight w:val="none"/>
        </w:rPr>
      </w:pPr>
      <w:bookmarkStart w:id="277" w:name="_Toc16655"/>
      <w:bookmarkStart w:id="278" w:name="_Toc1181"/>
      <w:bookmarkStart w:id="279" w:name="_Toc3566"/>
      <w:bookmarkStart w:id="280" w:name="_Toc28445"/>
      <w:bookmarkStart w:id="281" w:name="_Toc29856"/>
      <w:bookmarkStart w:id="282" w:name="_Toc1182"/>
      <w:bookmarkStart w:id="283" w:name="_Toc3819"/>
      <w:r>
        <w:rPr>
          <w:rFonts w:hint="eastAsia"/>
          <w:sz w:val="24"/>
          <w:szCs w:val="24"/>
          <w:highlight w:val="none"/>
        </w:rPr>
        <w:t>附件三：问题的澄清</w:t>
      </w:r>
      <w:bookmarkEnd w:id="277"/>
      <w:bookmarkEnd w:id="278"/>
      <w:bookmarkEnd w:id="279"/>
      <w:bookmarkEnd w:id="280"/>
      <w:bookmarkEnd w:id="281"/>
      <w:bookmarkEnd w:id="282"/>
      <w:bookmarkEnd w:id="283"/>
    </w:p>
    <w:p>
      <w:pPr>
        <w:spacing w:line="400" w:lineRule="exact"/>
        <w:jc w:val="center"/>
        <w:rPr>
          <w:rFonts w:ascii="黑体" w:eastAsia="黑体"/>
          <w:sz w:val="28"/>
          <w:szCs w:val="28"/>
          <w:highlight w:val="none"/>
        </w:rPr>
      </w:pPr>
    </w:p>
    <w:p>
      <w:pPr>
        <w:spacing w:line="400" w:lineRule="exact"/>
        <w:jc w:val="center"/>
        <w:rPr>
          <w:rFonts w:ascii="黑体" w:eastAsia="黑体"/>
          <w:sz w:val="28"/>
          <w:szCs w:val="28"/>
          <w:highlight w:val="none"/>
        </w:rPr>
      </w:pPr>
      <w:r>
        <w:rPr>
          <w:rFonts w:hint="eastAsia" w:ascii="黑体" w:eastAsia="黑体"/>
          <w:sz w:val="28"/>
          <w:szCs w:val="28"/>
          <w:highlight w:val="none"/>
        </w:rPr>
        <w:t>问题的澄清</w:t>
      </w:r>
    </w:p>
    <w:p>
      <w:pPr>
        <w:spacing w:line="400" w:lineRule="exact"/>
        <w:ind w:firstLine="3465" w:firstLineChars="1650"/>
        <w:rPr>
          <w:highlight w:val="none"/>
        </w:rPr>
      </w:pPr>
      <w:r>
        <w:rPr>
          <w:rFonts w:hint="eastAsia"/>
          <w:highlight w:val="none"/>
        </w:rPr>
        <w:t xml:space="preserve">编号： </w:t>
      </w:r>
    </w:p>
    <w:p>
      <w:pPr>
        <w:spacing w:line="400" w:lineRule="exact"/>
        <w:rPr>
          <w:szCs w:val="21"/>
          <w:highlight w:val="none"/>
        </w:rPr>
      </w:pPr>
    </w:p>
    <w:p>
      <w:pPr>
        <w:spacing w:line="440" w:lineRule="exact"/>
        <w:rPr>
          <w:szCs w:val="21"/>
          <w:highlight w:val="none"/>
        </w:rPr>
      </w:pPr>
      <w:r>
        <w:rPr>
          <w:rFonts w:hint="eastAsia"/>
          <w:color w:val="000000"/>
          <w:highlight w:val="none"/>
        </w:rPr>
        <w:t>佛山市恒益环保建材有限公司加气砌块生产辅助业务外委采购项目</w:t>
      </w:r>
      <w:r>
        <w:rPr>
          <w:szCs w:val="21"/>
          <w:highlight w:val="none"/>
        </w:rPr>
        <w:t>招标评标委员会：</w:t>
      </w:r>
    </w:p>
    <w:p>
      <w:pPr>
        <w:spacing w:line="440" w:lineRule="exact"/>
        <w:rPr>
          <w:szCs w:val="21"/>
          <w:highlight w:val="none"/>
        </w:rPr>
      </w:pPr>
    </w:p>
    <w:p>
      <w:pPr>
        <w:spacing w:line="440" w:lineRule="exact"/>
        <w:rPr>
          <w:szCs w:val="21"/>
          <w:highlight w:val="none"/>
        </w:rPr>
      </w:pPr>
      <w:r>
        <w:rPr>
          <w:szCs w:val="21"/>
          <w:highlight w:val="none"/>
        </w:rPr>
        <w:t>　　问题澄清通知（编号：）已收悉，现澄清如下：</w:t>
      </w:r>
    </w:p>
    <w:p>
      <w:pPr>
        <w:spacing w:line="440" w:lineRule="exact"/>
        <w:rPr>
          <w:szCs w:val="21"/>
          <w:highlight w:val="none"/>
        </w:rPr>
      </w:pPr>
      <w:r>
        <w:rPr>
          <w:szCs w:val="21"/>
          <w:highlight w:val="none"/>
        </w:rPr>
        <w:t>　     1.</w:t>
      </w:r>
    </w:p>
    <w:p>
      <w:pPr>
        <w:spacing w:line="440" w:lineRule="exact"/>
        <w:rPr>
          <w:szCs w:val="21"/>
          <w:highlight w:val="none"/>
        </w:rPr>
      </w:pPr>
      <w:r>
        <w:rPr>
          <w:szCs w:val="21"/>
          <w:highlight w:val="none"/>
        </w:rPr>
        <w:t>　     2.</w:t>
      </w:r>
    </w:p>
    <w:p>
      <w:pPr>
        <w:spacing w:line="440" w:lineRule="exact"/>
        <w:rPr>
          <w:szCs w:val="21"/>
          <w:highlight w:val="none"/>
        </w:rPr>
      </w:pPr>
      <w:r>
        <w:rPr>
          <w:szCs w:val="21"/>
          <w:highlight w:val="none"/>
        </w:rPr>
        <w:t>　    .....</w:t>
      </w:r>
    </w:p>
    <w:p>
      <w:pPr>
        <w:spacing w:line="440" w:lineRule="exact"/>
        <w:rPr>
          <w:szCs w:val="21"/>
          <w:highlight w:val="none"/>
        </w:rPr>
      </w:pPr>
    </w:p>
    <w:p>
      <w:pPr>
        <w:spacing w:line="440" w:lineRule="exact"/>
        <w:rPr>
          <w:szCs w:val="21"/>
          <w:highlight w:val="none"/>
        </w:rPr>
      </w:pPr>
      <w:r>
        <w:rPr>
          <w:szCs w:val="21"/>
          <w:highlight w:val="none"/>
        </w:rPr>
        <w:t xml:space="preserve">　 </w:t>
      </w:r>
    </w:p>
    <w:p>
      <w:pPr>
        <w:spacing w:line="440" w:lineRule="exact"/>
        <w:rPr>
          <w:szCs w:val="21"/>
          <w:highlight w:val="none"/>
        </w:rPr>
      </w:pPr>
    </w:p>
    <w:p>
      <w:pPr>
        <w:spacing w:line="440" w:lineRule="exact"/>
        <w:rPr>
          <w:szCs w:val="21"/>
          <w:highlight w:val="none"/>
        </w:rPr>
      </w:pPr>
    </w:p>
    <w:p>
      <w:pPr>
        <w:spacing w:line="440" w:lineRule="exact"/>
        <w:rPr>
          <w:szCs w:val="21"/>
          <w:highlight w:val="none"/>
        </w:rPr>
      </w:pPr>
    </w:p>
    <w:p>
      <w:pPr>
        <w:spacing w:line="440" w:lineRule="exact"/>
        <w:rPr>
          <w:szCs w:val="21"/>
          <w:highlight w:val="none"/>
        </w:rPr>
      </w:pPr>
    </w:p>
    <w:p>
      <w:pPr>
        <w:spacing w:line="440" w:lineRule="exact"/>
        <w:rPr>
          <w:szCs w:val="21"/>
          <w:highlight w:val="none"/>
        </w:rPr>
      </w:pPr>
      <w:r>
        <w:rPr>
          <w:szCs w:val="21"/>
          <w:highlight w:val="none"/>
        </w:rPr>
        <w:t>　　　　　　　　　　　　　　　投标人：（盖单位章）</w:t>
      </w:r>
    </w:p>
    <w:p>
      <w:pPr>
        <w:spacing w:line="440" w:lineRule="exact"/>
        <w:rPr>
          <w:szCs w:val="21"/>
          <w:highlight w:val="none"/>
        </w:rPr>
      </w:pPr>
      <w:r>
        <w:rPr>
          <w:szCs w:val="21"/>
          <w:highlight w:val="none"/>
        </w:rPr>
        <w:t>　　　　　　　　　　　　　　　</w:t>
      </w:r>
    </w:p>
    <w:p>
      <w:pPr>
        <w:spacing w:line="440" w:lineRule="exact"/>
        <w:rPr>
          <w:szCs w:val="21"/>
          <w:highlight w:val="none"/>
        </w:rPr>
      </w:pPr>
      <w:r>
        <w:rPr>
          <w:szCs w:val="21"/>
          <w:highlight w:val="none"/>
        </w:rPr>
        <w:t>　　　　　　　　　　　　　　　法定代表人</w:t>
      </w:r>
      <w:r>
        <w:rPr>
          <w:rFonts w:hint="eastAsia"/>
          <w:szCs w:val="21"/>
          <w:highlight w:val="none"/>
        </w:rPr>
        <w:t>（</w:t>
      </w:r>
      <w:r>
        <w:rPr>
          <w:szCs w:val="21"/>
          <w:highlight w:val="none"/>
        </w:rPr>
        <w:t>或其委托代理人</w:t>
      </w:r>
      <w:r>
        <w:rPr>
          <w:rFonts w:hint="eastAsia"/>
          <w:szCs w:val="21"/>
          <w:highlight w:val="none"/>
        </w:rPr>
        <w:t>）</w:t>
      </w:r>
      <w:r>
        <w:rPr>
          <w:szCs w:val="21"/>
          <w:highlight w:val="none"/>
        </w:rPr>
        <w:t>：（签字）</w:t>
      </w:r>
    </w:p>
    <w:p>
      <w:pPr>
        <w:spacing w:line="440" w:lineRule="exact"/>
        <w:rPr>
          <w:szCs w:val="21"/>
          <w:highlight w:val="none"/>
        </w:rPr>
      </w:pPr>
      <w:r>
        <w:rPr>
          <w:szCs w:val="21"/>
          <w:highlight w:val="none"/>
        </w:rPr>
        <w:t>　　　　　　　　　　　　　　　</w:t>
      </w:r>
    </w:p>
    <w:p>
      <w:pPr>
        <w:spacing w:line="440" w:lineRule="exact"/>
        <w:rPr>
          <w:szCs w:val="21"/>
          <w:highlight w:val="none"/>
        </w:rPr>
      </w:pPr>
      <w:r>
        <w:rPr>
          <w:szCs w:val="21"/>
          <w:highlight w:val="none"/>
        </w:rPr>
        <w:t>　　　　　　　　　　　　　　　        年月日</w:t>
      </w:r>
    </w:p>
    <w:p>
      <w:pPr>
        <w:spacing w:line="400" w:lineRule="exact"/>
        <w:rPr>
          <w:highlight w:val="none"/>
        </w:rPr>
      </w:pPr>
    </w:p>
    <w:p>
      <w:pPr>
        <w:spacing w:line="400" w:lineRule="exact"/>
        <w:rPr>
          <w:highlight w:val="none"/>
        </w:rPr>
      </w:pPr>
      <w:r>
        <w:rPr>
          <w:highlight w:val="none"/>
        </w:rPr>
        <w:br w:type="page"/>
      </w:r>
    </w:p>
    <w:p>
      <w:pPr>
        <w:pStyle w:val="4"/>
        <w:numPr>
          <w:ilvl w:val="0"/>
          <w:numId w:val="0"/>
        </w:numPr>
        <w:spacing w:before="120" w:after="120"/>
        <w:jc w:val="left"/>
        <w:rPr>
          <w:b w:val="0"/>
          <w:sz w:val="24"/>
          <w:szCs w:val="24"/>
          <w:highlight w:val="none"/>
        </w:rPr>
      </w:pPr>
      <w:bookmarkStart w:id="284" w:name="_Toc12299"/>
      <w:bookmarkStart w:id="285" w:name="_Toc3445"/>
      <w:bookmarkStart w:id="286" w:name="_Toc8433"/>
      <w:bookmarkStart w:id="287" w:name="_Toc27648"/>
      <w:bookmarkStart w:id="288" w:name="_Toc9415"/>
      <w:bookmarkStart w:id="289" w:name="_Toc2039"/>
      <w:bookmarkStart w:id="290" w:name="_Toc16203"/>
      <w:r>
        <w:rPr>
          <w:rFonts w:hint="eastAsia"/>
          <w:sz w:val="24"/>
          <w:szCs w:val="24"/>
          <w:highlight w:val="none"/>
        </w:rPr>
        <w:t>附件四：中标通知书</w:t>
      </w:r>
      <w:bookmarkEnd w:id="284"/>
      <w:bookmarkEnd w:id="285"/>
      <w:bookmarkEnd w:id="286"/>
      <w:bookmarkEnd w:id="287"/>
      <w:bookmarkEnd w:id="288"/>
      <w:bookmarkEnd w:id="289"/>
      <w:bookmarkEnd w:id="290"/>
    </w:p>
    <w:p>
      <w:pPr>
        <w:spacing w:line="400" w:lineRule="exact"/>
        <w:rPr>
          <w:highlight w:val="none"/>
        </w:rPr>
      </w:pPr>
    </w:p>
    <w:p>
      <w:pPr>
        <w:spacing w:line="400" w:lineRule="exact"/>
        <w:jc w:val="center"/>
        <w:rPr>
          <w:rFonts w:ascii="黑体" w:eastAsia="黑体"/>
          <w:sz w:val="28"/>
          <w:szCs w:val="28"/>
          <w:highlight w:val="none"/>
        </w:rPr>
      </w:pPr>
      <w:r>
        <w:rPr>
          <w:rFonts w:hint="eastAsia" w:ascii="黑体" w:eastAsia="黑体"/>
          <w:sz w:val="28"/>
          <w:szCs w:val="28"/>
          <w:highlight w:val="none"/>
        </w:rPr>
        <w:t>中标通知书</w:t>
      </w:r>
    </w:p>
    <w:p>
      <w:pPr>
        <w:spacing w:line="400" w:lineRule="exact"/>
        <w:rPr>
          <w:highlight w:val="none"/>
        </w:rPr>
      </w:pPr>
    </w:p>
    <w:p>
      <w:pPr>
        <w:spacing w:line="440" w:lineRule="exact"/>
        <w:rPr>
          <w:szCs w:val="21"/>
          <w:highlight w:val="none"/>
        </w:rPr>
      </w:pPr>
      <w:r>
        <w:rPr>
          <w:szCs w:val="21"/>
          <w:highlight w:val="none"/>
        </w:rPr>
        <w:t>（中标人名称）：</w:t>
      </w:r>
    </w:p>
    <w:p>
      <w:pPr>
        <w:spacing w:line="440" w:lineRule="exact"/>
        <w:rPr>
          <w:szCs w:val="21"/>
          <w:highlight w:val="none"/>
        </w:rPr>
      </w:pPr>
    </w:p>
    <w:p>
      <w:pPr>
        <w:spacing w:line="440" w:lineRule="exact"/>
        <w:rPr>
          <w:szCs w:val="21"/>
          <w:highlight w:val="none"/>
        </w:rPr>
      </w:pPr>
      <w:r>
        <w:rPr>
          <w:szCs w:val="21"/>
          <w:highlight w:val="none"/>
        </w:rPr>
        <w:t>　　你方于（投标日期）所递交的</w:t>
      </w:r>
      <w:r>
        <w:rPr>
          <w:rFonts w:hint="eastAsia"/>
          <w:color w:val="000000"/>
          <w:highlight w:val="none"/>
        </w:rPr>
        <w:t>佛山市恒益环保建材有限公司加气砌块生产辅助业务外委采购项目</w:t>
      </w:r>
      <w:r>
        <w:rPr>
          <w:rFonts w:hint="eastAsia"/>
          <w:szCs w:val="21"/>
          <w:highlight w:val="none"/>
        </w:rPr>
        <w:t>招标的</w:t>
      </w:r>
      <w:r>
        <w:rPr>
          <w:szCs w:val="21"/>
          <w:highlight w:val="none"/>
        </w:rPr>
        <w:t>投标文件已被我方接受，被确定为中标人。</w:t>
      </w:r>
    </w:p>
    <w:p>
      <w:pPr>
        <w:spacing w:line="440" w:lineRule="exact"/>
        <w:rPr>
          <w:szCs w:val="21"/>
          <w:highlight w:val="none"/>
        </w:rPr>
      </w:pPr>
      <w:r>
        <w:rPr>
          <w:rFonts w:hint="eastAsia"/>
          <w:szCs w:val="21"/>
          <w:highlight w:val="none"/>
        </w:rPr>
        <w:t xml:space="preserve">    中标价：（大写）    万  仟   佰   拾   元整（￥  元／立方米）</w:t>
      </w:r>
    </w:p>
    <w:p>
      <w:pPr>
        <w:spacing w:line="440" w:lineRule="exact"/>
        <w:ind w:firstLine="420" w:firstLineChars="200"/>
        <w:rPr>
          <w:szCs w:val="21"/>
          <w:highlight w:val="none"/>
        </w:rPr>
      </w:pPr>
    </w:p>
    <w:p>
      <w:pPr>
        <w:spacing w:line="440" w:lineRule="exact"/>
        <w:ind w:firstLine="420"/>
        <w:rPr>
          <w:szCs w:val="21"/>
          <w:highlight w:val="none"/>
        </w:rPr>
      </w:pPr>
      <w:r>
        <w:rPr>
          <w:szCs w:val="21"/>
          <w:highlight w:val="none"/>
        </w:rPr>
        <w:t>请你方在本通知书</w:t>
      </w:r>
      <w:r>
        <w:rPr>
          <w:rFonts w:hint="eastAsia"/>
          <w:szCs w:val="21"/>
          <w:highlight w:val="none"/>
        </w:rPr>
        <w:t>发出</w:t>
      </w:r>
      <w:r>
        <w:rPr>
          <w:szCs w:val="21"/>
          <w:highlight w:val="none"/>
        </w:rPr>
        <w:t>后的</w:t>
      </w:r>
      <w:r>
        <w:rPr>
          <w:rFonts w:hint="eastAsia"/>
          <w:szCs w:val="21"/>
          <w:highlight w:val="none"/>
          <w:u w:val="single"/>
        </w:rPr>
        <w:t>5个工作</w:t>
      </w:r>
      <w:r>
        <w:rPr>
          <w:szCs w:val="21"/>
          <w:highlight w:val="none"/>
        </w:rPr>
        <w:t>日内到</w:t>
      </w:r>
      <w:r>
        <w:rPr>
          <w:rFonts w:hint="eastAsia"/>
          <w:szCs w:val="21"/>
          <w:highlight w:val="none"/>
          <w:u w:val="single"/>
        </w:rPr>
        <w:t>佛山市恒益环保建材有限公司</w:t>
      </w:r>
      <w:r>
        <w:rPr>
          <w:szCs w:val="21"/>
          <w:highlight w:val="none"/>
        </w:rPr>
        <w:t>（指定地点）与我方</w:t>
      </w:r>
      <w:r>
        <w:rPr>
          <w:rFonts w:hint="eastAsia"/>
          <w:szCs w:val="21"/>
          <w:highlight w:val="none"/>
        </w:rPr>
        <w:t>签订合同，</w:t>
      </w:r>
      <w:r>
        <w:rPr>
          <w:rFonts w:hint="eastAsia" w:asciiTheme="minorEastAsia" w:hAnsiTheme="minorEastAsia" w:eastAsiaTheme="minorEastAsia"/>
          <w:szCs w:val="21"/>
          <w:highlight w:val="none"/>
        </w:rPr>
        <w:t>并于</w:t>
      </w:r>
      <w:r>
        <w:rPr>
          <w:rFonts w:hint="eastAsia"/>
          <w:szCs w:val="21"/>
          <w:highlight w:val="none"/>
        </w:rPr>
        <w:t>合同签订后5个工作日内</w:t>
      </w:r>
      <w:r>
        <w:rPr>
          <w:rFonts w:hint="eastAsia" w:asciiTheme="minorEastAsia" w:hAnsiTheme="minorEastAsia" w:eastAsiaTheme="minorEastAsia"/>
          <w:szCs w:val="21"/>
          <w:highlight w:val="none"/>
        </w:rPr>
        <w:t>将履约保证金</w:t>
      </w:r>
      <w:r>
        <w:rPr>
          <w:rFonts w:hint="eastAsia" w:ascii="宋体" w:hAnsi="宋体"/>
          <w:bCs/>
          <w:szCs w:val="21"/>
          <w:highlight w:val="none"/>
        </w:rPr>
        <w:t>以转账的方式汇入指定账户。</w:t>
      </w:r>
    </w:p>
    <w:p>
      <w:pPr>
        <w:spacing w:line="440" w:lineRule="exact"/>
        <w:ind w:firstLine="420"/>
        <w:rPr>
          <w:szCs w:val="21"/>
          <w:highlight w:val="none"/>
        </w:rPr>
      </w:pPr>
      <w:r>
        <w:rPr>
          <w:rFonts w:hint="eastAsia"/>
          <w:szCs w:val="21"/>
          <w:highlight w:val="none"/>
        </w:rPr>
        <w:t>随附的澄清、说明、补正事项纪要，是本中标通知书的组成部分。</w:t>
      </w:r>
    </w:p>
    <w:p>
      <w:pPr>
        <w:spacing w:line="440" w:lineRule="exact"/>
        <w:rPr>
          <w:szCs w:val="21"/>
          <w:highlight w:val="none"/>
        </w:rPr>
      </w:pPr>
      <w:r>
        <w:rPr>
          <w:szCs w:val="21"/>
          <w:highlight w:val="none"/>
        </w:rPr>
        <w:t>　　特此通知。</w:t>
      </w:r>
    </w:p>
    <w:p>
      <w:pPr>
        <w:spacing w:line="440" w:lineRule="exact"/>
        <w:ind w:firstLine="420" w:firstLineChars="200"/>
        <w:rPr>
          <w:szCs w:val="21"/>
          <w:highlight w:val="none"/>
        </w:rPr>
      </w:pPr>
      <w:r>
        <w:rPr>
          <w:rFonts w:hint="eastAsia"/>
          <w:szCs w:val="21"/>
          <w:highlight w:val="none"/>
        </w:rPr>
        <w:t>附：澄清、说明、补正事项纪要</w:t>
      </w:r>
    </w:p>
    <w:p>
      <w:pPr>
        <w:spacing w:line="440" w:lineRule="exact"/>
        <w:rPr>
          <w:szCs w:val="21"/>
          <w:highlight w:val="none"/>
        </w:rPr>
      </w:pPr>
    </w:p>
    <w:p>
      <w:pPr>
        <w:spacing w:line="440" w:lineRule="exact"/>
        <w:rPr>
          <w:szCs w:val="21"/>
          <w:highlight w:val="none"/>
        </w:rPr>
      </w:pPr>
    </w:p>
    <w:p>
      <w:pPr>
        <w:spacing w:line="540" w:lineRule="exact"/>
        <w:ind w:firstLine="3238" w:firstLineChars="1542"/>
        <w:rPr>
          <w:szCs w:val="21"/>
          <w:highlight w:val="none"/>
        </w:rPr>
      </w:pPr>
      <w:r>
        <w:rPr>
          <w:szCs w:val="21"/>
          <w:highlight w:val="none"/>
        </w:rPr>
        <w:t xml:space="preserve">招标人：（盖单位章）            </w:t>
      </w:r>
    </w:p>
    <w:p>
      <w:pPr>
        <w:spacing w:line="540" w:lineRule="exact"/>
        <w:ind w:firstLine="3238" w:firstLineChars="1542"/>
        <w:rPr>
          <w:szCs w:val="21"/>
          <w:highlight w:val="none"/>
        </w:rPr>
      </w:pPr>
      <w:r>
        <w:rPr>
          <w:szCs w:val="21"/>
          <w:highlight w:val="none"/>
        </w:rPr>
        <w:t>法定代表人</w:t>
      </w:r>
      <w:r>
        <w:rPr>
          <w:rFonts w:hint="eastAsia"/>
          <w:szCs w:val="21"/>
          <w:highlight w:val="none"/>
        </w:rPr>
        <w:t>（或其授权委托人）</w:t>
      </w:r>
      <w:r>
        <w:rPr>
          <w:szCs w:val="21"/>
          <w:highlight w:val="none"/>
        </w:rPr>
        <w:t>：（签字）</w:t>
      </w:r>
    </w:p>
    <w:p>
      <w:pPr>
        <w:spacing w:line="540" w:lineRule="exact"/>
        <w:ind w:firstLine="3863" w:firstLineChars="1840"/>
        <w:rPr>
          <w:szCs w:val="21"/>
          <w:highlight w:val="none"/>
        </w:rPr>
      </w:pPr>
      <w:r>
        <w:rPr>
          <w:szCs w:val="21"/>
          <w:highlight w:val="none"/>
        </w:rPr>
        <w:t>年月日</w:t>
      </w:r>
    </w:p>
    <w:p>
      <w:pPr>
        <w:spacing w:line="400" w:lineRule="exact"/>
        <w:rPr>
          <w:highlight w:val="none"/>
        </w:rPr>
      </w:pPr>
    </w:p>
    <w:p>
      <w:pPr>
        <w:spacing w:line="400" w:lineRule="exact"/>
        <w:rPr>
          <w:highlight w:val="none"/>
        </w:rPr>
      </w:pPr>
      <w:r>
        <w:rPr>
          <w:highlight w:val="none"/>
        </w:rPr>
        <w:br w:type="page"/>
      </w:r>
    </w:p>
    <w:p>
      <w:pPr>
        <w:pStyle w:val="4"/>
        <w:numPr>
          <w:ilvl w:val="0"/>
          <w:numId w:val="0"/>
        </w:numPr>
        <w:spacing w:before="120" w:after="120"/>
        <w:jc w:val="left"/>
        <w:rPr>
          <w:b w:val="0"/>
          <w:sz w:val="24"/>
          <w:szCs w:val="24"/>
          <w:highlight w:val="none"/>
        </w:rPr>
      </w:pPr>
      <w:bookmarkStart w:id="291" w:name="_Toc28624"/>
      <w:bookmarkStart w:id="292" w:name="_Toc19806"/>
      <w:bookmarkStart w:id="293" w:name="_Toc27939"/>
      <w:bookmarkStart w:id="294" w:name="_Toc14518"/>
      <w:bookmarkStart w:id="295" w:name="_Toc27161"/>
      <w:bookmarkStart w:id="296" w:name="_Toc19577"/>
      <w:bookmarkStart w:id="297" w:name="_Toc23385"/>
      <w:r>
        <w:rPr>
          <w:rFonts w:hint="eastAsia"/>
          <w:sz w:val="24"/>
          <w:szCs w:val="24"/>
          <w:highlight w:val="none"/>
        </w:rPr>
        <w:t>附件五：确认通知</w:t>
      </w:r>
      <w:bookmarkEnd w:id="291"/>
      <w:bookmarkEnd w:id="292"/>
      <w:bookmarkEnd w:id="293"/>
      <w:bookmarkEnd w:id="294"/>
      <w:bookmarkEnd w:id="295"/>
      <w:bookmarkEnd w:id="296"/>
      <w:bookmarkEnd w:id="297"/>
    </w:p>
    <w:p>
      <w:pPr>
        <w:spacing w:line="400" w:lineRule="exact"/>
        <w:rPr>
          <w:highlight w:val="none"/>
        </w:rPr>
      </w:pPr>
    </w:p>
    <w:p>
      <w:pPr>
        <w:spacing w:line="400" w:lineRule="exact"/>
        <w:jc w:val="center"/>
        <w:rPr>
          <w:rFonts w:ascii="黑体" w:eastAsia="黑体"/>
          <w:sz w:val="28"/>
          <w:szCs w:val="28"/>
          <w:highlight w:val="none"/>
        </w:rPr>
      </w:pPr>
      <w:r>
        <w:rPr>
          <w:rFonts w:hint="eastAsia" w:ascii="黑体" w:eastAsia="黑体"/>
          <w:sz w:val="28"/>
          <w:szCs w:val="28"/>
          <w:highlight w:val="none"/>
        </w:rPr>
        <w:t>确认通知</w:t>
      </w:r>
    </w:p>
    <w:p>
      <w:pPr>
        <w:spacing w:line="400" w:lineRule="exact"/>
        <w:rPr>
          <w:highlight w:val="none"/>
        </w:rPr>
      </w:pPr>
    </w:p>
    <w:p>
      <w:pPr>
        <w:spacing w:line="440" w:lineRule="exact"/>
        <w:ind w:firstLine="420" w:firstLineChars="200"/>
        <w:rPr>
          <w:szCs w:val="21"/>
          <w:highlight w:val="none"/>
        </w:rPr>
      </w:pPr>
      <w:r>
        <w:rPr>
          <w:rFonts w:hint="eastAsia"/>
          <w:szCs w:val="21"/>
          <w:highlight w:val="none"/>
        </w:rPr>
        <w:t>佛山市恒益环保建材有限公司：</w:t>
      </w:r>
    </w:p>
    <w:p>
      <w:pPr>
        <w:spacing w:line="440" w:lineRule="exact"/>
        <w:rPr>
          <w:szCs w:val="21"/>
          <w:highlight w:val="none"/>
        </w:rPr>
      </w:pPr>
      <w:r>
        <w:rPr>
          <w:szCs w:val="21"/>
          <w:highlight w:val="none"/>
        </w:rPr>
        <w:t>　　</w:t>
      </w:r>
    </w:p>
    <w:p>
      <w:pPr>
        <w:spacing w:line="440" w:lineRule="exact"/>
        <w:ind w:firstLine="840" w:firstLineChars="400"/>
        <w:rPr>
          <w:szCs w:val="21"/>
          <w:highlight w:val="none"/>
        </w:rPr>
      </w:pPr>
      <w:r>
        <w:rPr>
          <w:szCs w:val="21"/>
          <w:highlight w:val="none"/>
        </w:rPr>
        <w:t>你方</w:t>
      </w:r>
      <w:r>
        <w:rPr>
          <w:rFonts w:hint="eastAsia"/>
          <w:szCs w:val="21"/>
          <w:highlight w:val="none"/>
        </w:rPr>
        <w:t>于</w:t>
      </w:r>
      <w:r>
        <w:rPr>
          <w:szCs w:val="21"/>
          <w:highlight w:val="none"/>
        </w:rPr>
        <w:t>年 月日发出的</w:t>
      </w:r>
      <w:r>
        <w:rPr>
          <w:rFonts w:hint="eastAsia"/>
          <w:color w:val="000000"/>
          <w:highlight w:val="none"/>
        </w:rPr>
        <w:t>佛山市恒益环保建材有限公司加气砌块生产辅助业务外委采购项目</w:t>
      </w:r>
      <w:r>
        <w:rPr>
          <w:szCs w:val="21"/>
          <w:highlight w:val="none"/>
        </w:rPr>
        <w:t>关于的通知，我方已于年月日收到。</w:t>
      </w:r>
    </w:p>
    <w:p>
      <w:pPr>
        <w:spacing w:line="440" w:lineRule="exact"/>
        <w:rPr>
          <w:szCs w:val="21"/>
          <w:highlight w:val="none"/>
        </w:rPr>
      </w:pPr>
      <w:r>
        <w:rPr>
          <w:szCs w:val="21"/>
          <w:highlight w:val="none"/>
        </w:rPr>
        <w:t>　　特此确认。</w:t>
      </w:r>
    </w:p>
    <w:p>
      <w:pPr>
        <w:spacing w:line="440" w:lineRule="exact"/>
        <w:rPr>
          <w:szCs w:val="21"/>
          <w:highlight w:val="none"/>
        </w:rPr>
      </w:pPr>
    </w:p>
    <w:p>
      <w:pPr>
        <w:spacing w:line="440" w:lineRule="exact"/>
        <w:rPr>
          <w:szCs w:val="21"/>
          <w:highlight w:val="none"/>
        </w:rPr>
      </w:pPr>
    </w:p>
    <w:p>
      <w:pPr>
        <w:spacing w:line="440" w:lineRule="exact"/>
        <w:rPr>
          <w:szCs w:val="21"/>
          <w:highlight w:val="none"/>
        </w:rPr>
      </w:pPr>
      <w:r>
        <w:rPr>
          <w:szCs w:val="21"/>
          <w:highlight w:val="none"/>
        </w:rPr>
        <w:t xml:space="preserve">                              投标人： （盖单位章）</w:t>
      </w:r>
    </w:p>
    <w:p>
      <w:pPr>
        <w:spacing w:line="440" w:lineRule="exact"/>
        <w:rPr>
          <w:szCs w:val="21"/>
          <w:highlight w:val="none"/>
        </w:rPr>
      </w:pPr>
    </w:p>
    <w:p>
      <w:pPr>
        <w:spacing w:line="440" w:lineRule="exact"/>
        <w:rPr>
          <w:highlight w:val="none"/>
        </w:rPr>
      </w:pPr>
      <w:r>
        <w:rPr>
          <w:highlight w:val="none"/>
        </w:rPr>
        <w:t>年月日</w:t>
      </w: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spacing w:line="440" w:lineRule="exact"/>
        <w:rPr>
          <w:highlight w:val="none"/>
        </w:rPr>
      </w:pPr>
    </w:p>
    <w:p>
      <w:pPr>
        <w:pStyle w:val="2"/>
        <w:keepNext w:val="0"/>
        <w:keepLines w:val="0"/>
        <w:adjustRightInd w:val="0"/>
        <w:snapToGrid w:val="0"/>
        <w:spacing w:before="0" w:after="0" w:line="360" w:lineRule="auto"/>
        <w:jc w:val="center"/>
        <w:rPr>
          <w:highlight w:val="none"/>
        </w:rPr>
      </w:pPr>
      <w:r>
        <w:rPr>
          <w:highlight w:val="none"/>
        </w:rPr>
        <w:br w:type="page"/>
      </w:r>
      <w:bookmarkStart w:id="298" w:name="_Toc488957705"/>
      <w:bookmarkStart w:id="299" w:name="_Toc423602830"/>
    </w:p>
    <w:p>
      <w:pPr>
        <w:pStyle w:val="2"/>
        <w:keepNext w:val="0"/>
        <w:keepLines w:val="0"/>
        <w:adjustRightInd w:val="0"/>
        <w:snapToGrid w:val="0"/>
        <w:spacing w:before="0" w:after="0" w:line="360" w:lineRule="auto"/>
        <w:jc w:val="cente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2"/>
        <w:keepNext w:val="0"/>
        <w:keepLines w:val="0"/>
        <w:adjustRightInd w:val="0"/>
        <w:snapToGrid w:val="0"/>
        <w:spacing w:before="0" w:after="0" w:line="360" w:lineRule="auto"/>
        <w:jc w:val="center"/>
        <w:rPr>
          <w:sz w:val="36"/>
          <w:szCs w:val="36"/>
          <w:highlight w:val="none"/>
        </w:rPr>
      </w:pPr>
      <w:bookmarkStart w:id="300" w:name="_Toc14090"/>
      <w:bookmarkStart w:id="301" w:name="_Toc32597"/>
      <w:bookmarkStart w:id="302" w:name="_Toc18686"/>
      <w:bookmarkStart w:id="303" w:name="_Toc24584"/>
      <w:bookmarkStart w:id="304" w:name="_Toc29102"/>
      <w:r>
        <w:rPr>
          <w:rFonts w:hint="eastAsia"/>
          <w:sz w:val="36"/>
          <w:szCs w:val="36"/>
          <w:highlight w:val="none"/>
        </w:rPr>
        <w:t>第三章 开标、评标及定标办法</w:t>
      </w:r>
      <w:bookmarkEnd w:id="298"/>
      <w:bookmarkEnd w:id="299"/>
      <w:bookmarkEnd w:id="300"/>
      <w:bookmarkEnd w:id="301"/>
      <w:bookmarkEnd w:id="302"/>
      <w:bookmarkEnd w:id="303"/>
      <w:bookmarkEnd w:id="304"/>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ind w:firstLine="3233" w:firstLineChars="1150"/>
        <w:jc w:val="both"/>
        <w:rPr>
          <w:color w:val="000000"/>
          <w:sz w:val="28"/>
          <w:szCs w:val="28"/>
          <w:highlight w:val="none"/>
        </w:rPr>
      </w:pPr>
    </w:p>
    <w:p>
      <w:pPr>
        <w:pStyle w:val="3"/>
        <w:keepNext w:val="0"/>
        <w:keepLines w:val="0"/>
        <w:numPr>
          <w:ilvl w:val="0"/>
          <w:numId w:val="0"/>
        </w:numPr>
        <w:snapToGrid w:val="0"/>
        <w:spacing w:before="0" w:after="0" w:line="360" w:lineRule="auto"/>
        <w:rPr>
          <w:bCs/>
          <w:color w:val="000000"/>
          <w:sz w:val="28"/>
          <w:szCs w:val="28"/>
          <w:highlight w:val="none"/>
        </w:rPr>
      </w:pPr>
      <w:bookmarkStart w:id="305" w:name="_Toc21328"/>
      <w:bookmarkStart w:id="306" w:name="_Toc16256"/>
      <w:bookmarkStart w:id="307" w:name="_Toc30618"/>
      <w:bookmarkStart w:id="308" w:name="_Toc8915"/>
      <w:bookmarkStart w:id="309" w:name="_Toc8067"/>
      <w:r>
        <w:rPr>
          <w:rFonts w:hint="eastAsia"/>
          <w:color w:val="000000"/>
          <w:sz w:val="28"/>
          <w:szCs w:val="28"/>
          <w:highlight w:val="none"/>
        </w:rPr>
        <w:t>一、总则</w:t>
      </w:r>
      <w:bookmarkEnd w:id="305"/>
      <w:bookmarkEnd w:id="306"/>
      <w:bookmarkEnd w:id="307"/>
      <w:bookmarkEnd w:id="308"/>
      <w:bookmarkEnd w:id="309"/>
    </w:p>
    <w:p>
      <w:pPr>
        <w:pStyle w:val="3"/>
        <w:keepNext w:val="0"/>
        <w:keepLines w:val="0"/>
        <w:numPr>
          <w:ilvl w:val="0"/>
          <w:numId w:val="0"/>
        </w:numPr>
        <w:snapToGrid w:val="0"/>
        <w:spacing w:after="120" w:line="360" w:lineRule="auto"/>
        <w:ind w:left="840" w:hanging="420"/>
        <w:jc w:val="left"/>
        <w:rPr>
          <w:rFonts w:asciiTheme="minorEastAsia" w:hAnsiTheme="minorEastAsia" w:eastAsiaTheme="minorEastAsia"/>
          <w:bCs/>
          <w:color w:val="000000"/>
          <w:sz w:val="21"/>
          <w:szCs w:val="21"/>
          <w:highlight w:val="none"/>
        </w:rPr>
      </w:pPr>
      <w:bookmarkStart w:id="310" w:name="_Toc20228"/>
      <w:bookmarkStart w:id="311" w:name="_Toc9364"/>
      <w:bookmarkStart w:id="312" w:name="_Toc10170"/>
      <w:bookmarkStart w:id="313" w:name="_Toc29488"/>
      <w:bookmarkStart w:id="314" w:name="_Toc28332"/>
      <w:r>
        <w:rPr>
          <w:rFonts w:hint="eastAsia" w:asciiTheme="minorEastAsia" w:hAnsiTheme="minorEastAsia" w:eastAsiaTheme="minorEastAsia"/>
          <w:color w:val="000000"/>
          <w:sz w:val="21"/>
          <w:szCs w:val="21"/>
          <w:highlight w:val="none"/>
        </w:rPr>
        <w:t>1.开标、评标及定标所依据的规则</w:t>
      </w:r>
      <w:bookmarkEnd w:id="310"/>
      <w:bookmarkEnd w:id="311"/>
      <w:bookmarkEnd w:id="312"/>
      <w:bookmarkEnd w:id="313"/>
      <w:bookmarkEnd w:id="314"/>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 </w:t>
      </w:r>
      <w:r>
        <w:rPr>
          <w:rFonts w:hint="eastAsia" w:asciiTheme="minorEastAsia" w:hAnsiTheme="minorEastAsia" w:eastAsiaTheme="minorEastAsia"/>
          <w:szCs w:val="21"/>
          <w:highlight w:val="none"/>
        </w:rPr>
        <w:t>《中华人民共和国招标投标法》；</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1.2《中华人民共和国招标投标法实施条例》；</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1.3《评标委员会和评标方法暂行规定》（七部委第12号令）；</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1.4《广东省实施〈中华人民共和国招标投标法〉办法》；</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1.5《工程建设项目货物招标投标办法</w:t>
      </w:r>
      <w:r>
        <w:rPr>
          <w:rFonts w:hint="eastAsia" w:asciiTheme="minorEastAsia" w:hAnsiTheme="minorEastAsia" w:eastAsiaTheme="minorEastAsia"/>
          <w:szCs w:val="21"/>
          <w:highlight w:val="none"/>
        </w:rPr>
        <w:t>》（七部委第</w:t>
      </w:r>
      <w:r>
        <w:rPr>
          <w:rFonts w:asciiTheme="minorEastAsia" w:hAnsiTheme="minorEastAsia" w:eastAsiaTheme="minorEastAsia"/>
          <w:szCs w:val="21"/>
          <w:highlight w:val="none"/>
        </w:rPr>
        <w:t>27号令）；</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1.6《广东省加强建设工程招标投标监督管理的若干规定》；</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1.7本项目招标文件。 </w:t>
      </w:r>
    </w:p>
    <w:p>
      <w:pPr>
        <w:pStyle w:val="3"/>
        <w:numPr>
          <w:ilvl w:val="0"/>
          <w:numId w:val="0"/>
        </w:numPr>
        <w:snapToGrid w:val="0"/>
        <w:spacing w:after="120" w:line="360" w:lineRule="auto"/>
        <w:ind w:left="454"/>
        <w:jc w:val="left"/>
        <w:rPr>
          <w:rFonts w:asciiTheme="minorEastAsia" w:hAnsiTheme="minorEastAsia" w:eastAsiaTheme="minorEastAsia"/>
          <w:bCs/>
          <w:color w:val="000000"/>
          <w:sz w:val="21"/>
          <w:szCs w:val="21"/>
          <w:highlight w:val="none"/>
        </w:rPr>
      </w:pPr>
      <w:bookmarkStart w:id="315" w:name="_Toc31180"/>
      <w:bookmarkStart w:id="316" w:name="_Toc20078"/>
      <w:bookmarkStart w:id="317" w:name="_Toc3736"/>
      <w:bookmarkStart w:id="318" w:name="_Toc10553"/>
      <w:bookmarkStart w:id="319" w:name="_Toc29550"/>
      <w:r>
        <w:rPr>
          <w:rFonts w:hint="eastAsia" w:asciiTheme="minorEastAsia" w:hAnsiTheme="minorEastAsia" w:eastAsiaTheme="minorEastAsia"/>
          <w:color w:val="000000"/>
          <w:sz w:val="21"/>
          <w:szCs w:val="21"/>
          <w:highlight w:val="none"/>
        </w:rPr>
        <w:t>2.开标</w:t>
      </w:r>
      <w:bookmarkEnd w:id="315"/>
      <w:bookmarkEnd w:id="316"/>
      <w:bookmarkEnd w:id="317"/>
      <w:bookmarkEnd w:id="318"/>
      <w:bookmarkEnd w:id="319"/>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2.1 </w:t>
      </w:r>
      <w:r>
        <w:rPr>
          <w:rFonts w:hint="eastAsia" w:asciiTheme="minorEastAsia" w:hAnsiTheme="minorEastAsia" w:eastAsiaTheme="minorEastAsia"/>
          <w:szCs w:val="21"/>
          <w:highlight w:val="none"/>
        </w:rPr>
        <w:t>招标代理在规定的时间和地点公开开标，并邀请所有投标人参加。</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2.2 </w:t>
      </w:r>
      <w:r>
        <w:rPr>
          <w:rFonts w:hint="eastAsia" w:asciiTheme="minorEastAsia" w:hAnsiTheme="minorEastAsia" w:eastAsiaTheme="minorEastAsia"/>
          <w:szCs w:val="21"/>
          <w:highlight w:val="none"/>
        </w:rPr>
        <w:t>按规定提交合格的撤回通知的投标文件不予开封，并退回给投标人；</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2.3 </w:t>
      </w:r>
      <w:r>
        <w:rPr>
          <w:rFonts w:hint="eastAsia" w:asciiTheme="minorEastAsia" w:hAnsiTheme="minorEastAsia" w:eastAsiaTheme="minorEastAsia"/>
          <w:szCs w:val="21"/>
          <w:highlight w:val="none"/>
        </w:rPr>
        <w:t>招标代理在招标文件要求提交投标文件的截止时间前收到的所有投标文件，开标时都当众予以拆封、宣读。</w:t>
      </w:r>
    </w:p>
    <w:p>
      <w:pPr>
        <w:pStyle w:val="3"/>
        <w:numPr>
          <w:ilvl w:val="0"/>
          <w:numId w:val="0"/>
        </w:numPr>
        <w:snapToGrid w:val="0"/>
        <w:spacing w:after="120" w:line="360" w:lineRule="auto"/>
        <w:ind w:left="840" w:hanging="420"/>
        <w:jc w:val="left"/>
        <w:rPr>
          <w:rFonts w:asciiTheme="minorEastAsia" w:hAnsiTheme="minorEastAsia" w:eastAsiaTheme="minorEastAsia"/>
          <w:bCs/>
          <w:color w:val="000000"/>
          <w:sz w:val="21"/>
          <w:szCs w:val="21"/>
          <w:highlight w:val="none"/>
        </w:rPr>
      </w:pPr>
      <w:bookmarkStart w:id="320" w:name="_Toc5677"/>
      <w:bookmarkStart w:id="321" w:name="_Toc9227"/>
      <w:bookmarkStart w:id="322" w:name="_Toc3964"/>
      <w:bookmarkStart w:id="323" w:name="_Toc31031"/>
      <w:bookmarkStart w:id="324" w:name="_Toc8483"/>
      <w:r>
        <w:rPr>
          <w:rFonts w:hint="eastAsia" w:asciiTheme="minorEastAsia" w:hAnsiTheme="minorEastAsia" w:eastAsiaTheme="minorEastAsia"/>
          <w:color w:val="000000"/>
          <w:sz w:val="21"/>
          <w:szCs w:val="21"/>
          <w:highlight w:val="none"/>
        </w:rPr>
        <w:t>3.评标</w:t>
      </w:r>
      <w:bookmarkEnd w:id="320"/>
      <w:bookmarkEnd w:id="321"/>
      <w:bookmarkEnd w:id="322"/>
      <w:bookmarkEnd w:id="323"/>
      <w:bookmarkEnd w:id="324"/>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3.1评标委员会由</w:t>
      </w:r>
      <w:r>
        <w:rPr>
          <w:rFonts w:hint="eastAsia" w:asciiTheme="minorEastAsia" w:hAnsiTheme="minorEastAsia" w:eastAsiaTheme="minorEastAsia"/>
          <w:szCs w:val="21"/>
          <w:highlight w:val="none"/>
        </w:rPr>
        <w:t>招标代理</w:t>
      </w:r>
      <w:r>
        <w:rPr>
          <w:rFonts w:asciiTheme="minorEastAsia" w:hAnsiTheme="minorEastAsia" w:eastAsiaTheme="minorEastAsia"/>
          <w:szCs w:val="21"/>
          <w:highlight w:val="none"/>
        </w:rPr>
        <w:t>依法组建，负责评标活动</w:t>
      </w:r>
      <w:r>
        <w:rPr>
          <w:rFonts w:hint="eastAsia" w:asciiTheme="minorEastAsia" w:hAnsiTheme="minorEastAsia" w:eastAsiaTheme="minorEastAsia"/>
          <w:szCs w:val="21"/>
          <w:highlight w:val="none"/>
        </w:rPr>
        <w:t>。</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3.2评标委员会的职责及守则：</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3.2.1根据评标细则，对投标文件进行认真评审，完成评审报告。</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3.2.2向招标人报告评审意见，推荐合格的中标候选人。</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3.2.3 </w:t>
      </w:r>
      <w:r>
        <w:rPr>
          <w:rFonts w:hint="eastAsia" w:asciiTheme="minorEastAsia" w:hAnsiTheme="minorEastAsia" w:eastAsiaTheme="minorEastAsia"/>
          <w:szCs w:val="21"/>
          <w:highlight w:val="none"/>
        </w:rPr>
        <w:t>所有评标人员必须遵守国家、地方工程招标投标法律法规，遵守有关工程招标投标的保密制度；如有违反者，给予行政处分；情节严重，构成犯罪的，由司法机关依法追究其刑事责任。</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3.2.4全体参与评标人员：</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3.2.4.1 </w:t>
      </w:r>
      <w:r>
        <w:rPr>
          <w:rFonts w:hint="eastAsia" w:asciiTheme="minorEastAsia" w:hAnsiTheme="minorEastAsia" w:eastAsiaTheme="minorEastAsia"/>
          <w:szCs w:val="21"/>
          <w:highlight w:val="none"/>
        </w:rPr>
        <w:t>必须遵守评标纪律、不得泄密；</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3.2.4.2 </w:t>
      </w:r>
      <w:r>
        <w:rPr>
          <w:rFonts w:hint="eastAsia" w:asciiTheme="minorEastAsia" w:hAnsiTheme="minorEastAsia" w:eastAsiaTheme="minorEastAsia"/>
          <w:szCs w:val="21"/>
          <w:highlight w:val="none"/>
        </w:rPr>
        <w:t>必须公正、不得循私；</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3.2.4.3 </w:t>
      </w:r>
      <w:r>
        <w:rPr>
          <w:rFonts w:hint="eastAsia" w:asciiTheme="minorEastAsia" w:hAnsiTheme="minorEastAsia" w:eastAsiaTheme="minorEastAsia"/>
          <w:szCs w:val="21"/>
          <w:highlight w:val="none"/>
        </w:rPr>
        <w:t>必须科学、不得草率；</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3.2.4.4 </w:t>
      </w:r>
      <w:r>
        <w:rPr>
          <w:rFonts w:hint="eastAsia" w:asciiTheme="minorEastAsia" w:hAnsiTheme="minorEastAsia" w:eastAsiaTheme="minorEastAsia"/>
          <w:szCs w:val="21"/>
          <w:highlight w:val="none"/>
        </w:rPr>
        <w:t>必须客观、不得带有成见；</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3.2.4.5 </w:t>
      </w:r>
      <w:r>
        <w:rPr>
          <w:rFonts w:hint="eastAsia" w:asciiTheme="minorEastAsia" w:hAnsiTheme="minorEastAsia" w:eastAsiaTheme="minorEastAsia"/>
          <w:szCs w:val="21"/>
          <w:highlight w:val="none"/>
        </w:rPr>
        <w:t>必须平等、不得强加于人；</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3.2.4.6 </w:t>
      </w:r>
      <w:r>
        <w:rPr>
          <w:rFonts w:hint="eastAsia" w:asciiTheme="minorEastAsia" w:hAnsiTheme="minorEastAsia" w:eastAsiaTheme="minorEastAsia"/>
          <w:szCs w:val="21"/>
          <w:highlight w:val="none"/>
        </w:rPr>
        <w:t>必须严谨、不得随意马虎。</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3.3 评标结束后，评标委员会递交评标报告并依法推荐中标候选人。 </w:t>
      </w:r>
    </w:p>
    <w:p>
      <w:pPr>
        <w:pStyle w:val="3"/>
        <w:numPr>
          <w:ilvl w:val="0"/>
          <w:numId w:val="0"/>
        </w:numPr>
        <w:snapToGrid w:val="0"/>
        <w:spacing w:after="120" w:line="360" w:lineRule="auto"/>
        <w:ind w:left="454"/>
        <w:jc w:val="left"/>
        <w:rPr>
          <w:rFonts w:asciiTheme="minorEastAsia" w:hAnsiTheme="minorEastAsia" w:eastAsiaTheme="minorEastAsia"/>
          <w:bCs/>
          <w:color w:val="000000"/>
          <w:sz w:val="21"/>
          <w:szCs w:val="21"/>
          <w:highlight w:val="none"/>
        </w:rPr>
      </w:pPr>
      <w:bookmarkStart w:id="325" w:name="_Toc27583"/>
      <w:bookmarkStart w:id="326" w:name="_Toc21170"/>
      <w:bookmarkStart w:id="327" w:name="_Toc20588"/>
      <w:bookmarkStart w:id="328" w:name="_Toc22974"/>
      <w:bookmarkStart w:id="329" w:name="_Toc12496"/>
      <w:r>
        <w:rPr>
          <w:rFonts w:hint="eastAsia" w:asciiTheme="minorEastAsia" w:hAnsiTheme="minorEastAsia" w:eastAsiaTheme="minorEastAsia"/>
          <w:color w:val="000000"/>
          <w:sz w:val="21"/>
          <w:szCs w:val="21"/>
          <w:highlight w:val="none"/>
        </w:rPr>
        <w:t>4.投标文件的澄清</w:t>
      </w:r>
      <w:bookmarkEnd w:id="325"/>
      <w:bookmarkEnd w:id="326"/>
      <w:bookmarkEnd w:id="327"/>
      <w:bookmarkEnd w:id="328"/>
      <w:bookmarkEnd w:id="329"/>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4.2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4.3评标委员会或评标委员会专业评审组成员均应当阅读投标人的澄清，但应独立参考澄清对投标文件进行评审，整个澄清的过程不得存在排斥潜在投标人的现象。</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4.4如果投标文件实质上不响应招标文件的各项要求，评标委员会将按照有效性审查标准予以拒绝，不接受投标人通过修改或撤销其不符合要求的差异或保留，使之成为具有响应性的投标。</w:t>
      </w:r>
    </w:p>
    <w:p>
      <w:pPr>
        <w:pStyle w:val="3"/>
        <w:numPr>
          <w:ilvl w:val="0"/>
          <w:numId w:val="0"/>
        </w:numPr>
        <w:snapToGrid w:val="0"/>
        <w:spacing w:after="120" w:line="360" w:lineRule="auto"/>
        <w:ind w:left="840" w:hanging="420"/>
        <w:jc w:val="left"/>
        <w:rPr>
          <w:rFonts w:asciiTheme="minorEastAsia" w:hAnsiTheme="minorEastAsia" w:eastAsiaTheme="minorEastAsia"/>
          <w:bCs/>
          <w:color w:val="000000"/>
          <w:sz w:val="21"/>
          <w:szCs w:val="21"/>
          <w:highlight w:val="none"/>
        </w:rPr>
      </w:pPr>
      <w:bookmarkStart w:id="330" w:name="_Toc1387"/>
      <w:bookmarkStart w:id="331" w:name="_Toc7386"/>
      <w:bookmarkStart w:id="332" w:name="_Toc28512"/>
      <w:bookmarkStart w:id="333" w:name="_Toc32708"/>
      <w:bookmarkStart w:id="334" w:name="_Toc3657"/>
      <w:r>
        <w:rPr>
          <w:rFonts w:hint="eastAsia" w:asciiTheme="minorEastAsia" w:hAnsiTheme="minorEastAsia" w:eastAsiaTheme="minorEastAsia"/>
          <w:color w:val="000000"/>
          <w:sz w:val="21"/>
          <w:szCs w:val="21"/>
          <w:highlight w:val="none"/>
        </w:rPr>
        <w:t>5.定标</w:t>
      </w:r>
      <w:bookmarkEnd w:id="330"/>
      <w:bookmarkEnd w:id="331"/>
      <w:bookmarkEnd w:id="332"/>
      <w:bookmarkEnd w:id="333"/>
      <w:bookmarkEnd w:id="334"/>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5.1根据评标委员会评选结果，招标人依法确定中标人。</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5.2 </w:t>
      </w:r>
      <w:r>
        <w:rPr>
          <w:rFonts w:hint="eastAsia" w:asciiTheme="minorEastAsia" w:hAnsiTheme="minorEastAsia" w:eastAsiaTheme="minorEastAsia"/>
          <w:szCs w:val="21"/>
          <w:highlight w:val="none"/>
        </w:rPr>
        <w:t>依法必须进行公开招标的项目，招标人应当根据综合评分从高到低的顺序取前三名投标人作为依次为第一中标候选人至第三中标候选人。</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5.3排名第一的中标候选人放弃中标、或因不可抗力提出不能履行合同，或者招标文件规定应当提交</w:t>
      </w:r>
      <w:r>
        <w:rPr>
          <w:rFonts w:hint="eastAsia" w:asciiTheme="minorEastAsia" w:hAnsiTheme="minorEastAsia" w:eastAsiaTheme="minorEastAsia"/>
          <w:szCs w:val="21"/>
          <w:highlight w:val="none"/>
          <w:lang w:eastAsia="zh-CN"/>
        </w:rPr>
        <w:t>履约保证金</w:t>
      </w:r>
      <w:r>
        <w:rPr>
          <w:rFonts w:asciiTheme="minorEastAsia" w:hAnsiTheme="minorEastAsia" w:eastAsiaTheme="minorEastAsia"/>
          <w:szCs w:val="21"/>
          <w:highlight w:val="none"/>
        </w:rPr>
        <w:t>而在规定的期限内未能提交的，招标人可以确定排名第二的中标候选人为中标人。</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5.4排名第二的中标候选人出现前款所列的情形的，招标人可以确定排名第三的中标候选人为中标人。以此类推，如所有中标候选人均出现前款所列的情形，为招标失败，招标人依法重新招标。</w:t>
      </w:r>
    </w:p>
    <w:p>
      <w:pPr>
        <w:pStyle w:val="3"/>
        <w:numPr>
          <w:ilvl w:val="0"/>
          <w:numId w:val="0"/>
        </w:numPr>
        <w:snapToGrid w:val="0"/>
        <w:spacing w:after="120" w:line="360" w:lineRule="auto"/>
        <w:ind w:left="454"/>
        <w:rPr>
          <w:rFonts w:asciiTheme="minorEastAsia" w:hAnsiTheme="minorEastAsia" w:eastAsiaTheme="minorEastAsia"/>
          <w:bCs/>
          <w:color w:val="000000"/>
          <w:sz w:val="21"/>
          <w:szCs w:val="21"/>
          <w:highlight w:val="none"/>
        </w:rPr>
      </w:pPr>
      <w:bookmarkStart w:id="335" w:name="_Toc11197"/>
      <w:bookmarkStart w:id="336" w:name="_Toc27575"/>
      <w:bookmarkStart w:id="337" w:name="_Toc2878"/>
      <w:bookmarkStart w:id="338" w:name="_Toc8472"/>
      <w:bookmarkStart w:id="339" w:name="_Toc25316"/>
      <w:r>
        <w:rPr>
          <w:rFonts w:hint="eastAsia" w:asciiTheme="minorEastAsia" w:hAnsiTheme="minorEastAsia" w:eastAsiaTheme="minorEastAsia"/>
          <w:color w:val="000000"/>
          <w:sz w:val="21"/>
          <w:szCs w:val="21"/>
          <w:highlight w:val="none"/>
        </w:rPr>
        <w:t>二、开标评标办法程序和细则</w:t>
      </w:r>
      <w:bookmarkEnd w:id="335"/>
      <w:bookmarkEnd w:id="336"/>
      <w:bookmarkEnd w:id="337"/>
      <w:bookmarkEnd w:id="338"/>
      <w:bookmarkEnd w:id="339"/>
    </w:p>
    <w:p>
      <w:pPr>
        <w:pStyle w:val="3"/>
        <w:numPr>
          <w:ilvl w:val="0"/>
          <w:numId w:val="0"/>
        </w:numPr>
        <w:snapToGrid w:val="0"/>
        <w:spacing w:after="120" w:line="360" w:lineRule="auto"/>
        <w:ind w:firstLine="422" w:firstLineChars="200"/>
        <w:jc w:val="left"/>
        <w:rPr>
          <w:rFonts w:asciiTheme="minorEastAsia" w:hAnsiTheme="minorEastAsia" w:eastAsiaTheme="minorEastAsia"/>
          <w:bCs/>
          <w:color w:val="000000"/>
          <w:sz w:val="21"/>
          <w:szCs w:val="21"/>
          <w:highlight w:val="none"/>
        </w:rPr>
      </w:pPr>
      <w:bookmarkStart w:id="340" w:name="_Toc20906"/>
      <w:bookmarkStart w:id="341" w:name="_Toc27227"/>
      <w:bookmarkStart w:id="342" w:name="_Toc15623"/>
      <w:bookmarkStart w:id="343" w:name="_Toc489230092"/>
      <w:bookmarkStart w:id="344" w:name="_Toc1173"/>
      <w:bookmarkStart w:id="345" w:name="_Toc24526"/>
      <w:r>
        <w:rPr>
          <w:rFonts w:asciiTheme="minorEastAsia" w:hAnsiTheme="minorEastAsia" w:eastAsiaTheme="minorEastAsia"/>
          <w:color w:val="000000"/>
          <w:sz w:val="21"/>
          <w:szCs w:val="21"/>
          <w:highlight w:val="none"/>
        </w:rPr>
        <w:t xml:space="preserve">6. </w:t>
      </w:r>
      <w:r>
        <w:rPr>
          <w:rFonts w:hint="eastAsia" w:asciiTheme="minorEastAsia" w:hAnsiTheme="minorEastAsia" w:eastAsiaTheme="minorEastAsia"/>
          <w:color w:val="000000"/>
          <w:sz w:val="21"/>
          <w:szCs w:val="21"/>
          <w:highlight w:val="none"/>
        </w:rPr>
        <w:t>开标和评标程序</w:t>
      </w:r>
      <w:bookmarkEnd w:id="340"/>
      <w:bookmarkEnd w:id="341"/>
      <w:bookmarkEnd w:id="342"/>
      <w:bookmarkEnd w:id="343"/>
      <w:bookmarkEnd w:id="344"/>
      <w:bookmarkEnd w:id="345"/>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6.1投标人递交商务标、技术标和经济标投标文件；</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6.2商务、技术标、经济标投标文件公开开标；</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6.3商务、技术标有效性审查，并对经济标投标报价进行算术校核和有效性审查；</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6.4商务标、技术标分别进行详细审查评分；</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6.5对通过经济标有效性审查的经济标投标报价进行算术校核，并计算经济标得分；</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6.6 评标委员会汇总得分，计算出各有效投标文件的总分（总分=商务技术分×商务技术分权重+价格分×价格分权重），并按照总分从高到低排序；</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6.7 评标委员会向招标人推荐中标候选人，编写评标报告。</w:t>
      </w:r>
    </w:p>
    <w:p>
      <w:pPr>
        <w:pStyle w:val="3"/>
        <w:numPr>
          <w:ilvl w:val="0"/>
          <w:numId w:val="0"/>
        </w:numPr>
        <w:snapToGrid w:val="0"/>
        <w:spacing w:after="120" w:line="360" w:lineRule="auto"/>
        <w:ind w:firstLine="422" w:firstLineChars="200"/>
        <w:jc w:val="left"/>
        <w:rPr>
          <w:rFonts w:asciiTheme="minorEastAsia" w:hAnsiTheme="minorEastAsia" w:eastAsiaTheme="minorEastAsia"/>
          <w:sz w:val="21"/>
          <w:szCs w:val="21"/>
          <w:highlight w:val="none"/>
        </w:rPr>
      </w:pPr>
      <w:bookmarkStart w:id="346" w:name="_Toc92"/>
      <w:bookmarkStart w:id="347" w:name="_Toc28709"/>
      <w:bookmarkStart w:id="348" w:name="_Toc27261"/>
      <w:bookmarkStart w:id="349" w:name="_Toc10779"/>
      <w:bookmarkStart w:id="350" w:name="_Toc17772"/>
      <w:bookmarkStart w:id="351" w:name="_Toc489230093"/>
      <w:r>
        <w:rPr>
          <w:rFonts w:asciiTheme="minorEastAsia" w:hAnsiTheme="minorEastAsia" w:eastAsiaTheme="minorEastAsia"/>
          <w:color w:val="000000"/>
          <w:sz w:val="21"/>
          <w:szCs w:val="21"/>
          <w:highlight w:val="none"/>
        </w:rPr>
        <w:t xml:space="preserve">7. </w:t>
      </w:r>
      <w:r>
        <w:rPr>
          <w:rFonts w:hint="eastAsia" w:asciiTheme="minorEastAsia" w:hAnsiTheme="minorEastAsia" w:eastAsiaTheme="minorEastAsia"/>
          <w:color w:val="000000"/>
          <w:sz w:val="21"/>
          <w:szCs w:val="21"/>
          <w:highlight w:val="none"/>
        </w:rPr>
        <w:t>开标细则</w:t>
      </w:r>
      <w:bookmarkEnd w:id="346"/>
      <w:bookmarkEnd w:id="347"/>
      <w:bookmarkEnd w:id="348"/>
      <w:bookmarkEnd w:id="349"/>
      <w:bookmarkEnd w:id="350"/>
      <w:bookmarkEnd w:id="351"/>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7.1开标由招标代理主持；开标时，投标人代表有权出席开标会，也可以自主决定不参加开标会，若投标人代表对开标过程提出异议，该投标人代表须同时出示本人身份证原件及证明本人被授权身份的法人代表授权书。</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7.2 </w:t>
      </w:r>
      <w:r>
        <w:rPr>
          <w:rFonts w:hint="eastAsia" w:asciiTheme="minorEastAsia" w:hAnsiTheme="minorEastAsia" w:eastAsiaTheme="minorEastAsia"/>
          <w:szCs w:val="21"/>
          <w:highlight w:val="none"/>
        </w:rPr>
        <w:t>由投标人或其推选的代表检查投标文件的密封情况，也可以由招标人委托的监督部门人员检查并公证；</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7.3 </w:t>
      </w:r>
      <w:r>
        <w:rPr>
          <w:rFonts w:hint="eastAsia" w:asciiTheme="minorEastAsia" w:hAnsiTheme="minorEastAsia" w:eastAsiaTheme="minorEastAsia"/>
          <w:szCs w:val="21"/>
          <w:highlight w:val="none"/>
        </w:rPr>
        <w:t>细则</w:t>
      </w:r>
    </w:p>
    <w:p>
      <w:pPr>
        <w:adjustRightInd w:val="0"/>
        <w:snapToGrid w:val="0"/>
        <w:spacing w:line="360" w:lineRule="auto"/>
        <w:ind w:firstLine="457" w:firstLineChars="218"/>
        <w:rPr>
          <w:rFonts w:asciiTheme="minorEastAsia" w:hAnsiTheme="minorEastAsia" w:eastAsiaTheme="minorEastAsia"/>
          <w:szCs w:val="21"/>
          <w:highlight w:val="none"/>
        </w:rPr>
      </w:pPr>
      <w:r>
        <w:rPr>
          <w:rFonts w:asciiTheme="minorEastAsia" w:hAnsiTheme="minorEastAsia" w:eastAsiaTheme="minorEastAsia"/>
          <w:szCs w:val="21"/>
          <w:highlight w:val="none"/>
        </w:rPr>
        <w:t>7.3.1投标截止期前，各投标人递交投标文件（包括商务</w:t>
      </w:r>
      <w:r>
        <w:rPr>
          <w:rFonts w:hint="eastAsia" w:asciiTheme="minorEastAsia" w:hAnsiTheme="minorEastAsia" w:eastAsiaTheme="minorEastAsia"/>
          <w:szCs w:val="21"/>
          <w:highlight w:val="none"/>
        </w:rPr>
        <w:t>、技术</w:t>
      </w:r>
      <w:r>
        <w:rPr>
          <w:rFonts w:asciiTheme="minorEastAsia" w:hAnsiTheme="minorEastAsia" w:eastAsiaTheme="minorEastAsia"/>
          <w:szCs w:val="21"/>
          <w:highlight w:val="none"/>
        </w:rPr>
        <w:t>投标文件、</w:t>
      </w:r>
      <w:r>
        <w:rPr>
          <w:rFonts w:hint="eastAsia" w:asciiTheme="minorEastAsia" w:hAnsiTheme="minorEastAsia" w:eastAsiaTheme="minorEastAsia"/>
          <w:szCs w:val="21"/>
          <w:highlight w:val="none"/>
        </w:rPr>
        <w:t>价格投标文件）及唱标信封至招标文件规定的投标地点。</w:t>
      </w:r>
    </w:p>
    <w:p>
      <w:pPr>
        <w:pStyle w:val="40"/>
        <w:adjustRightInd w:val="0"/>
        <w:snapToGrid w:val="0"/>
        <w:spacing w:after="0" w:line="360" w:lineRule="auto"/>
        <w:ind w:firstLine="457" w:firstLineChars="218"/>
        <w:rPr>
          <w:rFonts w:asciiTheme="minorEastAsia" w:hAnsiTheme="minorEastAsia" w:eastAsiaTheme="minorEastAsia"/>
          <w:b w:val="0"/>
          <w:color w:val="auto"/>
          <w:spacing w:val="0"/>
          <w:szCs w:val="21"/>
          <w:highlight w:val="none"/>
        </w:rPr>
      </w:pPr>
      <w:r>
        <w:rPr>
          <w:rFonts w:asciiTheme="minorEastAsia" w:hAnsiTheme="minorEastAsia" w:eastAsiaTheme="minorEastAsia"/>
          <w:b w:val="0"/>
          <w:color w:val="000000"/>
          <w:spacing w:val="0"/>
          <w:szCs w:val="21"/>
          <w:highlight w:val="none"/>
        </w:rPr>
        <w:t>7.3.2</w:t>
      </w:r>
      <w:r>
        <w:rPr>
          <w:rFonts w:hint="eastAsia" w:asciiTheme="minorEastAsia" w:hAnsiTheme="minorEastAsia" w:eastAsiaTheme="minorEastAsia"/>
          <w:b w:val="0"/>
          <w:color w:val="000000"/>
          <w:spacing w:val="0"/>
          <w:szCs w:val="21"/>
          <w:highlight w:val="none"/>
        </w:rPr>
        <w:t>经确认无误后，由招标代理在监督部门人员见证下当众拆封，宣读：</w:t>
      </w:r>
      <w:r>
        <w:rPr>
          <w:rFonts w:asciiTheme="minorEastAsia" w:hAnsiTheme="minorEastAsia" w:eastAsiaTheme="minorEastAsia"/>
          <w:b w:val="0"/>
          <w:color w:val="000000"/>
          <w:spacing w:val="0"/>
          <w:szCs w:val="21"/>
          <w:highlight w:val="none"/>
        </w:rPr>
        <w:t>a、投标人名称；b、投标文件密封情况；c、投标文件数量；d、投标保证金； e、法定代表人证明及授权委托</w:t>
      </w:r>
      <w:r>
        <w:rPr>
          <w:rFonts w:hint="eastAsia" w:asciiTheme="minorEastAsia" w:hAnsiTheme="minorEastAsia" w:eastAsiaTheme="minorEastAsia"/>
          <w:b w:val="0"/>
          <w:color w:val="000000"/>
          <w:spacing w:val="0"/>
          <w:szCs w:val="21"/>
          <w:highlight w:val="none"/>
        </w:rPr>
        <w:t>；</w:t>
      </w:r>
      <w:r>
        <w:rPr>
          <w:rFonts w:asciiTheme="minorEastAsia" w:hAnsiTheme="minorEastAsia" w:eastAsiaTheme="minorEastAsia"/>
          <w:b w:val="0"/>
          <w:color w:val="000000"/>
          <w:spacing w:val="0"/>
          <w:szCs w:val="21"/>
          <w:highlight w:val="none"/>
        </w:rPr>
        <w:t>f</w:t>
      </w:r>
      <w:r>
        <w:rPr>
          <w:rFonts w:hint="eastAsia" w:asciiTheme="minorEastAsia" w:hAnsiTheme="minorEastAsia" w:eastAsiaTheme="minorEastAsia"/>
          <w:b w:val="0"/>
          <w:color w:val="000000"/>
          <w:spacing w:val="0"/>
          <w:szCs w:val="21"/>
          <w:highlight w:val="none"/>
        </w:rPr>
        <w:t>、投标报价等主要内容及开标记录表中的其他必要内容。如</w:t>
      </w:r>
      <w:r>
        <w:rPr>
          <w:rFonts w:hint="eastAsia"/>
          <w:b w:val="0"/>
          <w:color w:val="auto"/>
          <w:spacing w:val="0"/>
          <w:szCs w:val="21"/>
          <w:highlight w:val="none"/>
        </w:rPr>
        <w:t>投标报价以数字和文字两种方式表述的，应宣读文字表述的投标报价。</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7.4招标代理对开标过程进行记录，并存档备查，投标人在开标记录上签字。未参加开标会议的投标人视为其认可开标程序和结果。</w:t>
      </w:r>
    </w:p>
    <w:p>
      <w:pP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7.5招标代理将上述符合要求的投标文件，送至评标委员会进行评审。</w:t>
      </w:r>
    </w:p>
    <w:p>
      <w:pPr>
        <w:pStyle w:val="3"/>
        <w:numPr>
          <w:ilvl w:val="0"/>
          <w:numId w:val="0"/>
        </w:numPr>
        <w:snapToGrid w:val="0"/>
        <w:spacing w:after="120" w:line="360" w:lineRule="auto"/>
        <w:ind w:left="454"/>
        <w:jc w:val="left"/>
        <w:rPr>
          <w:rFonts w:asciiTheme="minorEastAsia" w:hAnsiTheme="minorEastAsia" w:eastAsiaTheme="minorEastAsia"/>
          <w:bCs/>
          <w:color w:val="000000"/>
          <w:sz w:val="21"/>
          <w:szCs w:val="21"/>
          <w:highlight w:val="none"/>
        </w:rPr>
      </w:pPr>
      <w:bookmarkStart w:id="352" w:name="_Toc489230094"/>
      <w:bookmarkStart w:id="353" w:name="_Toc13420"/>
      <w:bookmarkStart w:id="354" w:name="_Toc26887"/>
      <w:bookmarkStart w:id="355" w:name="_Toc20329"/>
      <w:bookmarkStart w:id="356" w:name="_Toc6985"/>
      <w:bookmarkStart w:id="357" w:name="_Toc10689"/>
      <w:r>
        <w:rPr>
          <w:rFonts w:asciiTheme="minorEastAsia" w:hAnsiTheme="minorEastAsia" w:eastAsiaTheme="minorEastAsia"/>
          <w:color w:val="000000"/>
          <w:sz w:val="21"/>
          <w:szCs w:val="21"/>
          <w:highlight w:val="none"/>
        </w:rPr>
        <w:t xml:space="preserve">8. </w:t>
      </w:r>
      <w:r>
        <w:rPr>
          <w:rFonts w:hint="eastAsia" w:asciiTheme="minorEastAsia" w:hAnsiTheme="minorEastAsia" w:eastAsiaTheme="minorEastAsia"/>
          <w:color w:val="000000"/>
          <w:sz w:val="21"/>
          <w:szCs w:val="21"/>
          <w:highlight w:val="none"/>
        </w:rPr>
        <w:t>评标细则</w:t>
      </w:r>
      <w:bookmarkEnd w:id="352"/>
      <w:bookmarkEnd w:id="353"/>
      <w:bookmarkEnd w:id="354"/>
      <w:bookmarkEnd w:id="355"/>
      <w:bookmarkEnd w:id="356"/>
      <w:bookmarkEnd w:id="357"/>
    </w:p>
    <w:p>
      <w:pPr>
        <w:adjustRightInd w:val="0"/>
        <w:snapToGrid w:val="0"/>
        <w:spacing w:line="360" w:lineRule="auto"/>
        <w:ind w:firstLine="457" w:firstLineChars="218"/>
        <w:rPr>
          <w:szCs w:val="21"/>
          <w:highlight w:val="none"/>
        </w:rPr>
      </w:pPr>
      <w:r>
        <w:rPr>
          <w:rFonts w:ascii="宋体" w:hAnsi="宋体"/>
          <w:szCs w:val="21"/>
          <w:highlight w:val="none"/>
        </w:rPr>
        <w:t>8.1</w:t>
      </w:r>
      <w:r>
        <w:rPr>
          <w:rFonts w:hint="eastAsia"/>
          <w:szCs w:val="21"/>
          <w:highlight w:val="none"/>
        </w:rPr>
        <w:t>评标委员会的组成，由招标代理依法组建。</w:t>
      </w:r>
    </w:p>
    <w:p>
      <w:pPr>
        <w:adjustRightInd w:val="0"/>
        <w:snapToGrid w:val="0"/>
        <w:spacing w:line="360" w:lineRule="auto"/>
        <w:ind w:firstLine="457" w:firstLineChars="218"/>
        <w:rPr>
          <w:rFonts w:ascii="宋体" w:hAnsi="宋体"/>
          <w:szCs w:val="21"/>
          <w:highlight w:val="none"/>
        </w:rPr>
      </w:pPr>
      <w:r>
        <w:rPr>
          <w:rFonts w:ascii="宋体" w:hAnsi="宋体"/>
          <w:szCs w:val="21"/>
          <w:highlight w:val="none"/>
        </w:rPr>
        <w:t>8.2权重分配：本项目具体的</w:t>
      </w:r>
      <w:r>
        <w:rPr>
          <w:rFonts w:hint="eastAsia" w:ascii="宋体" w:hAnsi="宋体"/>
          <w:szCs w:val="21"/>
          <w:highlight w:val="none"/>
        </w:rPr>
        <w:t>商务技术标、经济标权重由招标人在《投标人须知前附表》中明确。</w:t>
      </w:r>
    </w:p>
    <w:p>
      <w:pPr>
        <w:adjustRightInd w:val="0"/>
        <w:snapToGrid w:val="0"/>
        <w:spacing w:line="360" w:lineRule="auto"/>
        <w:ind w:firstLine="457" w:firstLineChars="218"/>
        <w:rPr>
          <w:rFonts w:ascii="宋体" w:hAnsi="宋体"/>
          <w:szCs w:val="21"/>
          <w:highlight w:val="none"/>
        </w:rPr>
      </w:pPr>
      <w:r>
        <w:rPr>
          <w:rFonts w:ascii="宋体" w:hAnsi="宋体"/>
          <w:szCs w:val="21"/>
          <w:highlight w:val="none"/>
        </w:rPr>
        <w:t>8.3</w:t>
      </w:r>
      <w:r>
        <w:rPr>
          <w:rFonts w:hint="eastAsia" w:ascii="宋体" w:hAnsi="宋体"/>
          <w:szCs w:val="21"/>
          <w:highlight w:val="none"/>
        </w:rPr>
        <w:t>资格审查：商务标书中的资格审查申请文件完全满足本办法附表1《资格审查表》中情形的，通过资格审查，否则不通过资格审查，未通过资格审查的投标人的投标文件将不能参与后续评审。如评标委员会的评审意见不一致时，以评标委员会过半数成员的意见作为评标委员会对该情形的认定结论。资格审查结束，评标委员会应编写资格审查报告。通过资格审查的投标人少于3名时，招标人应依法重新招标。</w:t>
      </w:r>
    </w:p>
    <w:p>
      <w:pPr>
        <w:adjustRightInd w:val="0"/>
        <w:snapToGrid w:val="0"/>
        <w:spacing w:line="360" w:lineRule="auto"/>
        <w:ind w:firstLine="457" w:firstLineChars="218"/>
        <w:rPr>
          <w:rFonts w:ascii="宋体" w:hAnsi="宋体"/>
          <w:szCs w:val="21"/>
          <w:highlight w:val="none"/>
        </w:rPr>
      </w:pPr>
      <w:r>
        <w:rPr>
          <w:rFonts w:ascii="宋体" w:hAnsi="宋体"/>
          <w:szCs w:val="21"/>
          <w:highlight w:val="none"/>
        </w:rPr>
        <w:t>8.4</w:t>
      </w:r>
      <w:r>
        <w:rPr>
          <w:rFonts w:hint="eastAsia" w:ascii="宋体" w:hAnsi="宋体"/>
          <w:szCs w:val="21"/>
          <w:highlight w:val="none"/>
        </w:rPr>
        <w:t>商务、技术标有效性审查：商务、技术标投标文件完全满足本办法附表</w:t>
      </w:r>
      <w:r>
        <w:rPr>
          <w:rFonts w:ascii="宋体" w:hAnsi="宋体"/>
          <w:szCs w:val="21"/>
          <w:highlight w:val="none"/>
        </w:rPr>
        <w:t>2《</w:t>
      </w:r>
      <w:r>
        <w:rPr>
          <w:rFonts w:hint="eastAsia" w:ascii="宋体" w:hAnsi="宋体"/>
          <w:szCs w:val="21"/>
          <w:highlight w:val="none"/>
        </w:rPr>
        <w:t>商务、技术标有效性审查表》中情形的，为有效标书。否则为无效标书，经评标委员会认定后，其投标文件将被拒绝。如评标委员会成员的评审意见不一致时，以评标委员会过半数成员的意见作为评标委员会对该情形的认定结论。通过商务、技术标有效性审查的投标人少于</w:t>
      </w:r>
      <w:r>
        <w:rPr>
          <w:rFonts w:ascii="宋体" w:hAnsi="宋体"/>
          <w:szCs w:val="21"/>
          <w:highlight w:val="none"/>
        </w:rPr>
        <w:t>3名时，招标人应依法重新招标。</w:t>
      </w:r>
    </w:p>
    <w:p>
      <w:pPr>
        <w:spacing w:line="360" w:lineRule="auto"/>
        <w:ind w:firstLine="420" w:firstLineChars="200"/>
        <w:rPr>
          <w:rFonts w:ascii="宋体" w:hAnsi="宋体"/>
          <w:szCs w:val="21"/>
          <w:highlight w:val="none"/>
        </w:rPr>
      </w:pPr>
      <w:r>
        <w:rPr>
          <w:rFonts w:ascii="宋体" w:hAnsi="宋体"/>
          <w:szCs w:val="21"/>
          <w:highlight w:val="none"/>
        </w:rPr>
        <w:t>8.5经济标的有效性审查：通过</w:t>
      </w:r>
      <w:r>
        <w:rPr>
          <w:rFonts w:hint="eastAsia" w:ascii="宋体" w:hAnsi="宋体"/>
          <w:szCs w:val="21"/>
          <w:highlight w:val="none"/>
        </w:rPr>
        <w:t>商务、技术标有效性审查的经济标投标文件完全满足本办法附表</w:t>
      </w:r>
      <w:r>
        <w:rPr>
          <w:rFonts w:ascii="宋体" w:hAnsi="宋体"/>
          <w:szCs w:val="21"/>
          <w:highlight w:val="none"/>
        </w:rPr>
        <w:t>3《经济标有效性审查表》中情形的，为有效标书。否则为无效标书，经评标委员会认定后，其投标文件将不能参与后续评审。如评标委员会成员的评审意见不一致时，以评标委员会过半数成员的意见作为评标委员会对该情形的认定结论。通过经济标有效性审查的投标人少于3名时，招标人应依法重新招标。</w:t>
      </w:r>
    </w:p>
    <w:p>
      <w:pPr>
        <w:spacing w:line="360" w:lineRule="auto"/>
        <w:ind w:firstLine="420" w:firstLineChars="200"/>
        <w:rPr>
          <w:rFonts w:ascii="宋体" w:hAnsi="宋体"/>
          <w:szCs w:val="21"/>
          <w:highlight w:val="none"/>
        </w:rPr>
      </w:pPr>
      <w:r>
        <w:rPr>
          <w:rFonts w:ascii="宋体" w:hAnsi="宋体"/>
          <w:szCs w:val="21"/>
          <w:highlight w:val="none"/>
        </w:rPr>
        <w:t>8.6</w:t>
      </w:r>
      <w:r>
        <w:rPr>
          <w:rFonts w:hint="eastAsia" w:ascii="宋体" w:hAnsi="宋体"/>
          <w:szCs w:val="21"/>
          <w:highlight w:val="none"/>
        </w:rPr>
        <w:t>商务、技术标详细审查评分：评标委员会按照本办法附表</w:t>
      </w:r>
      <w:r>
        <w:rPr>
          <w:rFonts w:ascii="宋体" w:hAnsi="宋体"/>
          <w:szCs w:val="21"/>
          <w:highlight w:val="none"/>
        </w:rPr>
        <w:t>4《</w:t>
      </w:r>
      <w:r>
        <w:rPr>
          <w:rFonts w:hint="eastAsia" w:ascii="宋体" w:hAnsi="宋体"/>
          <w:szCs w:val="21"/>
          <w:highlight w:val="none"/>
        </w:rPr>
        <w:t>商务、技术标详细审查评分标准》对通过有效性审查的投标文件商务、技术标进行详细审查，评出商务、技术分；投标人商务、技术得分为所有评委的总评分的算术平均分。</w:t>
      </w:r>
    </w:p>
    <w:p>
      <w:pPr>
        <w:adjustRightInd w:val="0"/>
        <w:snapToGrid w:val="0"/>
        <w:spacing w:line="360" w:lineRule="auto"/>
        <w:ind w:firstLine="457" w:firstLineChars="218"/>
        <w:rPr>
          <w:rFonts w:ascii="宋体" w:hAnsi="宋体"/>
          <w:szCs w:val="21"/>
          <w:highlight w:val="none"/>
        </w:rPr>
      </w:pPr>
      <w:r>
        <w:rPr>
          <w:rFonts w:ascii="宋体" w:hAnsi="宋体"/>
          <w:szCs w:val="21"/>
          <w:highlight w:val="none"/>
        </w:rPr>
        <w:t>8.7经济标的算术校核：评标委员会对进行经济标有效性审查的投标文件投标报价按照就低不就高的原则进行算术校核，具体标准如下：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1）如果数字表示的金额和用文字表示的金额不一致时，应以文字表示的金额为准；</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2）经算术复核的中标候选人报价与其投标报价不一致时，按就低不就高原则确定其最终报价；</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3）按就低不就高原则，当修正后报价小于原报价，按修正后报价；当修正后报价大于原报价，按原报价，并在签订合同时载明在结算价中扣除修正报价与原报价的差额；</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4）按上述修正错误的原则及方法调整或修正投标文件的投标报价，调整后的投标报价对投标人起约束作用。如果投标人不接受修正后的报价，则取消其投标资格，并且其投标担保也将不予退还。</w:t>
      </w:r>
    </w:p>
    <w:p>
      <w:pPr>
        <w:spacing w:line="360" w:lineRule="auto"/>
        <w:ind w:firstLine="420" w:firstLineChars="200"/>
        <w:rPr>
          <w:rFonts w:ascii="宋体" w:hAnsi="宋体"/>
          <w:szCs w:val="21"/>
          <w:highlight w:val="none"/>
        </w:rPr>
      </w:pPr>
      <w:r>
        <w:rPr>
          <w:rFonts w:ascii="宋体" w:hAnsi="宋体"/>
          <w:szCs w:val="21"/>
          <w:highlight w:val="none"/>
        </w:rPr>
        <w:t xml:space="preserve">8.8 </w:t>
      </w:r>
      <w:r>
        <w:rPr>
          <w:rFonts w:hint="eastAsia" w:ascii="宋体" w:hAnsi="宋体"/>
          <w:szCs w:val="21"/>
          <w:highlight w:val="none"/>
        </w:rPr>
        <w:t>经济标的评标参考价及评审价：</w:t>
      </w:r>
    </w:p>
    <w:p>
      <w:pPr>
        <w:spacing w:line="360" w:lineRule="auto"/>
        <w:ind w:firstLine="420" w:firstLineChars="200"/>
        <w:rPr>
          <w:rFonts w:ascii="宋体" w:hAnsi="宋体"/>
          <w:szCs w:val="21"/>
          <w:highlight w:val="none"/>
        </w:rPr>
      </w:pPr>
      <w:r>
        <w:rPr>
          <w:rFonts w:ascii="宋体" w:hAnsi="宋体"/>
          <w:szCs w:val="21"/>
          <w:highlight w:val="none"/>
        </w:rPr>
        <w:t>8.8.1</w:t>
      </w:r>
      <w:r>
        <w:rPr>
          <w:rFonts w:hint="eastAsia" w:ascii="宋体" w:hAnsi="宋体"/>
          <w:szCs w:val="21"/>
          <w:highlight w:val="none"/>
        </w:rPr>
        <w:t>评标参考价：以通过资格及有效性评审的各投标人的</w:t>
      </w:r>
      <w:r>
        <w:rPr>
          <w:rFonts w:hint="eastAsia" w:ascii="宋体" w:hAnsi="宋体"/>
          <w:b/>
          <w:bCs/>
          <w:szCs w:val="21"/>
          <w:highlight w:val="none"/>
        </w:rPr>
        <w:t>评审价的最低价</w:t>
      </w:r>
      <w:r>
        <w:rPr>
          <w:rFonts w:hint="eastAsia" w:ascii="宋体" w:hAnsi="宋体"/>
          <w:szCs w:val="21"/>
          <w:highlight w:val="none"/>
        </w:rPr>
        <w:t>为评标参考价。</w:t>
      </w:r>
    </w:p>
    <w:p>
      <w:pPr>
        <w:spacing w:line="360" w:lineRule="auto"/>
        <w:ind w:firstLine="420" w:firstLineChars="200"/>
        <w:rPr>
          <w:rFonts w:ascii="宋体" w:hAnsi="宋体"/>
          <w:szCs w:val="21"/>
          <w:highlight w:val="none"/>
        </w:rPr>
      </w:pPr>
      <w:r>
        <w:rPr>
          <w:rFonts w:ascii="宋体" w:hAnsi="宋体"/>
          <w:szCs w:val="21"/>
          <w:highlight w:val="none"/>
        </w:rPr>
        <w:t>8.8.2</w:t>
      </w:r>
      <w:r>
        <w:rPr>
          <w:rFonts w:hint="eastAsia" w:ascii="宋体" w:hAnsi="宋体"/>
          <w:szCs w:val="21"/>
          <w:highlight w:val="none"/>
        </w:rPr>
        <w:t>评审价：</w:t>
      </w:r>
      <w:r>
        <w:rPr>
          <w:rFonts w:hint="eastAsia" w:ascii="宋体" w:hAnsi="宋体" w:cs="宋体"/>
          <w:color w:val="000000"/>
          <w:szCs w:val="21"/>
          <w:highlight w:val="none"/>
          <w:shd w:val="clear" w:color="auto" w:fill="FFFFFF"/>
        </w:rPr>
        <w:t>可开具增值税专用发票的报价按不含税投标总报价作为评审价，开具其他类型发票的报价按含税投标总报价作为评审价。</w:t>
      </w:r>
    </w:p>
    <w:p>
      <w:pPr>
        <w:spacing w:line="360" w:lineRule="auto"/>
        <w:ind w:firstLine="420" w:firstLineChars="200"/>
        <w:rPr>
          <w:rFonts w:ascii="宋体" w:hAnsi="宋体"/>
          <w:szCs w:val="21"/>
          <w:highlight w:val="none"/>
        </w:rPr>
      </w:pPr>
      <w:r>
        <w:rPr>
          <w:rFonts w:ascii="宋体" w:hAnsi="宋体"/>
          <w:szCs w:val="21"/>
          <w:highlight w:val="none"/>
        </w:rPr>
        <w:t>8.9经济标的评分：</w:t>
      </w:r>
      <w:r>
        <w:rPr>
          <w:rFonts w:hint="eastAsia" w:ascii="宋体" w:hAnsi="宋体"/>
          <w:szCs w:val="21"/>
          <w:highlight w:val="none"/>
        </w:rPr>
        <w:t>通过资格及有效性评审的各投标人的评审价的最低价为评标参考价，其价格评审得分为</w:t>
      </w:r>
      <w:r>
        <w:rPr>
          <w:rFonts w:ascii="宋体" w:hAnsi="宋体"/>
          <w:szCs w:val="21"/>
          <w:highlight w:val="none"/>
        </w:rPr>
        <w:t>100分；</w:t>
      </w:r>
      <w:r>
        <w:rPr>
          <w:rFonts w:hint="eastAsia" w:ascii="宋体" w:hAnsi="宋体"/>
          <w:szCs w:val="21"/>
          <w:highlight w:val="none"/>
        </w:rPr>
        <w:t>其</w:t>
      </w:r>
      <w:r>
        <w:rPr>
          <w:rFonts w:ascii="宋体" w:hAnsi="宋体"/>
          <w:szCs w:val="21"/>
          <w:highlight w:val="none"/>
        </w:rPr>
        <w:t>余投标人的价格评审得分为：（</w:t>
      </w:r>
      <w:r>
        <w:rPr>
          <w:rFonts w:hint="eastAsia" w:ascii="宋体" w:hAnsi="宋体"/>
          <w:szCs w:val="21"/>
          <w:highlight w:val="none"/>
        </w:rPr>
        <w:t>评标参考价</w:t>
      </w:r>
      <w:r>
        <w:rPr>
          <w:rFonts w:ascii="宋体" w:hAnsi="宋体"/>
          <w:szCs w:val="21"/>
          <w:highlight w:val="none"/>
        </w:rPr>
        <w:t>÷</w:t>
      </w:r>
      <w:r>
        <w:rPr>
          <w:rFonts w:hint="eastAsia" w:ascii="宋体" w:hAnsi="宋体"/>
          <w:szCs w:val="21"/>
          <w:highlight w:val="none"/>
        </w:rPr>
        <w:t>相应投标人的评审价）×100</w:t>
      </w:r>
      <w:r>
        <w:rPr>
          <w:rFonts w:ascii="宋体" w:hAnsi="宋体"/>
          <w:szCs w:val="21"/>
          <w:highlight w:val="none"/>
        </w:rPr>
        <w:t>。</w:t>
      </w:r>
    </w:p>
    <w:p>
      <w:pPr>
        <w:spacing w:line="360" w:lineRule="auto"/>
        <w:ind w:firstLine="420" w:firstLineChars="200"/>
        <w:rPr>
          <w:rFonts w:ascii="宋体" w:hAnsi="宋体"/>
          <w:szCs w:val="21"/>
          <w:highlight w:val="none"/>
        </w:rPr>
      </w:pPr>
      <w:bookmarkStart w:id="358" w:name="_Toc17853"/>
      <w:bookmarkStart w:id="359" w:name="_Toc1479"/>
      <w:bookmarkStart w:id="360" w:name="_Toc20520"/>
      <w:r>
        <w:rPr>
          <w:rFonts w:ascii="宋体" w:hAnsi="宋体"/>
          <w:szCs w:val="21"/>
          <w:highlight w:val="none"/>
        </w:rPr>
        <w:t xml:space="preserve">8.10 </w:t>
      </w:r>
      <w:r>
        <w:rPr>
          <w:rFonts w:hint="eastAsia" w:ascii="宋体" w:hAnsi="宋体"/>
          <w:szCs w:val="21"/>
          <w:highlight w:val="none"/>
        </w:rPr>
        <w:t>评标委员会按照“总分</w:t>
      </w:r>
      <w:r>
        <w:rPr>
          <w:rFonts w:ascii="宋体" w:hAnsi="宋体"/>
          <w:szCs w:val="21"/>
          <w:highlight w:val="none"/>
        </w:rPr>
        <w:t>=</w:t>
      </w:r>
      <w:r>
        <w:rPr>
          <w:rFonts w:hint="eastAsia" w:ascii="宋体" w:hAnsi="宋体"/>
          <w:szCs w:val="21"/>
          <w:highlight w:val="none"/>
        </w:rPr>
        <w:t>商务技术分×商务技术分权重</w:t>
      </w:r>
      <w:r>
        <w:rPr>
          <w:rFonts w:ascii="宋体" w:hAnsi="宋体"/>
          <w:szCs w:val="21"/>
          <w:highlight w:val="none"/>
        </w:rPr>
        <w:t>+</w:t>
      </w:r>
      <w:r>
        <w:rPr>
          <w:rFonts w:hint="eastAsia" w:ascii="宋体" w:hAnsi="宋体"/>
          <w:szCs w:val="21"/>
          <w:highlight w:val="none"/>
        </w:rPr>
        <w:t>价格分×价格分权重”的公式计算上述</w:t>
      </w:r>
      <w:r>
        <w:rPr>
          <w:rFonts w:ascii="宋体" w:hAnsi="宋体"/>
          <w:szCs w:val="21"/>
          <w:highlight w:val="none"/>
        </w:rPr>
        <w:t>8.9款所述的有效投标文件的总分，</w:t>
      </w:r>
      <w:r>
        <w:rPr>
          <w:rFonts w:hint="eastAsia" w:ascii="宋体" w:hAnsi="宋体"/>
          <w:szCs w:val="21"/>
          <w:highlight w:val="none"/>
        </w:rPr>
        <w:t>并按照总分从高到低排列先后次序，向招标人推荐前</w:t>
      </w:r>
      <w:r>
        <w:rPr>
          <w:rFonts w:ascii="宋体" w:hAnsi="宋体"/>
          <w:szCs w:val="21"/>
          <w:highlight w:val="none"/>
        </w:rPr>
        <w:t>3</w:t>
      </w:r>
      <w:r>
        <w:rPr>
          <w:rFonts w:hint="eastAsia" w:ascii="宋体" w:hAnsi="宋体"/>
          <w:szCs w:val="21"/>
          <w:highlight w:val="none"/>
        </w:rPr>
        <w:t>名投标人依次为第一中标候选人至第三中标候选人</w:t>
      </w:r>
      <w:r>
        <w:rPr>
          <w:rFonts w:ascii="宋体" w:hAnsi="宋体"/>
          <w:szCs w:val="21"/>
          <w:highlight w:val="none"/>
        </w:rPr>
        <w:t>,</w:t>
      </w:r>
      <w:r>
        <w:rPr>
          <w:rFonts w:hint="eastAsia" w:ascii="宋体" w:hAnsi="宋体"/>
          <w:szCs w:val="21"/>
          <w:highlight w:val="none"/>
        </w:rPr>
        <w:t>并编写评标报告。总分相同的</w:t>
      </w:r>
      <w:r>
        <w:rPr>
          <w:rFonts w:ascii="宋体" w:hAnsi="宋体"/>
          <w:szCs w:val="21"/>
          <w:highlight w:val="none"/>
        </w:rPr>
        <w:t>,</w:t>
      </w:r>
      <w:r>
        <w:rPr>
          <w:rFonts w:hint="eastAsia" w:ascii="宋体" w:hAnsi="宋体"/>
          <w:szCs w:val="21"/>
          <w:highlight w:val="none"/>
        </w:rPr>
        <w:t>价格得分高的排先</w:t>
      </w:r>
      <w:r>
        <w:rPr>
          <w:rFonts w:ascii="宋体" w:hAnsi="宋体"/>
          <w:szCs w:val="21"/>
          <w:highlight w:val="none"/>
        </w:rPr>
        <w:t>,</w:t>
      </w:r>
      <w:r>
        <w:rPr>
          <w:rFonts w:hint="eastAsia" w:ascii="宋体" w:hAnsi="宋体"/>
          <w:szCs w:val="21"/>
          <w:highlight w:val="none"/>
        </w:rPr>
        <w:t>总分和价格分都相同的</w:t>
      </w:r>
      <w:r>
        <w:rPr>
          <w:rFonts w:ascii="宋体" w:hAnsi="宋体"/>
          <w:szCs w:val="21"/>
          <w:highlight w:val="none"/>
        </w:rPr>
        <w:t>,</w:t>
      </w:r>
      <w:r>
        <w:rPr>
          <w:rFonts w:hint="eastAsia" w:ascii="宋体" w:hAnsi="宋体"/>
          <w:szCs w:val="21"/>
          <w:highlight w:val="none"/>
        </w:rPr>
        <w:t>由评标委员会采用少数服从多数方式确定排序的先后。</w:t>
      </w:r>
      <w:bookmarkEnd w:id="358"/>
      <w:bookmarkEnd w:id="359"/>
      <w:bookmarkEnd w:id="360"/>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3"/>
        <w:numPr>
          <w:ilvl w:val="0"/>
          <w:numId w:val="0"/>
        </w:numPr>
        <w:snapToGrid w:val="0"/>
        <w:spacing w:before="120" w:after="120"/>
        <w:jc w:val="left"/>
        <w:rPr>
          <w:sz w:val="24"/>
          <w:szCs w:val="24"/>
          <w:highlight w:val="none"/>
        </w:rPr>
      </w:pPr>
      <w:bookmarkStart w:id="361" w:name="_Toc24824"/>
      <w:bookmarkStart w:id="362" w:name="_Toc20322"/>
      <w:bookmarkStart w:id="363" w:name="_Toc26904"/>
      <w:bookmarkStart w:id="364" w:name="_Toc766"/>
      <w:bookmarkStart w:id="365" w:name="_Toc19576"/>
      <w:bookmarkStart w:id="366" w:name="_Toc5720"/>
      <w:r>
        <w:rPr>
          <w:rFonts w:hint="eastAsia"/>
          <w:sz w:val="24"/>
          <w:szCs w:val="24"/>
          <w:highlight w:val="none"/>
        </w:rPr>
        <w:t>附表1：投标人资格审查表</w:t>
      </w:r>
      <w:bookmarkEnd w:id="361"/>
      <w:bookmarkEnd w:id="362"/>
      <w:bookmarkEnd w:id="363"/>
      <w:bookmarkEnd w:id="364"/>
      <w:bookmarkEnd w:id="365"/>
      <w:bookmarkEnd w:id="366"/>
    </w:p>
    <w:p>
      <w:pPr>
        <w:snapToGrid w:val="0"/>
        <w:spacing w:line="360" w:lineRule="auto"/>
        <w:rPr>
          <w:rFonts w:ascii="宋体" w:hAnsi="宋体"/>
          <w:szCs w:val="21"/>
          <w:highlight w:val="none"/>
        </w:rPr>
      </w:pPr>
      <w:r>
        <w:rPr>
          <w:rFonts w:hint="eastAsia" w:ascii="宋体" w:hAnsi="宋体"/>
          <w:szCs w:val="21"/>
          <w:highlight w:val="none"/>
        </w:rPr>
        <w:t>项目名称：</w:t>
      </w:r>
      <w:r>
        <w:rPr>
          <w:rFonts w:hint="eastAsia"/>
          <w:color w:val="000000"/>
          <w:highlight w:val="none"/>
        </w:rPr>
        <w:t>佛山市恒益环保建材有限公司加气砌块生产辅助业务外委采购项目</w:t>
      </w:r>
    </w:p>
    <w:tbl>
      <w:tblPr>
        <w:tblStyle w:val="4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6469"/>
        <w:gridCol w:w="628"/>
        <w:gridCol w:w="612"/>
        <w:gridCol w:w="612"/>
        <w:gridCol w:w="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blHeader/>
        </w:trPr>
        <w:tc>
          <w:tcPr>
            <w:tcW w:w="398" w:type="dxa"/>
            <w:vAlign w:val="center"/>
          </w:tcPr>
          <w:p>
            <w:pPr>
              <w:tabs>
                <w:tab w:val="left" w:pos="720"/>
              </w:tabs>
              <w:autoSpaceDE w:val="0"/>
              <w:autoSpaceDN w:val="0"/>
              <w:adjustRightInd w:val="0"/>
              <w:snapToGrid w:val="0"/>
              <w:spacing w:line="360" w:lineRule="auto"/>
              <w:jc w:val="center"/>
              <w:rPr>
                <w:rFonts w:ascii="宋体" w:hAnsi="宋体"/>
                <w:szCs w:val="21"/>
                <w:highlight w:val="none"/>
              </w:rPr>
            </w:pPr>
            <w:r>
              <w:rPr>
                <w:rFonts w:hint="eastAsia" w:ascii="宋体" w:hAnsi="宋体"/>
                <w:szCs w:val="21"/>
                <w:highlight w:val="none"/>
              </w:rPr>
              <w:t>序号</w:t>
            </w:r>
          </w:p>
        </w:tc>
        <w:tc>
          <w:tcPr>
            <w:tcW w:w="6469" w:type="dxa"/>
            <w:tcBorders>
              <w:tl2br w:val="single" w:color="auto" w:sz="4" w:space="0"/>
            </w:tcBorders>
          </w:tcPr>
          <w:p>
            <w:pPr>
              <w:tabs>
                <w:tab w:val="left" w:pos="720"/>
              </w:tabs>
              <w:autoSpaceDE w:val="0"/>
              <w:autoSpaceDN w:val="0"/>
              <w:adjustRightInd w:val="0"/>
              <w:snapToGrid w:val="0"/>
              <w:spacing w:line="360" w:lineRule="auto"/>
              <w:ind w:firstLine="840" w:firstLineChars="400"/>
              <w:jc w:val="center"/>
              <w:rPr>
                <w:rFonts w:ascii="宋体" w:hAnsi="宋体"/>
                <w:szCs w:val="21"/>
                <w:highlight w:val="none"/>
              </w:rPr>
            </w:pPr>
            <w:r>
              <w:rPr>
                <w:rFonts w:hint="eastAsia" w:ascii="宋体" w:hAnsi="宋体"/>
                <w:szCs w:val="21"/>
                <w:highlight w:val="none"/>
              </w:rPr>
              <w:t>投标单位</w:t>
            </w:r>
          </w:p>
          <w:p>
            <w:pPr>
              <w:tabs>
                <w:tab w:val="left" w:pos="720"/>
              </w:tabs>
              <w:autoSpaceDE w:val="0"/>
              <w:autoSpaceDN w:val="0"/>
              <w:adjustRightInd w:val="0"/>
              <w:snapToGrid w:val="0"/>
              <w:spacing w:line="360" w:lineRule="auto"/>
              <w:rPr>
                <w:rFonts w:ascii="宋体" w:hAnsi="宋体"/>
                <w:szCs w:val="21"/>
                <w:highlight w:val="none"/>
              </w:rPr>
            </w:pPr>
            <w:r>
              <w:rPr>
                <w:rFonts w:hint="eastAsia" w:ascii="宋体" w:hAnsi="宋体"/>
                <w:szCs w:val="21"/>
                <w:highlight w:val="none"/>
              </w:rPr>
              <w:t>评审内容</w:t>
            </w:r>
          </w:p>
        </w:tc>
        <w:tc>
          <w:tcPr>
            <w:tcW w:w="628" w:type="dxa"/>
          </w:tcPr>
          <w:p>
            <w:pPr>
              <w:tabs>
                <w:tab w:val="left" w:pos="720"/>
              </w:tabs>
              <w:autoSpaceDE w:val="0"/>
              <w:autoSpaceDN w:val="0"/>
              <w:adjustRightInd w:val="0"/>
              <w:snapToGrid w:val="0"/>
              <w:spacing w:line="360" w:lineRule="auto"/>
              <w:rPr>
                <w:rFonts w:ascii="宋体" w:hAnsi="宋体"/>
                <w:b/>
                <w:szCs w:val="21"/>
                <w:highlight w:val="none"/>
              </w:rPr>
            </w:pPr>
          </w:p>
        </w:tc>
        <w:tc>
          <w:tcPr>
            <w:tcW w:w="612" w:type="dxa"/>
          </w:tcPr>
          <w:p>
            <w:pPr>
              <w:tabs>
                <w:tab w:val="left" w:pos="720"/>
              </w:tabs>
              <w:autoSpaceDE w:val="0"/>
              <w:autoSpaceDN w:val="0"/>
              <w:adjustRightInd w:val="0"/>
              <w:snapToGrid w:val="0"/>
              <w:spacing w:line="360" w:lineRule="auto"/>
              <w:rPr>
                <w:rFonts w:ascii="宋体" w:hAnsi="宋体"/>
                <w:b/>
                <w:szCs w:val="21"/>
                <w:highlight w:val="none"/>
              </w:rPr>
            </w:pPr>
          </w:p>
        </w:tc>
        <w:tc>
          <w:tcPr>
            <w:tcW w:w="612" w:type="dxa"/>
          </w:tcPr>
          <w:p>
            <w:pPr>
              <w:tabs>
                <w:tab w:val="left" w:pos="720"/>
              </w:tabs>
              <w:autoSpaceDE w:val="0"/>
              <w:autoSpaceDN w:val="0"/>
              <w:adjustRightInd w:val="0"/>
              <w:snapToGrid w:val="0"/>
              <w:spacing w:line="360" w:lineRule="auto"/>
              <w:rPr>
                <w:rFonts w:ascii="宋体" w:hAnsi="宋体"/>
                <w:b/>
                <w:szCs w:val="21"/>
                <w:highlight w:val="none"/>
              </w:rPr>
            </w:pPr>
          </w:p>
        </w:tc>
        <w:tc>
          <w:tcPr>
            <w:tcW w:w="523" w:type="dxa"/>
          </w:tcPr>
          <w:p>
            <w:pPr>
              <w:spacing w:line="360" w:lineRule="auto"/>
              <w:rPr>
                <w:rFonts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 w:type="dxa"/>
            <w:vAlign w:val="center"/>
          </w:tcPr>
          <w:p>
            <w:pPr>
              <w:tabs>
                <w:tab w:val="left" w:pos="720"/>
              </w:tabs>
              <w:autoSpaceDE w:val="0"/>
              <w:autoSpaceDN w:val="0"/>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6469" w:type="dxa"/>
            <w:vAlign w:val="center"/>
          </w:tcPr>
          <w:p>
            <w:pPr>
              <w:autoSpaceDE w:val="0"/>
              <w:autoSpaceDN w:val="0"/>
              <w:adjustRightInd w:val="0"/>
              <w:spacing w:line="276" w:lineRule="auto"/>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必须是在中华人民共和国范围内注册的独立法人，持有工商行政管理部门核发的有效营业执照，持有有效的组织机构代码证和税务登记证（含国税和地税），若投标人持有工商行政管理部门颁发的“一照一码”版本营业执照，则无需提交组织机构代码证及税务登记证；法定代表人</w:t>
            </w:r>
            <w:r>
              <w:rPr>
                <w:rFonts w:asciiTheme="minorEastAsia" w:hAnsiTheme="minorEastAsia" w:eastAsiaTheme="minorEastAsia"/>
                <w:szCs w:val="21"/>
                <w:highlight w:val="none"/>
              </w:rPr>
              <w:t>(或单位负责人）为同一人或者存在控股、管理关系的不同单位，不得同时参加本招标项目投标，否则相关投标均无效</w:t>
            </w:r>
            <w:r>
              <w:rPr>
                <w:rFonts w:hint="eastAsia" w:asciiTheme="minorEastAsia" w:hAnsiTheme="minorEastAsia" w:eastAsiaTheme="minorEastAsia"/>
                <w:szCs w:val="21"/>
                <w:highlight w:val="none"/>
              </w:rPr>
              <w:t>；前述资料须提供复印。</w:t>
            </w:r>
          </w:p>
        </w:tc>
        <w:tc>
          <w:tcPr>
            <w:tcW w:w="628"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523" w:type="dxa"/>
          </w:tcPr>
          <w:p>
            <w:pPr>
              <w:spacing w:line="360" w:lineRule="auto"/>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 w:type="dxa"/>
            <w:vAlign w:val="center"/>
          </w:tcPr>
          <w:p>
            <w:pPr>
              <w:tabs>
                <w:tab w:val="left" w:pos="720"/>
              </w:tabs>
              <w:autoSpaceDE w:val="0"/>
              <w:autoSpaceDN w:val="0"/>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6469" w:type="dxa"/>
            <w:vAlign w:val="center"/>
          </w:tcPr>
          <w:p>
            <w:pPr>
              <w:tabs>
                <w:tab w:val="left" w:pos="720"/>
              </w:tabs>
              <w:autoSpaceDE w:val="0"/>
              <w:autoSpaceDN w:val="0"/>
              <w:adjustRightInd w:val="0"/>
              <w:snapToGrid w:val="0"/>
              <w:spacing w:line="276"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按招标文件第六章“投标文件格式2”的内容和格式提供投标人声明。</w:t>
            </w:r>
          </w:p>
        </w:tc>
        <w:tc>
          <w:tcPr>
            <w:tcW w:w="628"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523" w:type="dxa"/>
          </w:tcPr>
          <w:p>
            <w:pPr>
              <w:spacing w:line="360" w:lineRule="auto"/>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98" w:type="dxa"/>
            <w:vAlign w:val="center"/>
          </w:tcPr>
          <w:p>
            <w:pPr>
              <w:tabs>
                <w:tab w:val="left" w:pos="720"/>
              </w:tabs>
              <w:autoSpaceDE w:val="0"/>
              <w:autoSpaceDN w:val="0"/>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6469" w:type="dxa"/>
            <w:vAlign w:val="center"/>
          </w:tcPr>
          <w:p>
            <w:pPr>
              <w:autoSpaceDE w:val="0"/>
              <w:autoSpaceDN w:val="0"/>
              <w:adjustRightInd w:val="0"/>
              <w:spacing w:line="276"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自2016年1月1日至投标文件递交截止日期止必须具有至少1个工矿企业生产辅助服务业绩，并且须在投标文件中提供上述项目的服务合同（提供合同关键页复印件，合同关键页应包括封面、签字盖章页及主要内容页，否则视同未提供该业绩，业绩有效时间以合同签订时间为准）；</w:t>
            </w:r>
          </w:p>
        </w:tc>
        <w:tc>
          <w:tcPr>
            <w:tcW w:w="628"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523" w:type="dxa"/>
          </w:tcPr>
          <w:p>
            <w:pPr>
              <w:spacing w:line="360" w:lineRule="auto"/>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 w:type="dxa"/>
            <w:vAlign w:val="center"/>
          </w:tcPr>
          <w:p>
            <w:pPr>
              <w:tabs>
                <w:tab w:val="left" w:pos="720"/>
              </w:tabs>
              <w:autoSpaceDE w:val="0"/>
              <w:autoSpaceDN w:val="0"/>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p>
        </w:tc>
        <w:tc>
          <w:tcPr>
            <w:tcW w:w="6469" w:type="dxa"/>
            <w:tcBorders>
              <w:bottom w:val="single" w:color="auto" w:sz="4" w:space="0"/>
            </w:tcBorders>
            <w:vAlign w:val="center"/>
          </w:tcPr>
          <w:p>
            <w:pPr>
              <w:tabs>
                <w:tab w:val="left" w:pos="720"/>
              </w:tabs>
              <w:autoSpaceDE w:val="0"/>
              <w:autoSpaceDN w:val="0"/>
              <w:adjustRightInd w:val="0"/>
              <w:snapToGrid w:val="0"/>
              <w:spacing w:line="276" w:lineRule="auto"/>
              <w:rPr>
                <w:rFonts w:asciiTheme="minorEastAsia" w:hAnsiTheme="minorEastAsia" w:eastAsiaTheme="minorEastAsia"/>
                <w:szCs w:val="21"/>
                <w:highlight w:val="none"/>
              </w:rPr>
            </w:pPr>
            <w:r>
              <w:rPr>
                <w:rFonts w:hint="eastAsia" w:ascii="宋体" w:hAnsi="宋体" w:cs="宋体"/>
                <w:kern w:val="0"/>
                <w:szCs w:val="21"/>
                <w:highlight w:val="none"/>
              </w:rPr>
              <w:t>投标人拟负责本</w:t>
            </w:r>
            <w:r>
              <w:rPr>
                <w:rFonts w:hint="eastAsia" w:ascii="宋体" w:hAnsi="宋体"/>
                <w:szCs w:val="21"/>
                <w:highlight w:val="none"/>
              </w:rPr>
              <w:t>项目的负责人</w:t>
            </w:r>
            <w:r>
              <w:rPr>
                <w:rFonts w:hint="eastAsia" w:asciiTheme="minorEastAsia" w:hAnsiTheme="minorEastAsia" w:eastAsiaTheme="minorEastAsia"/>
                <w:szCs w:val="21"/>
                <w:highlight w:val="none"/>
              </w:rPr>
              <w:t>必须具有</w:t>
            </w:r>
            <w:r>
              <w:rPr>
                <w:rFonts w:asciiTheme="minorEastAsia" w:hAnsiTheme="minorEastAsia" w:eastAsiaTheme="minorEastAsia"/>
                <w:szCs w:val="21"/>
                <w:highlight w:val="none"/>
              </w:rPr>
              <w:t>“安全管理人员培训合格证”或“生产经营单位负责人安全生产管理培训合格证”或“注册安全工程师证”其中之一；</w:t>
            </w:r>
            <w:r>
              <w:rPr>
                <w:rFonts w:hint="eastAsia" w:asciiTheme="minorEastAsia" w:hAnsiTheme="minorEastAsia" w:eastAsiaTheme="minorEastAsia"/>
                <w:szCs w:val="21"/>
                <w:highlight w:val="none"/>
              </w:rPr>
              <w:t>前述证书提供复印件。</w:t>
            </w:r>
          </w:p>
        </w:tc>
        <w:tc>
          <w:tcPr>
            <w:tcW w:w="628"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523" w:type="dxa"/>
          </w:tcPr>
          <w:p>
            <w:pPr>
              <w:spacing w:line="360" w:lineRule="auto"/>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 w:type="dxa"/>
            <w:vAlign w:val="center"/>
          </w:tcPr>
          <w:p>
            <w:pPr>
              <w:tabs>
                <w:tab w:val="left" w:pos="720"/>
              </w:tabs>
              <w:autoSpaceDE w:val="0"/>
              <w:autoSpaceDN w:val="0"/>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w:t>
            </w:r>
          </w:p>
        </w:tc>
        <w:tc>
          <w:tcPr>
            <w:tcW w:w="6469" w:type="dxa"/>
            <w:tcBorders>
              <w:bottom w:val="single" w:color="auto" w:sz="4" w:space="0"/>
            </w:tcBorders>
            <w:vAlign w:val="center"/>
          </w:tcPr>
          <w:p>
            <w:pPr>
              <w:tabs>
                <w:tab w:val="left" w:pos="720"/>
              </w:tabs>
              <w:autoSpaceDE w:val="0"/>
              <w:autoSpaceDN w:val="0"/>
              <w:adjustRightInd w:val="0"/>
              <w:snapToGrid w:val="0"/>
              <w:spacing w:line="276"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本项目不接受联合体投标。</w:t>
            </w:r>
          </w:p>
        </w:tc>
        <w:tc>
          <w:tcPr>
            <w:tcW w:w="628"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523" w:type="dxa"/>
          </w:tcPr>
          <w:p>
            <w:pPr>
              <w:spacing w:line="360" w:lineRule="auto"/>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 w:type="dxa"/>
            <w:vAlign w:val="center"/>
          </w:tcPr>
          <w:p>
            <w:pPr>
              <w:tabs>
                <w:tab w:val="left" w:pos="720"/>
              </w:tabs>
              <w:autoSpaceDE w:val="0"/>
              <w:autoSpaceDN w:val="0"/>
              <w:adjustRightInd w:val="0"/>
              <w:snapToGrid w:val="0"/>
              <w:spacing w:line="360" w:lineRule="auto"/>
              <w:jc w:val="center"/>
              <w:rPr>
                <w:rFonts w:asciiTheme="minorEastAsia" w:hAnsiTheme="minorEastAsia" w:eastAsiaTheme="minorEastAsia"/>
                <w:szCs w:val="21"/>
                <w:highlight w:val="none"/>
              </w:rPr>
            </w:pPr>
          </w:p>
        </w:tc>
        <w:tc>
          <w:tcPr>
            <w:tcW w:w="6469" w:type="dxa"/>
            <w:tcBorders>
              <w:bottom w:val="single" w:color="auto" w:sz="4" w:space="0"/>
            </w:tcBorders>
            <w:vAlign w:val="center"/>
          </w:tcPr>
          <w:p>
            <w:pPr>
              <w:tabs>
                <w:tab w:val="left" w:pos="720"/>
              </w:tabs>
              <w:autoSpaceDE w:val="0"/>
              <w:autoSpaceDN w:val="0"/>
              <w:adjustRightInd w:val="0"/>
              <w:snapToGrid w:val="0"/>
              <w:spacing w:line="276"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结论</w:t>
            </w:r>
          </w:p>
        </w:tc>
        <w:tc>
          <w:tcPr>
            <w:tcW w:w="628"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612" w:type="dxa"/>
          </w:tcPr>
          <w:p>
            <w:pPr>
              <w:tabs>
                <w:tab w:val="left" w:pos="720"/>
              </w:tabs>
              <w:autoSpaceDE w:val="0"/>
              <w:autoSpaceDN w:val="0"/>
              <w:adjustRightInd w:val="0"/>
              <w:snapToGrid w:val="0"/>
              <w:spacing w:line="360" w:lineRule="auto"/>
              <w:rPr>
                <w:rFonts w:asciiTheme="minorEastAsia" w:hAnsiTheme="minorEastAsia" w:eastAsiaTheme="minorEastAsia"/>
                <w:szCs w:val="21"/>
                <w:highlight w:val="none"/>
              </w:rPr>
            </w:pPr>
          </w:p>
        </w:tc>
        <w:tc>
          <w:tcPr>
            <w:tcW w:w="523" w:type="dxa"/>
          </w:tcPr>
          <w:p>
            <w:pPr>
              <w:spacing w:line="360" w:lineRule="auto"/>
              <w:rPr>
                <w:rFonts w:asciiTheme="minorEastAsia" w:hAnsiTheme="minorEastAsia" w:eastAsiaTheme="minorEastAsia"/>
                <w:szCs w:val="21"/>
                <w:highlight w:val="none"/>
              </w:rPr>
            </w:pPr>
          </w:p>
        </w:tc>
      </w:tr>
    </w:tbl>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注：1. 凡符合以上任何一项情形，在相应方框内打“○”，否则打“X”，只要出现一个“X”，结论均为“不通过”，否则为“通过”。</w:t>
      </w:r>
    </w:p>
    <w:p>
      <w:pPr>
        <w:spacing w:line="360" w:lineRule="auto"/>
        <w:ind w:firstLine="420" w:firstLineChars="200"/>
        <w:rPr>
          <w:rFonts w:ascii="宋体" w:hAnsi="宋体"/>
          <w:szCs w:val="21"/>
          <w:highlight w:val="none"/>
        </w:rPr>
      </w:pPr>
      <w:r>
        <w:rPr>
          <w:rFonts w:hint="eastAsia" w:asciiTheme="minorEastAsia" w:hAnsiTheme="minorEastAsia" w:eastAsiaTheme="minorEastAsia"/>
          <w:szCs w:val="21"/>
          <w:highlight w:val="none"/>
        </w:rPr>
        <w:t>2.如对本表中某种情形的评审意见不一致时，以评标委员会过半数成员的意见作为评标</w:t>
      </w:r>
      <w:r>
        <w:rPr>
          <w:rFonts w:hint="eastAsia" w:ascii="宋体" w:hAnsi="宋体"/>
          <w:szCs w:val="21"/>
          <w:highlight w:val="none"/>
        </w:rPr>
        <w:t xml:space="preserve">委员会对该情形的认定结论。     </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评委签名：                                                          </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监督人员签名：                                         </w:t>
      </w:r>
    </w:p>
    <w:p>
      <w:pPr>
        <w:spacing w:line="360" w:lineRule="auto"/>
        <w:ind w:firstLine="420" w:firstLineChars="200"/>
        <w:rPr>
          <w:b/>
          <w:highlight w:val="none"/>
        </w:rPr>
      </w:pPr>
      <w:r>
        <w:rPr>
          <w:rFonts w:hint="eastAsia" w:ascii="宋体" w:hAnsi="宋体"/>
          <w:szCs w:val="21"/>
          <w:highlight w:val="none"/>
        </w:rPr>
        <w:t xml:space="preserve"> 日期：</w:t>
      </w:r>
    </w:p>
    <w:p>
      <w:pPr>
        <w:spacing w:line="360" w:lineRule="auto"/>
        <w:rPr>
          <w:b/>
          <w:highlight w:val="none"/>
        </w:rPr>
      </w:pPr>
    </w:p>
    <w:p>
      <w:pPr>
        <w:spacing w:line="360" w:lineRule="auto"/>
        <w:rPr>
          <w:b/>
          <w:highlight w:val="none"/>
        </w:rPr>
      </w:pPr>
    </w:p>
    <w:p>
      <w:pPr>
        <w:spacing w:line="360" w:lineRule="auto"/>
        <w:rPr>
          <w:b/>
          <w:highlight w:val="none"/>
        </w:rPr>
      </w:pPr>
    </w:p>
    <w:p>
      <w:pPr>
        <w:spacing w:line="360" w:lineRule="auto"/>
        <w:rPr>
          <w:b/>
          <w:highlight w:val="none"/>
        </w:rPr>
      </w:pPr>
    </w:p>
    <w:p>
      <w:pPr>
        <w:spacing w:line="360" w:lineRule="auto"/>
        <w:rPr>
          <w:b/>
          <w:highlight w:val="none"/>
        </w:rPr>
      </w:pPr>
    </w:p>
    <w:p>
      <w:pPr>
        <w:spacing w:line="360" w:lineRule="auto"/>
        <w:rPr>
          <w:b/>
          <w:highlight w:val="none"/>
        </w:rPr>
      </w:pPr>
    </w:p>
    <w:p>
      <w:pPr>
        <w:spacing w:line="360" w:lineRule="auto"/>
        <w:rPr>
          <w:b/>
          <w:highlight w:val="none"/>
        </w:rPr>
      </w:pPr>
    </w:p>
    <w:p>
      <w:pPr>
        <w:pStyle w:val="3"/>
        <w:numPr>
          <w:ilvl w:val="255"/>
          <w:numId w:val="0"/>
        </w:numPr>
        <w:snapToGrid w:val="0"/>
        <w:spacing w:before="120" w:after="120" w:line="360" w:lineRule="auto"/>
        <w:ind w:left="426"/>
        <w:jc w:val="left"/>
        <w:rPr>
          <w:sz w:val="24"/>
          <w:szCs w:val="24"/>
          <w:highlight w:val="none"/>
        </w:rPr>
      </w:pPr>
      <w:bookmarkStart w:id="367" w:name="_Toc24694"/>
      <w:bookmarkStart w:id="368" w:name="_Toc26961"/>
      <w:r>
        <w:rPr>
          <w:rFonts w:hint="eastAsia"/>
          <w:sz w:val="24"/>
          <w:szCs w:val="24"/>
          <w:highlight w:val="none"/>
        </w:rPr>
        <w:t>附表2：商务、技术投标文件有效性审查表</w:t>
      </w:r>
      <w:bookmarkEnd w:id="367"/>
      <w:bookmarkEnd w:id="368"/>
    </w:p>
    <w:p>
      <w:pPr>
        <w:spacing w:line="400" w:lineRule="exact"/>
        <w:rPr>
          <w:b/>
          <w:sz w:val="24"/>
          <w:highlight w:val="none"/>
        </w:rPr>
      </w:pPr>
    </w:p>
    <w:p>
      <w:pPr>
        <w:ind w:firstLine="120" w:firstLineChars="50"/>
        <w:rPr>
          <w:rFonts w:ascii="宋体" w:hAnsi="宋体"/>
          <w:szCs w:val="21"/>
          <w:highlight w:val="none"/>
        </w:rPr>
      </w:pPr>
      <w:r>
        <w:rPr>
          <w:rFonts w:hint="eastAsia" w:ascii="宋体" w:hAnsi="宋体"/>
          <w:vanish/>
          <w:sz w:val="24"/>
          <w:highlight w:val="none"/>
        </w:rPr>
        <w:cr/>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vanish/>
          <w:sz w:val="24"/>
          <w:highlight w:val="none"/>
        </w:rPr>
        <w:pgNum/>
      </w:r>
      <w:r>
        <w:rPr>
          <w:rFonts w:hint="eastAsia" w:ascii="宋体" w:hAnsi="宋体"/>
          <w:szCs w:val="21"/>
          <w:highlight w:val="none"/>
        </w:rPr>
        <w:t>项目名称：</w:t>
      </w:r>
      <w:r>
        <w:rPr>
          <w:rFonts w:hint="eastAsia"/>
          <w:color w:val="000000"/>
          <w:highlight w:val="none"/>
        </w:rPr>
        <w:t>佛山市恒益环保建材有限公司加气砌块生产辅助业务外委采购项目</w:t>
      </w:r>
    </w:p>
    <w:tbl>
      <w:tblPr>
        <w:tblStyle w:val="4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62"/>
        <w:gridCol w:w="1283"/>
        <w:gridCol w:w="700"/>
        <w:gridCol w:w="717"/>
        <w:gridCol w:w="717"/>
        <w:gridCol w:w="766"/>
        <w:gridCol w:w="784"/>
        <w:gridCol w:w="1270"/>
        <w:gridCol w:w="765"/>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6" w:hRule="atLeast"/>
        </w:trPr>
        <w:tc>
          <w:tcPr>
            <w:tcW w:w="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Cs w:val="21"/>
                <w:highlight w:val="none"/>
              </w:rPr>
            </w:pPr>
            <w:r>
              <w:rPr>
                <w:rFonts w:hint="eastAsia"/>
                <w:szCs w:val="21"/>
                <w:highlight w:val="none"/>
              </w:rPr>
              <w:t>序号</w:t>
            </w:r>
          </w:p>
        </w:tc>
        <w:tc>
          <w:tcPr>
            <w:tcW w:w="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Cs w:val="21"/>
                <w:highlight w:val="none"/>
              </w:rPr>
            </w:pPr>
            <w:r>
              <w:rPr>
                <w:rFonts w:hint="eastAsia"/>
                <w:szCs w:val="21"/>
                <w:highlight w:val="none"/>
              </w:rPr>
              <w:t>投标人</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投标文件中有法定代表人证明书，如投标文件为委托代理人签署应同时附上法定代表人证明书和法定代表人授权书</w:t>
            </w:r>
          </w:p>
        </w:tc>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highlight w:val="none"/>
              </w:rPr>
            </w:pPr>
            <w:r>
              <w:rPr>
                <w:rFonts w:hint="eastAsia" w:ascii="宋体" w:hAnsi="宋体"/>
                <w:szCs w:val="21"/>
                <w:highlight w:val="none"/>
              </w:rPr>
              <w:t>按招标文件要求密封</w:t>
            </w:r>
          </w:p>
        </w:tc>
        <w:tc>
          <w:tcPr>
            <w:tcW w:w="7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highlight w:val="none"/>
              </w:rPr>
            </w:pPr>
            <w:r>
              <w:rPr>
                <w:rFonts w:hint="eastAsia"/>
                <w:szCs w:val="21"/>
                <w:highlight w:val="none"/>
              </w:rPr>
              <w:t>投标保证金已交</w:t>
            </w:r>
          </w:p>
        </w:tc>
        <w:tc>
          <w:tcPr>
            <w:tcW w:w="7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highlight w:val="none"/>
              </w:rPr>
            </w:pPr>
            <w:r>
              <w:rPr>
                <w:rFonts w:hint="eastAsia"/>
                <w:szCs w:val="21"/>
                <w:highlight w:val="none"/>
              </w:rPr>
              <w:t>投标</w:t>
            </w:r>
          </w:p>
          <w:p>
            <w:pPr>
              <w:adjustRightInd w:val="0"/>
              <w:snapToGrid w:val="0"/>
              <w:spacing w:line="300" w:lineRule="exact"/>
              <w:jc w:val="center"/>
              <w:rPr>
                <w:szCs w:val="21"/>
                <w:highlight w:val="none"/>
              </w:rPr>
            </w:pPr>
            <w:r>
              <w:rPr>
                <w:rFonts w:hint="eastAsia"/>
                <w:szCs w:val="21"/>
                <w:highlight w:val="none"/>
              </w:rPr>
              <w:t>有效期符合规定</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highlight w:val="none"/>
              </w:rPr>
            </w:pPr>
            <w:r>
              <w:rPr>
                <w:rFonts w:hint="eastAsia"/>
                <w:szCs w:val="21"/>
                <w:highlight w:val="none"/>
              </w:rPr>
              <w:t>投标文件主要资料齐全</w:t>
            </w:r>
          </w:p>
        </w:tc>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highlight w:val="none"/>
              </w:rPr>
            </w:pPr>
            <w:r>
              <w:rPr>
                <w:rFonts w:hint="eastAsia"/>
                <w:szCs w:val="21"/>
                <w:highlight w:val="none"/>
              </w:rPr>
              <w:t>投标文件签署合格</w:t>
            </w:r>
          </w:p>
        </w:tc>
        <w:tc>
          <w:tcPr>
            <w:tcW w:w="12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highlight w:val="none"/>
              </w:rPr>
            </w:pPr>
            <w:r>
              <w:rPr>
                <w:rFonts w:hint="eastAsia"/>
                <w:szCs w:val="21"/>
                <w:highlight w:val="none"/>
              </w:rPr>
              <w:t>商务无重大偏离或保留，且完全响应用户需求书中的实质性条款</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highlight w:val="none"/>
              </w:rPr>
            </w:pPr>
            <w:r>
              <w:rPr>
                <w:rFonts w:hint="eastAsia"/>
                <w:szCs w:val="21"/>
                <w:highlight w:val="none"/>
              </w:rPr>
              <w:t>无招标文件或法规明确规定可以废标的其他情形</w:t>
            </w:r>
          </w:p>
        </w:tc>
        <w:tc>
          <w:tcPr>
            <w:tcW w:w="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highlight w:val="none"/>
              </w:rPr>
            </w:pPr>
            <w:r>
              <w:rPr>
                <w:rFonts w:hint="eastAsia"/>
                <w:szCs w:val="21"/>
                <w:highlight w:val="none"/>
              </w:rPr>
              <w:t>评审</w:t>
            </w:r>
          </w:p>
          <w:p>
            <w:pPr>
              <w:adjustRightInd w:val="0"/>
              <w:snapToGrid w:val="0"/>
              <w:spacing w:line="300" w:lineRule="exact"/>
              <w:jc w:val="center"/>
              <w:rPr>
                <w:szCs w:val="21"/>
                <w:highlight w:val="none"/>
              </w:rPr>
            </w:pPr>
            <w:r>
              <w:rPr>
                <w:rFonts w:hint="eastAsia"/>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Cs w:val="21"/>
                <w:highlight w:val="none"/>
              </w:rPr>
            </w:pPr>
            <w:r>
              <w:rPr>
                <w:szCs w:val="21"/>
                <w:highlight w:val="none"/>
              </w:rPr>
              <w:t>1</w:t>
            </w:r>
          </w:p>
        </w:tc>
        <w:tc>
          <w:tcPr>
            <w:tcW w:w="96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128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1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1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6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Cs w:val="21"/>
                <w:highlight w:val="none"/>
              </w:rPr>
            </w:pPr>
          </w:p>
        </w:tc>
        <w:tc>
          <w:tcPr>
            <w:tcW w:w="76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3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rPr>
        <w:tc>
          <w:tcPr>
            <w:tcW w:w="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Cs w:val="21"/>
                <w:highlight w:val="none"/>
              </w:rPr>
            </w:pPr>
            <w:r>
              <w:rPr>
                <w:szCs w:val="21"/>
                <w:highlight w:val="none"/>
              </w:rPr>
              <w:t>2</w:t>
            </w:r>
          </w:p>
        </w:tc>
        <w:tc>
          <w:tcPr>
            <w:tcW w:w="96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128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1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1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6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12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6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3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trPr>
        <w:tc>
          <w:tcPr>
            <w:tcW w:w="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Cs w:val="21"/>
                <w:highlight w:val="none"/>
              </w:rPr>
            </w:pPr>
            <w:r>
              <w:rPr>
                <w:szCs w:val="21"/>
                <w:highlight w:val="none"/>
              </w:rPr>
              <w:t>3</w:t>
            </w:r>
          </w:p>
        </w:tc>
        <w:tc>
          <w:tcPr>
            <w:tcW w:w="96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128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1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1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6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12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6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3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Cs w:val="21"/>
                <w:highlight w:val="none"/>
              </w:rPr>
            </w:pPr>
            <w:r>
              <w:rPr>
                <w:szCs w:val="21"/>
                <w:highlight w:val="none"/>
              </w:rPr>
              <w:t>4</w:t>
            </w:r>
          </w:p>
        </w:tc>
        <w:tc>
          <w:tcPr>
            <w:tcW w:w="96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128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1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1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6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8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12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6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c>
          <w:tcPr>
            <w:tcW w:w="73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Cs w:val="21"/>
                <w:highlight w:val="none"/>
              </w:rPr>
            </w:pPr>
          </w:p>
        </w:tc>
      </w:tr>
    </w:tbl>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注：1．评审时评委对投标人是否满足要求逐条标注评审意见，“符合要求”标记为“○”，“不符合要求”标记为“×”；</w:t>
      </w:r>
    </w:p>
    <w:p>
      <w:pPr>
        <w:ind w:firstLine="420" w:firstLineChars="200"/>
        <w:rPr>
          <w:rFonts w:ascii="宋体" w:hAnsi="宋体"/>
          <w:szCs w:val="21"/>
          <w:highlight w:val="none"/>
        </w:rPr>
      </w:pPr>
      <w:r>
        <w:rPr>
          <w:rFonts w:hint="eastAsia" w:ascii="宋体" w:hAnsi="宋体"/>
          <w:szCs w:val="21"/>
          <w:highlight w:val="none"/>
        </w:rPr>
        <w:t>2．评审结论栏统一填写为“通过”或“不通过”，其中有一项或以上“不符合要求”的结论为“不通过”；</w:t>
      </w:r>
    </w:p>
    <w:p>
      <w:pPr>
        <w:ind w:firstLine="420" w:firstLineChars="200"/>
        <w:rPr>
          <w:rFonts w:ascii="宋体" w:hAnsi="宋体"/>
          <w:szCs w:val="21"/>
          <w:highlight w:val="none"/>
        </w:rPr>
      </w:pPr>
      <w:r>
        <w:rPr>
          <w:rFonts w:hint="eastAsia" w:ascii="宋体" w:hAnsi="宋体"/>
          <w:szCs w:val="21"/>
          <w:highlight w:val="none"/>
        </w:rPr>
        <w:t>3．对结论为“不通过”的投标，要说明原因。</w:t>
      </w:r>
    </w:p>
    <w:p>
      <w:pPr>
        <w:rPr>
          <w:rFonts w:ascii="宋体" w:hAnsi="宋体"/>
          <w:szCs w:val="21"/>
          <w:highlight w:val="none"/>
        </w:rPr>
      </w:pPr>
    </w:p>
    <w:p>
      <w:pPr>
        <w:spacing w:line="360" w:lineRule="auto"/>
        <w:ind w:firstLine="420" w:firstLineChars="200"/>
        <w:rPr>
          <w:rFonts w:ascii="宋体" w:hAnsi="宋体"/>
          <w:szCs w:val="21"/>
          <w:highlight w:val="none"/>
        </w:rPr>
      </w:pPr>
      <w:r>
        <w:rPr>
          <w:rFonts w:hint="eastAsia" w:ascii="宋体" w:hAnsi="宋体"/>
          <w:szCs w:val="21"/>
          <w:highlight w:val="none"/>
        </w:rPr>
        <w:t xml:space="preserve">评委签名：                                                                        </w:t>
      </w:r>
    </w:p>
    <w:p>
      <w:pPr>
        <w:spacing w:line="360" w:lineRule="auto"/>
        <w:ind w:firstLine="420" w:firstLineChars="200"/>
        <w:rPr>
          <w:rFonts w:ascii="宋体" w:hAnsi="宋体"/>
          <w:szCs w:val="21"/>
          <w:highlight w:val="none"/>
        </w:rPr>
      </w:pPr>
      <w:r>
        <w:rPr>
          <w:rFonts w:hint="eastAsia" w:ascii="宋体" w:hAnsi="宋体"/>
          <w:szCs w:val="21"/>
          <w:highlight w:val="none"/>
        </w:rPr>
        <w:t>监督人员签名：</w:t>
      </w:r>
    </w:p>
    <w:p>
      <w:pPr>
        <w:rPr>
          <w:rFonts w:ascii="宋体" w:hAnsi="Arial"/>
          <w:b/>
          <w:bCs/>
          <w:sz w:val="24"/>
          <w:highlight w:val="none"/>
        </w:rPr>
      </w:pPr>
      <w:r>
        <w:rPr>
          <w:rFonts w:hint="eastAsia" w:ascii="宋体" w:hAnsi="宋体"/>
          <w:szCs w:val="21"/>
          <w:highlight w:val="none"/>
        </w:rPr>
        <w:t xml:space="preserve">    日期：</w:t>
      </w:r>
      <w:r>
        <w:rPr>
          <w:sz w:val="24"/>
          <w:highlight w:val="none"/>
        </w:rPr>
        <w:br w:type="page"/>
      </w:r>
    </w:p>
    <w:p>
      <w:pPr>
        <w:pStyle w:val="3"/>
        <w:numPr>
          <w:ilvl w:val="0"/>
          <w:numId w:val="0"/>
        </w:numPr>
        <w:snapToGrid w:val="0"/>
        <w:spacing w:before="120" w:after="120"/>
        <w:jc w:val="left"/>
        <w:rPr>
          <w:rFonts w:hAnsi="宋体"/>
          <w:b w:val="0"/>
          <w:sz w:val="24"/>
          <w:szCs w:val="24"/>
          <w:highlight w:val="none"/>
        </w:rPr>
      </w:pPr>
      <w:bookmarkStart w:id="369" w:name="_Toc11685"/>
      <w:bookmarkStart w:id="370" w:name="_Toc1044"/>
      <w:bookmarkStart w:id="371" w:name="_Toc2778"/>
      <w:bookmarkStart w:id="372" w:name="_Toc4902"/>
      <w:bookmarkStart w:id="373" w:name="_Toc880"/>
      <w:bookmarkStart w:id="374" w:name="_Toc18271"/>
      <w:r>
        <w:rPr>
          <w:rFonts w:hint="eastAsia"/>
          <w:sz w:val="24"/>
          <w:szCs w:val="24"/>
          <w:highlight w:val="none"/>
        </w:rPr>
        <w:t>附表3：价格投标文件有效性审查表</w:t>
      </w:r>
      <w:bookmarkEnd w:id="369"/>
      <w:bookmarkEnd w:id="370"/>
      <w:bookmarkEnd w:id="371"/>
      <w:bookmarkEnd w:id="372"/>
      <w:bookmarkEnd w:id="373"/>
      <w:bookmarkEnd w:id="374"/>
    </w:p>
    <w:p>
      <w:pPr>
        <w:spacing w:line="400" w:lineRule="exact"/>
        <w:rPr>
          <w:rFonts w:ascii="宋体" w:hAnsi="宋体"/>
          <w:b/>
          <w:sz w:val="24"/>
          <w:highlight w:val="none"/>
        </w:rPr>
      </w:pPr>
    </w:p>
    <w:p>
      <w:pPr>
        <w:rPr>
          <w:rFonts w:ascii="宋体" w:hAnsi="宋体"/>
          <w:szCs w:val="21"/>
          <w:highlight w:val="none"/>
        </w:rPr>
      </w:pPr>
      <w:r>
        <w:rPr>
          <w:rFonts w:hint="eastAsia" w:ascii="宋体" w:hAnsi="宋体"/>
          <w:szCs w:val="21"/>
          <w:highlight w:val="none"/>
        </w:rPr>
        <w:t>项目</w:t>
      </w:r>
      <w:r>
        <w:rPr>
          <w:rFonts w:ascii="宋体" w:hAnsi="宋体"/>
          <w:vanish/>
          <w:szCs w:val="21"/>
          <w:highlight w:val="none"/>
        </w:rPr>
        <w:cr/>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ascii="宋体" w:hAnsi="宋体"/>
          <w:vanish/>
          <w:szCs w:val="21"/>
          <w:highlight w:val="none"/>
        </w:rPr>
        <w:pgNum/>
      </w:r>
      <w:r>
        <w:rPr>
          <w:rFonts w:hint="eastAsia" w:ascii="宋体" w:hAnsi="宋体"/>
          <w:vanish/>
          <w:szCs w:val="21"/>
          <w:highlight w:val="none"/>
        </w:rPr>
        <w:t>项目项目</w:t>
      </w:r>
      <w:r>
        <w:rPr>
          <w:rFonts w:hint="eastAsia" w:ascii="宋体" w:hAnsi="宋体"/>
          <w:szCs w:val="21"/>
          <w:highlight w:val="none"/>
        </w:rPr>
        <w:t>名称：</w:t>
      </w:r>
      <w:r>
        <w:rPr>
          <w:rFonts w:hint="eastAsia"/>
          <w:color w:val="000000"/>
          <w:highlight w:val="none"/>
        </w:rPr>
        <w:t>佛山市恒益环保建材有限公司加气砌块生产辅助业务外委采购项目</w:t>
      </w:r>
    </w:p>
    <w:tbl>
      <w:tblPr>
        <w:tblStyle w:val="4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5822"/>
        <w:gridCol w:w="503"/>
        <w:gridCol w:w="503"/>
        <w:gridCol w:w="503"/>
        <w:gridCol w:w="503"/>
        <w:gridCol w:w="503"/>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blHeader/>
        </w:trPr>
        <w:tc>
          <w:tcPr>
            <w:tcW w:w="402" w:type="dxa"/>
            <w:vAlign w:val="center"/>
          </w:tcPr>
          <w:p>
            <w:pPr>
              <w:tabs>
                <w:tab w:val="left" w:pos="720"/>
              </w:tabs>
              <w:autoSpaceDE w:val="0"/>
              <w:autoSpaceDN w:val="0"/>
              <w:adjustRightInd w:val="0"/>
              <w:snapToGrid w:val="0"/>
              <w:jc w:val="center"/>
              <w:rPr>
                <w:rFonts w:ascii="宋体" w:hAnsi="宋体"/>
                <w:szCs w:val="21"/>
                <w:highlight w:val="none"/>
              </w:rPr>
            </w:pPr>
            <w:r>
              <w:rPr>
                <w:rFonts w:hint="eastAsia" w:ascii="宋体" w:hAnsi="宋体"/>
                <w:szCs w:val="21"/>
                <w:highlight w:val="none"/>
              </w:rPr>
              <w:t>序号</w:t>
            </w:r>
          </w:p>
        </w:tc>
        <w:tc>
          <w:tcPr>
            <w:tcW w:w="5822" w:type="dxa"/>
            <w:tcBorders>
              <w:tl2br w:val="single" w:color="auto" w:sz="4" w:space="0"/>
            </w:tcBorders>
          </w:tcPr>
          <w:p>
            <w:pPr>
              <w:tabs>
                <w:tab w:val="left" w:pos="720"/>
              </w:tabs>
              <w:autoSpaceDE w:val="0"/>
              <w:autoSpaceDN w:val="0"/>
              <w:adjustRightInd w:val="0"/>
              <w:snapToGrid w:val="0"/>
              <w:ind w:firstLine="840" w:firstLineChars="400"/>
              <w:jc w:val="center"/>
              <w:rPr>
                <w:rFonts w:ascii="宋体" w:hAnsi="宋体"/>
                <w:szCs w:val="21"/>
                <w:highlight w:val="none"/>
              </w:rPr>
            </w:pPr>
            <w:r>
              <w:rPr>
                <w:rFonts w:hint="eastAsia" w:ascii="宋体" w:hAnsi="宋体"/>
                <w:szCs w:val="21"/>
                <w:highlight w:val="none"/>
              </w:rPr>
              <w:t>投标单位</w:t>
            </w:r>
          </w:p>
          <w:p>
            <w:pPr>
              <w:tabs>
                <w:tab w:val="left" w:pos="720"/>
              </w:tabs>
              <w:autoSpaceDE w:val="0"/>
              <w:autoSpaceDN w:val="0"/>
              <w:adjustRightInd w:val="0"/>
              <w:snapToGrid w:val="0"/>
              <w:rPr>
                <w:rFonts w:ascii="宋体" w:hAnsi="宋体"/>
                <w:szCs w:val="21"/>
                <w:highlight w:val="none"/>
              </w:rPr>
            </w:pPr>
            <w:r>
              <w:rPr>
                <w:rFonts w:hint="eastAsia" w:ascii="宋体" w:hAnsi="宋体"/>
                <w:szCs w:val="21"/>
                <w:highlight w:val="none"/>
              </w:rPr>
              <w:t>评审内容</w:t>
            </w:r>
          </w:p>
        </w:tc>
        <w:tc>
          <w:tcPr>
            <w:tcW w:w="503" w:type="dxa"/>
          </w:tcPr>
          <w:p>
            <w:pPr>
              <w:tabs>
                <w:tab w:val="left" w:pos="720"/>
              </w:tabs>
              <w:autoSpaceDE w:val="0"/>
              <w:autoSpaceDN w:val="0"/>
              <w:adjustRightInd w:val="0"/>
              <w:snapToGrid w:val="0"/>
              <w:rPr>
                <w:rFonts w:ascii="宋体" w:hAnsi="宋体"/>
                <w:b/>
                <w:szCs w:val="21"/>
                <w:highlight w:val="none"/>
              </w:rPr>
            </w:pPr>
          </w:p>
        </w:tc>
        <w:tc>
          <w:tcPr>
            <w:tcW w:w="503" w:type="dxa"/>
          </w:tcPr>
          <w:p>
            <w:pPr>
              <w:tabs>
                <w:tab w:val="left" w:pos="720"/>
              </w:tabs>
              <w:autoSpaceDE w:val="0"/>
              <w:autoSpaceDN w:val="0"/>
              <w:adjustRightInd w:val="0"/>
              <w:snapToGrid w:val="0"/>
              <w:rPr>
                <w:rFonts w:ascii="宋体" w:hAnsi="宋体"/>
                <w:b/>
                <w:szCs w:val="21"/>
                <w:highlight w:val="none"/>
              </w:rPr>
            </w:pPr>
          </w:p>
        </w:tc>
        <w:tc>
          <w:tcPr>
            <w:tcW w:w="503" w:type="dxa"/>
          </w:tcPr>
          <w:p>
            <w:pPr>
              <w:tabs>
                <w:tab w:val="left" w:pos="720"/>
              </w:tabs>
              <w:autoSpaceDE w:val="0"/>
              <w:autoSpaceDN w:val="0"/>
              <w:adjustRightInd w:val="0"/>
              <w:snapToGrid w:val="0"/>
              <w:rPr>
                <w:rFonts w:ascii="宋体" w:hAnsi="宋体"/>
                <w:b/>
                <w:szCs w:val="21"/>
                <w:highlight w:val="none"/>
              </w:rPr>
            </w:pPr>
          </w:p>
        </w:tc>
        <w:tc>
          <w:tcPr>
            <w:tcW w:w="503" w:type="dxa"/>
          </w:tcPr>
          <w:p>
            <w:pPr>
              <w:rPr>
                <w:rFonts w:ascii="宋体" w:hAnsi="宋体"/>
                <w:b/>
                <w:szCs w:val="21"/>
                <w:highlight w:val="none"/>
              </w:rPr>
            </w:pPr>
          </w:p>
        </w:tc>
        <w:tc>
          <w:tcPr>
            <w:tcW w:w="503" w:type="dxa"/>
          </w:tcPr>
          <w:p>
            <w:pPr>
              <w:rPr>
                <w:rFonts w:ascii="宋体" w:hAnsi="宋体"/>
                <w:b/>
                <w:szCs w:val="21"/>
                <w:highlight w:val="none"/>
              </w:rPr>
            </w:pPr>
          </w:p>
        </w:tc>
        <w:tc>
          <w:tcPr>
            <w:tcW w:w="503" w:type="dxa"/>
          </w:tcPr>
          <w:p>
            <w:pPr>
              <w:rPr>
                <w:rFonts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402" w:type="dxa"/>
            <w:vAlign w:val="center"/>
          </w:tcPr>
          <w:p>
            <w:pPr>
              <w:tabs>
                <w:tab w:val="left" w:pos="720"/>
              </w:tabs>
              <w:autoSpaceDE w:val="0"/>
              <w:autoSpaceDN w:val="0"/>
              <w:adjustRightInd w:val="0"/>
              <w:snapToGrid w:val="0"/>
              <w:jc w:val="center"/>
              <w:rPr>
                <w:rFonts w:ascii="宋体" w:hAnsi="宋体"/>
                <w:szCs w:val="21"/>
                <w:highlight w:val="none"/>
              </w:rPr>
            </w:pPr>
            <w:r>
              <w:rPr>
                <w:rFonts w:hint="eastAsia" w:ascii="宋体" w:hAnsi="宋体"/>
                <w:szCs w:val="21"/>
                <w:highlight w:val="none"/>
              </w:rPr>
              <w:t>1</w:t>
            </w:r>
          </w:p>
        </w:tc>
        <w:tc>
          <w:tcPr>
            <w:tcW w:w="5822" w:type="dxa"/>
            <w:vAlign w:val="center"/>
          </w:tcPr>
          <w:p>
            <w:pPr>
              <w:autoSpaceDE w:val="0"/>
              <w:autoSpaceDN w:val="0"/>
              <w:adjustRightInd w:val="0"/>
              <w:rPr>
                <w:rFonts w:ascii="宋体" w:hAnsi="宋体" w:cs="宋体"/>
                <w:szCs w:val="21"/>
                <w:highlight w:val="none"/>
              </w:rPr>
            </w:pPr>
            <w:r>
              <w:rPr>
                <w:rFonts w:hint="eastAsia" w:ascii="宋体" w:hAnsi="宋体" w:cs="Arial"/>
                <w:szCs w:val="21"/>
                <w:highlight w:val="none"/>
              </w:rPr>
              <w:t>投标文件按招标文件的要求加盖投标单位公章，经法定代表人或授权委托人签署；</w:t>
            </w: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 w:type="dxa"/>
            <w:vAlign w:val="center"/>
          </w:tcPr>
          <w:p>
            <w:pPr>
              <w:tabs>
                <w:tab w:val="left" w:pos="720"/>
              </w:tabs>
              <w:autoSpaceDE w:val="0"/>
              <w:autoSpaceDN w:val="0"/>
              <w:adjustRightInd w:val="0"/>
              <w:snapToGrid w:val="0"/>
              <w:jc w:val="center"/>
              <w:rPr>
                <w:rFonts w:ascii="宋体" w:hAnsi="宋体"/>
                <w:szCs w:val="21"/>
                <w:highlight w:val="none"/>
              </w:rPr>
            </w:pPr>
            <w:r>
              <w:rPr>
                <w:rFonts w:hint="eastAsia" w:ascii="宋体" w:hAnsi="宋体"/>
                <w:szCs w:val="21"/>
                <w:highlight w:val="none"/>
              </w:rPr>
              <w:t>2</w:t>
            </w:r>
          </w:p>
        </w:tc>
        <w:tc>
          <w:tcPr>
            <w:tcW w:w="5822" w:type="dxa"/>
            <w:vAlign w:val="center"/>
          </w:tcPr>
          <w:p>
            <w:pPr>
              <w:autoSpaceDE w:val="0"/>
              <w:autoSpaceDN w:val="0"/>
              <w:adjustRightInd w:val="0"/>
              <w:rPr>
                <w:rFonts w:ascii="宋体" w:hAnsi="宋体" w:cs="宋体"/>
                <w:szCs w:val="21"/>
                <w:highlight w:val="none"/>
              </w:rPr>
            </w:pPr>
            <w:r>
              <w:rPr>
                <w:rFonts w:hint="eastAsia" w:ascii="宋体" w:hAnsi="宋体" w:cs="Arial"/>
                <w:szCs w:val="21"/>
                <w:highlight w:val="none"/>
              </w:rPr>
              <w:t>没有出现对本次招标递交了两份或两份以上内容不同的投标文件或报价，且未明确哪份投标文件或报价有效情况</w:t>
            </w:r>
            <w:r>
              <w:rPr>
                <w:rFonts w:hint="eastAsia" w:ascii="宋体" w:hAnsi="宋体"/>
                <w:highlight w:val="none"/>
              </w:rPr>
              <w:t>；</w:t>
            </w: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402" w:type="dxa"/>
            <w:vAlign w:val="center"/>
          </w:tcPr>
          <w:p>
            <w:pPr>
              <w:tabs>
                <w:tab w:val="left" w:pos="720"/>
              </w:tabs>
              <w:autoSpaceDE w:val="0"/>
              <w:autoSpaceDN w:val="0"/>
              <w:adjustRightInd w:val="0"/>
              <w:snapToGrid w:val="0"/>
              <w:jc w:val="center"/>
              <w:rPr>
                <w:rFonts w:ascii="宋体" w:hAnsi="宋体"/>
                <w:szCs w:val="21"/>
                <w:highlight w:val="none"/>
              </w:rPr>
            </w:pPr>
            <w:r>
              <w:rPr>
                <w:rFonts w:hint="eastAsia" w:ascii="宋体" w:hAnsi="宋体"/>
                <w:szCs w:val="21"/>
                <w:highlight w:val="none"/>
              </w:rPr>
              <w:t>3</w:t>
            </w:r>
          </w:p>
        </w:tc>
        <w:tc>
          <w:tcPr>
            <w:tcW w:w="5822" w:type="dxa"/>
            <w:vAlign w:val="center"/>
          </w:tcPr>
          <w:p>
            <w:pPr>
              <w:autoSpaceDE w:val="0"/>
              <w:autoSpaceDN w:val="0"/>
              <w:adjustRightInd w:val="0"/>
              <w:rPr>
                <w:rFonts w:ascii="宋体" w:hAnsi="宋体" w:cs="宋体"/>
                <w:szCs w:val="21"/>
                <w:highlight w:val="none"/>
              </w:rPr>
            </w:pPr>
            <w:r>
              <w:rPr>
                <w:rFonts w:hint="eastAsia" w:ascii="宋体" w:hAnsi="宋体" w:cs="宋体"/>
                <w:szCs w:val="21"/>
                <w:highlight w:val="none"/>
              </w:rPr>
              <w:t>投标报价没有高于</w:t>
            </w:r>
            <w:r>
              <w:rPr>
                <w:rFonts w:hint="eastAsia" w:ascii="宋体" w:hAnsi="宋体"/>
                <w:szCs w:val="21"/>
                <w:highlight w:val="none"/>
              </w:rPr>
              <w:t>最高限价；</w:t>
            </w: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 w:type="dxa"/>
            <w:vAlign w:val="center"/>
          </w:tcPr>
          <w:p>
            <w:pPr>
              <w:tabs>
                <w:tab w:val="left" w:pos="720"/>
              </w:tabs>
              <w:autoSpaceDE w:val="0"/>
              <w:autoSpaceDN w:val="0"/>
              <w:adjustRightInd w:val="0"/>
              <w:snapToGrid w:val="0"/>
              <w:jc w:val="center"/>
              <w:rPr>
                <w:rFonts w:ascii="宋体" w:hAnsi="宋体"/>
                <w:szCs w:val="21"/>
                <w:highlight w:val="none"/>
              </w:rPr>
            </w:pPr>
            <w:r>
              <w:rPr>
                <w:rFonts w:hint="eastAsia" w:ascii="宋体" w:hAnsi="宋体"/>
                <w:szCs w:val="21"/>
                <w:highlight w:val="none"/>
              </w:rPr>
              <w:t>4</w:t>
            </w:r>
          </w:p>
        </w:tc>
        <w:tc>
          <w:tcPr>
            <w:tcW w:w="5822" w:type="dxa"/>
            <w:vAlign w:val="center"/>
          </w:tcPr>
          <w:p>
            <w:pPr>
              <w:autoSpaceDE w:val="0"/>
              <w:autoSpaceDN w:val="0"/>
              <w:adjustRightInd w:val="0"/>
              <w:rPr>
                <w:rFonts w:ascii="宋体" w:hAnsi="宋体" w:cs="宋体"/>
                <w:szCs w:val="21"/>
                <w:highlight w:val="none"/>
              </w:rPr>
            </w:pPr>
            <w:r>
              <w:rPr>
                <w:rFonts w:hint="eastAsia" w:ascii="宋体" w:hAnsi="宋体" w:cs="宋体"/>
                <w:szCs w:val="21"/>
                <w:highlight w:val="none"/>
              </w:rPr>
              <w:t>投标报价没有低于企业成本（投标人的报价低于成本警戒价，使得其投标报价可能低于其个别成本，又不能合理说明或者不能提供相关证明材料，评标委员会认定该投标人低于成本报价的）；</w:t>
            </w: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402" w:type="dxa"/>
            <w:vAlign w:val="center"/>
          </w:tcPr>
          <w:p>
            <w:pPr>
              <w:tabs>
                <w:tab w:val="left" w:pos="720"/>
              </w:tabs>
              <w:autoSpaceDE w:val="0"/>
              <w:autoSpaceDN w:val="0"/>
              <w:adjustRightInd w:val="0"/>
              <w:snapToGrid w:val="0"/>
              <w:jc w:val="center"/>
              <w:rPr>
                <w:rFonts w:ascii="宋体" w:hAnsi="宋体"/>
                <w:szCs w:val="21"/>
                <w:highlight w:val="none"/>
              </w:rPr>
            </w:pPr>
            <w:r>
              <w:rPr>
                <w:rFonts w:hint="eastAsia" w:ascii="宋体" w:hAnsi="宋体"/>
                <w:szCs w:val="21"/>
                <w:highlight w:val="none"/>
              </w:rPr>
              <w:t>5</w:t>
            </w:r>
          </w:p>
        </w:tc>
        <w:tc>
          <w:tcPr>
            <w:tcW w:w="5822" w:type="dxa"/>
            <w:vAlign w:val="center"/>
          </w:tcPr>
          <w:p>
            <w:pPr>
              <w:autoSpaceDE w:val="0"/>
              <w:autoSpaceDN w:val="0"/>
              <w:adjustRightInd w:val="0"/>
              <w:rPr>
                <w:rFonts w:ascii="宋体" w:hAnsi="宋体" w:cs="宋体"/>
                <w:szCs w:val="21"/>
                <w:highlight w:val="none"/>
              </w:rPr>
            </w:pPr>
            <w:r>
              <w:rPr>
                <w:rFonts w:hint="eastAsia" w:ascii="宋体" w:hAnsi="宋体"/>
                <w:highlight w:val="none"/>
              </w:rPr>
              <w:t>投标文件中未提交滑动价格，且无任何包含价格调整要求；</w:t>
            </w: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402" w:type="dxa"/>
            <w:vAlign w:val="center"/>
          </w:tcPr>
          <w:p>
            <w:pPr>
              <w:tabs>
                <w:tab w:val="left" w:pos="720"/>
              </w:tabs>
              <w:autoSpaceDE w:val="0"/>
              <w:autoSpaceDN w:val="0"/>
              <w:adjustRightInd w:val="0"/>
              <w:snapToGrid w:val="0"/>
              <w:jc w:val="center"/>
              <w:rPr>
                <w:rFonts w:ascii="宋体" w:hAnsi="宋体"/>
                <w:szCs w:val="21"/>
                <w:highlight w:val="none"/>
              </w:rPr>
            </w:pPr>
            <w:r>
              <w:rPr>
                <w:rFonts w:hint="eastAsia" w:ascii="宋体" w:hAnsi="宋体"/>
                <w:szCs w:val="21"/>
                <w:highlight w:val="none"/>
              </w:rPr>
              <w:t>6</w:t>
            </w:r>
          </w:p>
        </w:tc>
        <w:tc>
          <w:tcPr>
            <w:tcW w:w="5822" w:type="dxa"/>
            <w:vAlign w:val="center"/>
          </w:tcPr>
          <w:p>
            <w:pPr>
              <w:autoSpaceDE w:val="0"/>
              <w:autoSpaceDN w:val="0"/>
              <w:adjustRightInd w:val="0"/>
              <w:rPr>
                <w:rFonts w:ascii="宋体" w:hAnsi="宋体"/>
                <w:highlight w:val="none"/>
              </w:rPr>
            </w:pPr>
            <w:r>
              <w:rPr>
                <w:rFonts w:hint="eastAsia" w:ascii="宋体" w:hAnsi="宋体"/>
                <w:highlight w:val="none"/>
              </w:rPr>
              <w:t>投标文件不存在：未按规定的格式填写，或主要内容不全，或关键字迹模糊、无法辨认的；</w:t>
            </w: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 w:type="dxa"/>
            <w:vAlign w:val="center"/>
          </w:tcPr>
          <w:p>
            <w:pPr>
              <w:tabs>
                <w:tab w:val="left" w:pos="720"/>
              </w:tabs>
              <w:autoSpaceDE w:val="0"/>
              <w:autoSpaceDN w:val="0"/>
              <w:adjustRightInd w:val="0"/>
              <w:snapToGrid w:val="0"/>
              <w:jc w:val="center"/>
              <w:rPr>
                <w:rFonts w:ascii="宋体" w:hAnsi="宋体"/>
                <w:szCs w:val="21"/>
                <w:highlight w:val="none"/>
              </w:rPr>
            </w:pPr>
            <w:r>
              <w:rPr>
                <w:rFonts w:hint="eastAsia" w:ascii="宋体" w:hAnsi="宋体"/>
                <w:szCs w:val="21"/>
                <w:highlight w:val="none"/>
              </w:rPr>
              <w:t>7</w:t>
            </w:r>
          </w:p>
        </w:tc>
        <w:tc>
          <w:tcPr>
            <w:tcW w:w="5822" w:type="dxa"/>
            <w:vAlign w:val="center"/>
          </w:tcPr>
          <w:p>
            <w:pPr>
              <w:autoSpaceDE w:val="0"/>
              <w:autoSpaceDN w:val="0"/>
              <w:adjustRightInd w:val="0"/>
              <w:rPr>
                <w:rFonts w:ascii="宋体" w:hAnsi="宋体" w:cs="宋体"/>
                <w:szCs w:val="21"/>
                <w:highlight w:val="none"/>
              </w:rPr>
            </w:pPr>
            <w:r>
              <w:rPr>
                <w:rFonts w:hint="eastAsia" w:ascii="宋体" w:hAnsi="宋体" w:cs="宋体"/>
                <w:szCs w:val="21"/>
                <w:highlight w:val="none"/>
              </w:rPr>
              <w:t>不存在与其他投标人串通投标情形（串通投标情形以《中华人民共和国招标投标法实施条例》的规定为准）；</w:t>
            </w: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402" w:type="dxa"/>
            <w:vAlign w:val="center"/>
          </w:tcPr>
          <w:p>
            <w:pPr>
              <w:tabs>
                <w:tab w:val="left" w:pos="720"/>
              </w:tabs>
              <w:autoSpaceDE w:val="0"/>
              <w:autoSpaceDN w:val="0"/>
              <w:adjustRightInd w:val="0"/>
              <w:snapToGrid w:val="0"/>
              <w:jc w:val="center"/>
              <w:rPr>
                <w:rFonts w:ascii="宋体" w:hAnsi="宋体"/>
                <w:szCs w:val="21"/>
                <w:highlight w:val="none"/>
              </w:rPr>
            </w:pPr>
          </w:p>
        </w:tc>
        <w:tc>
          <w:tcPr>
            <w:tcW w:w="5822" w:type="dxa"/>
            <w:vAlign w:val="center"/>
          </w:tcPr>
          <w:p>
            <w:pPr>
              <w:autoSpaceDE w:val="0"/>
              <w:autoSpaceDN w:val="0"/>
              <w:adjustRightInd w:val="0"/>
              <w:jc w:val="center"/>
              <w:rPr>
                <w:rFonts w:ascii="宋体" w:hAnsi="宋体"/>
                <w:szCs w:val="21"/>
                <w:highlight w:val="none"/>
              </w:rPr>
            </w:pPr>
            <w:r>
              <w:rPr>
                <w:rFonts w:hint="eastAsia" w:ascii="宋体" w:hAnsi="宋体"/>
                <w:szCs w:val="21"/>
                <w:highlight w:val="none"/>
              </w:rPr>
              <w:t>结  论</w:t>
            </w: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tabs>
                <w:tab w:val="left" w:pos="720"/>
              </w:tabs>
              <w:autoSpaceDE w:val="0"/>
              <w:autoSpaceDN w:val="0"/>
              <w:adjustRightInd w:val="0"/>
              <w:snapToGrid w:val="0"/>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c>
          <w:tcPr>
            <w:tcW w:w="503" w:type="dxa"/>
          </w:tcPr>
          <w:p>
            <w:pPr>
              <w:rPr>
                <w:rFonts w:ascii="宋体" w:hAnsi="宋体"/>
                <w:szCs w:val="21"/>
                <w:highlight w:val="none"/>
              </w:rPr>
            </w:pPr>
          </w:p>
        </w:tc>
      </w:tr>
    </w:tbl>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注：1. 凡符合以上任何一项情形，在相应方框内打“○”，否则打“X”，只要出现一个“X”，结论均为“无效”，否则为“有效”。</w:t>
      </w:r>
    </w:p>
    <w:p>
      <w:pPr>
        <w:ind w:firstLine="420" w:firstLineChars="200"/>
        <w:rPr>
          <w:rFonts w:ascii="宋体" w:hAnsi="宋体"/>
          <w:szCs w:val="21"/>
          <w:highlight w:val="none"/>
        </w:rPr>
      </w:pPr>
      <w:r>
        <w:rPr>
          <w:rFonts w:hint="eastAsia" w:ascii="宋体" w:hAnsi="宋体"/>
          <w:szCs w:val="21"/>
          <w:highlight w:val="none"/>
        </w:rPr>
        <w:t xml:space="preserve">2. 如对本表中某种情形的评审意见不一致时，以评标委员会过半数成员的意见作为评标委员会对该情形的认定结论。       </w:t>
      </w:r>
    </w:p>
    <w:p>
      <w:pPr>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r>
        <w:rPr>
          <w:rFonts w:hint="eastAsia" w:ascii="宋体" w:hAnsi="宋体"/>
          <w:szCs w:val="21"/>
          <w:highlight w:val="none"/>
        </w:rPr>
        <w:t xml:space="preserve">评委签名：                                                                        </w:t>
      </w:r>
    </w:p>
    <w:p>
      <w:pPr>
        <w:spacing w:line="360" w:lineRule="auto"/>
        <w:ind w:firstLine="420" w:firstLineChars="200"/>
        <w:rPr>
          <w:rFonts w:ascii="宋体" w:hAnsi="宋体"/>
          <w:szCs w:val="21"/>
          <w:highlight w:val="none"/>
        </w:rPr>
      </w:pPr>
      <w:r>
        <w:rPr>
          <w:rFonts w:hint="eastAsia" w:ascii="宋体" w:hAnsi="宋体"/>
          <w:szCs w:val="21"/>
          <w:highlight w:val="none"/>
        </w:rPr>
        <w:t>监督人员签名：</w:t>
      </w:r>
    </w:p>
    <w:p>
      <w:pPr>
        <w:ind w:firstLine="420" w:firstLineChars="200"/>
        <w:jc w:val="left"/>
        <w:rPr>
          <w:rFonts w:ascii="黑体" w:eastAsia="黑体"/>
          <w:b/>
          <w:sz w:val="44"/>
          <w:highlight w:val="none"/>
        </w:rPr>
        <w:sectPr>
          <w:footerReference r:id="rId5" w:type="default"/>
          <w:pgSz w:w="11906" w:h="16838"/>
          <w:pgMar w:top="1797" w:right="1440" w:bottom="1797" w:left="1440" w:header="794" w:footer="794" w:gutter="0"/>
          <w:cols w:space="0" w:num="1"/>
          <w:docGrid w:linePitch="286" w:charSpace="0"/>
        </w:sectPr>
      </w:pPr>
      <w:r>
        <w:rPr>
          <w:rFonts w:hint="eastAsia" w:ascii="宋体" w:hAnsi="宋体"/>
          <w:kern w:val="10"/>
          <w:szCs w:val="21"/>
          <w:highlight w:val="none"/>
        </w:rPr>
        <w:t>日</w:t>
      </w:r>
      <w:r>
        <w:rPr>
          <w:rFonts w:hint="eastAsia" w:ascii="宋体" w:hAnsi="宋体"/>
          <w:szCs w:val="21"/>
          <w:highlight w:val="none"/>
        </w:rPr>
        <w:t>期：</w:t>
      </w:r>
    </w:p>
    <w:p>
      <w:pPr>
        <w:pStyle w:val="3"/>
        <w:numPr>
          <w:ilvl w:val="0"/>
          <w:numId w:val="0"/>
        </w:numPr>
        <w:snapToGrid w:val="0"/>
        <w:spacing w:before="120" w:after="120"/>
        <w:jc w:val="left"/>
        <w:rPr>
          <w:sz w:val="24"/>
          <w:szCs w:val="24"/>
          <w:highlight w:val="none"/>
        </w:rPr>
      </w:pPr>
      <w:bookmarkStart w:id="375" w:name="_Toc488702049"/>
      <w:bookmarkStart w:id="376" w:name="_Toc488957724"/>
      <w:bookmarkStart w:id="377" w:name="_Toc14420"/>
      <w:bookmarkStart w:id="378" w:name="_Toc520971407"/>
      <w:bookmarkStart w:id="379" w:name="_Toc15594"/>
      <w:bookmarkStart w:id="380" w:name="_Toc489230102"/>
      <w:bookmarkStart w:id="381" w:name="_Toc11217"/>
      <w:r>
        <w:rPr>
          <w:sz w:val="24"/>
          <w:szCs w:val="24"/>
          <w:highlight w:val="none"/>
        </w:rPr>
        <w:t>附</w:t>
      </w:r>
      <w:r>
        <w:rPr>
          <w:rFonts w:hint="eastAsia"/>
          <w:sz w:val="24"/>
          <w:szCs w:val="24"/>
          <w:highlight w:val="none"/>
        </w:rPr>
        <w:t>表4</w:t>
      </w:r>
      <w:r>
        <w:rPr>
          <w:sz w:val="24"/>
          <w:szCs w:val="24"/>
          <w:highlight w:val="none"/>
        </w:rPr>
        <w:t>：</w:t>
      </w:r>
      <w:r>
        <w:rPr>
          <w:rFonts w:hint="eastAsia"/>
          <w:sz w:val="24"/>
          <w:szCs w:val="24"/>
          <w:highlight w:val="none"/>
        </w:rPr>
        <w:t>商务技术标详细审查评分标准</w:t>
      </w:r>
      <w:bookmarkEnd w:id="375"/>
      <w:bookmarkEnd w:id="376"/>
      <w:r>
        <w:rPr>
          <w:rFonts w:hint="eastAsia"/>
          <w:sz w:val="24"/>
          <w:szCs w:val="24"/>
          <w:highlight w:val="none"/>
        </w:rPr>
        <w:t>（权重占30%）</w:t>
      </w:r>
      <w:bookmarkEnd w:id="377"/>
      <w:bookmarkEnd w:id="378"/>
      <w:bookmarkEnd w:id="379"/>
      <w:bookmarkEnd w:id="380"/>
      <w:bookmarkEnd w:id="381"/>
    </w:p>
    <w:p>
      <w:pPr>
        <w:pStyle w:val="12"/>
        <w:rPr>
          <w:highlight w:val="none"/>
        </w:rPr>
      </w:pP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项目名称：</w:t>
      </w:r>
      <w:r>
        <w:rPr>
          <w:rFonts w:hint="eastAsia" w:asciiTheme="minorEastAsia" w:hAnsiTheme="minorEastAsia" w:eastAsiaTheme="minorEastAsia"/>
          <w:color w:val="000000"/>
          <w:szCs w:val="21"/>
          <w:highlight w:val="none"/>
        </w:rPr>
        <w:t>佛山市恒益环保建材有限公司加气砌块生产辅助业务外委采购项目</w:t>
      </w:r>
    </w:p>
    <w:tbl>
      <w:tblPr>
        <w:tblStyle w:val="42"/>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0"/>
        <w:gridCol w:w="3686"/>
        <w:gridCol w:w="851"/>
        <w:gridCol w:w="851"/>
        <w:gridCol w:w="851"/>
        <w:gridCol w:w="708"/>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trPr>
        <w:tc>
          <w:tcPr>
            <w:tcW w:w="678" w:type="dxa"/>
            <w:vAlign w:val="center"/>
          </w:tcPr>
          <w:p>
            <w:pPr>
              <w:spacing w:line="360" w:lineRule="auto"/>
              <w:jc w:val="center"/>
              <w:rPr>
                <w:rFonts w:cs="Arial" w:asciiTheme="minorEastAsia" w:hAnsiTheme="minorEastAsia" w:eastAsiaTheme="minorEastAsia"/>
                <w:b/>
                <w:szCs w:val="21"/>
                <w:highlight w:val="none"/>
              </w:rPr>
            </w:pPr>
            <w:r>
              <w:rPr>
                <w:rFonts w:hint="eastAsia" w:cs="Arial" w:asciiTheme="minorEastAsia" w:hAnsiTheme="minorEastAsia" w:eastAsiaTheme="minorEastAsia"/>
                <w:b/>
                <w:szCs w:val="21"/>
                <w:highlight w:val="none"/>
              </w:rPr>
              <w:t>序号</w:t>
            </w:r>
          </w:p>
        </w:tc>
        <w:tc>
          <w:tcPr>
            <w:tcW w:w="4816" w:type="dxa"/>
            <w:gridSpan w:val="2"/>
            <w:vAlign w:val="center"/>
          </w:tcPr>
          <w:p>
            <w:pPr>
              <w:spacing w:line="360" w:lineRule="auto"/>
              <w:jc w:val="center"/>
              <w:rPr>
                <w:rFonts w:cs="Arial" w:asciiTheme="minorEastAsia" w:hAnsiTheme="minorEastAsia" w:eastAsiaTheme="minorEastAsia"/>
                <w:b/>
                <w:szCs w:val="21"/>
                <w:highlight w:val="none"/>
              </w:rPr>
            </w:pPr>
            <w:r>
              <w:rPr>
                <w:rFonts w:hint="eastAsia" w:cs="Arial" w:asciiTheme="minorEastAsia" w:hAnsiTheme="minorEastAsia" w:eastAsiaTheme="minorEastAsia"/>
                <w:b/>
                <w:szCs w:val="21"/>
                <w:highlight w:val="none"/>
              </w:rPr>
              <w:t>评标因素</w:t>
            </w:r>
          </w:p>
        </w:tc>
        <w:tc>
          <w:tcPr>
            <w:tcW w:w="851" w:type="dxa"/>
            <w:vAlign w:val="center"/>
          </w:tcPr>
          <w:p>
            <w:pPr>
              <w:spacing w:line="360" w:lineRule="auto"/>
              <w:jc w:val="center"/>
              <w:rPr>
                <w:rFonts w:cs="Arial" w:asciiTheme="minorEastAsia" w:hAnsiTheme="minorEastAsia" w:eastAsiaTheme="minorEastAsia"/>
                <w:b/>
                <w:szCs w:val="21"/>
                <w:highlight w:val="none"/>
              </w:rPr>
            </w:pPr>
            <w:r>
              <w:rPr>
                <w:rFonts w:hint="eastAsia" w:cs="Arial" w:asciiTheme="minorEastAsia" w:hAnsiTheme="minorEastAsia" w:eastAsiaTheme="minorEastAsia"/>
                <w:b/>
                <w:szCs w:val="21"/>
                <w:highlight w:val="none"/>
              </w:rPr>
              <w:t>满分</w:t>
            </w:r>
          </w:p>
        </w:tc>
        <w:tc>
          <w:tcPr>
            <w:tcW w:w="851" w:type="dxa"/>
            <w:vAlign w:val="center"/>
          </w:tcPr>
          <w:p>
            <w:pPr>
              <w:spacing w:line="0" w:lineRule="atLeast"/>
              <w:jc w:val="center"/>
              <w:rPr>
                <w:rFonts w:cs="Arial" w:asciiTheme="minorEastAsia" w:hAnsiTheme="minorEastAsia" w:eastAsiaTheme="minorEastAsia"/>
                <w:b/>
                <w:szCs w:val="21"/>
                <w:highlight w:val="none"/>
              </w:rPr>
            </w:pPr>
            <w:r>
              <w:rPr>
                <w:rFonts w:hint="eastAsia" w:asciiTheme="minorEastAsia" w:hAnsiTheme="minorEastAsia" w:eastAsiaTheme="minorEastAsia"/>
                <w:szCs w:val="21"/>
                <w:highlight w:val="none"/>
              </w:rPr>
              <w:t>投标人</w:t>
            </w:r>
            <w:r>
              <w:rPr>
                <w:rFonts w:asciiTheme="minorEastAsia" w:hAnsiTheme="minorEastAsia" w:eastAsiaTheme="minorEastAsia"/>
                <w:szCs w:val="21"/>
                <w:highlight w:val="none"/>
              </w:rPr>
              <w:t>1</w:t>
            </w:r>
          </w:p>
        </w:tc>
        <w:tc>
          <w:tcPr>
            <w:tcW w:w="851" w:type="dxa"/>
            <w:vAlign w:val="center"/>
          </w:tcPr>
          <w:p>
            <w:pPr>
              <w:spacing w:line="0" w:lineRule="atLeast"/>
              <w:jc w:val="center"/>
              <w:rPr>
                <w:rFonts w:cs="Arial" w:asciiTheme="minorEastAsia" w:hAnsiTheme="minorEastAsia" w:eastAsiaTheme="minorEastAsia"/>
                <w:b/>
                <w:szCs w:val="21"/>
                <w:highlight w:val="none"/>
              </w:rPr>
            </w:pPr>
            <w:r>
              <w:rPr>
                <w:rFonts w:hint="eastAsia" w:asciiTheme="minorEastAsia" w:hAnsiTheme="minorEastAsia" w:eastAsiaTheme="minorEastAsia"/>
                <w:szCs w:val="21"/>
                <w:highlight w:val="none"/>
              </w:rPr>
              <w:t>投标人</w:t>
            </w:r>
            <w:r>
              <w:rPr>
                <w:rFonts w:asciiTheme="minorEastAsia" w:hAnsiTheme="minorEastAsia" w:eastAsiaTheme="minorEastAsia"/>
                <w:szCs w:val="21"/>
                <w:highlight w:val="none"/>
              </w:rPr>
              <w:t>2</w:t>
            </w:r>
          </w:p>
        </w:tc>
        <w:tc>
          <w:tcPr>
            <w:tcW w:w="708" w:type="dxa"/>
            <w:vAlign w:val="center"/>
          </w:tcPr>
          <w:p>
            <w:pPr>
              <w:spacing w:line="0" w:lineRule="atLeast"/>
              <w:jc w:val="center"/>
              <w:rPr>
                <w:rFonts w:cs="Arial" w:asciiTheme="minorEastAsia" w:hAnsiTheme="minorEastAsia" w:eastAsiaTheme="minorEastAsia"/>
                <w:b/>
                <w:szCs w:val="21"/>
                <w:highlight w:val="none"/>
              </w:rPr>
            </w:pPr>
            <w:r>
              <w:rPr>
                <w:rFonts w:hint="eastAsia" w:asciiTheme="minorEastAsia" w:hAnsiTheme="minorEastAsia" w:eastAsiaTheme="minorEastAsia"/>
                <w:szCs w:val="21"/>
                <w:highlight w:val="none"/>
              </w:rPr>
              <w:t>投标人</w:t>
            </w:r>
            <w:r>
              <w:rPr>
                <w:rFonts w:asciiTheme="minorEastAsia" w:hAnsiTheme="minorEastAsia" w:eastAsiaTheme="minorEastAsia"/>
                <w:szCs w:val="21"/>
                <w:highlight w:val="none"/>
              </w:rPr>
              <w:t>3</w:t>
            </w:r>
          </w:p>
        </w:tc>
        <w:tc>
          <w:tcPr>
            <w:tcW w:w="759" w:type="dxa"/>
          </w:tcPr>
          <w:p>
            <w:pPr>
              <w:spacing w:line="0" w:lineRule="atLeast"/>
              <w:jc w:val="center"/>
              <w:rPr>
                <w:rFonts w:asciiTheme="minorEastAsia" w:hAnsiTheme="minorEastAsia" w:eastAsiaTheme="minorEastAsia"/>
                <w:szCs w:val="21"/>
                <w:highlight w:val="none"/>
              </w:rPr>
            </w:pPr>
          </w:p>
          <w:p>
            <w:pPr>
              <w:spacing w:line="0" w:lineRule="atLeast"/>
              <w:jc w:val="center"/>
              <w:rPr>
                <w:rFonts w:cs="Arial" w:asciiTheme="minorEastAsia" w:hAnsiTheme="minorEastAsia" w:eastAsiaTheme="minorEastAsia"/>
                <w:b/>
                <w:szCs w:val="21"/>
                <w:highlight w:val="none"/>
              </w:rPr>
            </w:pP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78" w:type="dxa"/>
            <w:vMerge w:val="restart"/>
            <w:vAlign w:val="center"/>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w:t>
            </w:r>
          </w:p>
        </w:tc>
        <w:tc>
          <w:tcPr>
            <w:tcW w:w="1130" w:type="dxa"/>
            <w:vMerge w:val="restart"/>
            <w:vAlign w:val="center"/>
          </w:tcPr>
          <w:p>
            <w:pPr>
              <w:autoSpaceDE w:val="0"/>
              <w:autoSpaceDN w:val="0"/>
              <w:spacing w:line="300" w:lineRule="exact"/>
              <w:jc w:val="center"/>
              <w:rPr>
                <w:rFonts w:cs="Arial" w:asciiTheme="minorEastAsia" w:hAnsiTheme="minorEastAsia" w:eastAsiaTheme="minorEastAsia"/>
                <w:b/>
                <w:szCs w:val="21"/>
                <w:highlight w:val="none"/>
              </w:rPr>
            </w:pPr>
            <w:r>
              <w:rPr>
                <w:rFonts w:hint="eastAsia" w:cs="Arial" w:asciiTheme="minorEastAsia" w:hAnsiTheme="minorEastAsia" w:eastAsiaTheme="minorEastAsia"/>
                <w:b/>
                <w:szCs w:val="21"/>
                <w:highlight w:val="none"/>
              </w:rPr>
              <w:t>企业信誉</w:t>
            </w:r>
          </w:p>
        </w:tc>
        <w:tc>
          <w:tcPr>
            <w:tcW w:w="3686"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获得国家有关部门或行业协会颁发的资质等级</w:t>
            </w:r>
            <w:r>
              <w:rPr>
                <w:rFonts w:hint="eastAsia" w:asciiTheme="minorEastAsia" w:hAnsiTheme="minorEastAsia" w:eastAsiaTheme="minorEastAsia"/>
                <w:szCs w:val="21"/>
                <w:highlight w:val="none"/>
                <w:lang w:eastAsia="zh-CN"/>
              </w:rPr>
              <w:t>证书</w:t>
            </w:r>
            <w:r>
              <w:rPr>
                <w:rFonts w:hint="eastAsia" w:asciiTheme="minorEastAsia" w:hAnsiTheme="minorEastAsia" w:eastAsiaTheme="minorEastAsia"/>
                <w:szCs w:val="21"/>
                <w:highlight w:val="none"/>
              </w:rPr>
              <w:t>或奖项（有效期内）。每提供一个得</w:t>
            </w:r>
            <w:r>
              <w:rPr>
                <w:rFonts w:asciiTheme="minorEastAsia" w:hAnsiTheme="minorEastAsia" w:eastAsiaTheme="minorEastAsia"/>
                <w:szCs w:val="21"/>
                <w:highlight w:val="none"/>
              </w:rPr>
              <w:t>1分，最高得</w:t>
            </w:r>
            <w:r>
              <w:rPr>
                <w:rFonts w:hint="eastAsia" w:asciiTheme="minorEastAsia" w:hAnsiTheme="minorEastAsia" w:eastAsiaTheme="minorEastAsia"/>
                <w:szCs w:val="21"/>
                <w:highlight w:val="none"/>
              </w:rPr>
              <w:t>9</w:t>
            </w:r>
            <w:r>
              <w:rPr>
                <w:rFonts w:asciiTheme="minorEastAsia" w:hAnsiTheme="minorEastAsia" w:eastAsiaTheme="minorEastAsia"/>
                <w:szCs w:val="21"/>
                <w:highlight w:val="none"/>
              </w:rPr>
              <w:t>分。</w:t>
            </w:r>
          </w:p>
          <w:p>
            <w:pPr>
              <w:rPr>
                <w:rFonts w:cs="Calibri" w:asciiTheme="minorEastAsia" w:hAnsiTheme="minorEastAsia" w:eastAsiaTheme="minorEastAsia"/>
                <w:b/>
                <w:szCs w:val="21"/>
                <w:highlight w:val="none"/>
              </w:rPr>
            </w:pPr>
            <w:r>
              <w:rPr>
                <w:rFonts w:hint="eastAsia" w:asciiTheme="minorEastAsia" w:hAnsiTheme="minorEastAsia" w:eastAsiaTheme="minorEastAsia"/>
                <w:b/>
                <w:szCs w:val="21"/>
                <w:highlight w:val="none"/>
              </w:rPr>
              <w:t>说明：按招标文件第六章格式9中的（1）编制并提供有关证明材料复印件。</w:t>
            </w:r>
          </w:p>
        </w:tc>
        <w:tc>
          <w:tcPr>
            <w:tcW w:w="851" w:type="dxa"/>
            <w:vAlign w:val="center"/>
          </w:tcPr>
          <w:p>
            <w:pPr>
              <w:spacing w:line="360" w:lineRule="auto"/>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9</w:t>
            </w: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708" w:type="dxa"/>
            <w:vAlign w:val="center"/>
          </w:tcPr>
          <w:p>
            <w:pPr>
              <w:spacing w:line="360" w:lineRule="auto"/>
              <w:jc w:val="center"/>
              <w:rPr>
                <w:rFonts w:cs="Arial" w:asciiTheme="minorEastAsia" w:hAnsiTheme="minorEastAsia" w:eastAsiaTheme="minorEastAsia"/>
                <w:szCs w:val="21"/>
                <w:highlight w:val="none"/>
              </w:rPr>
            </w:pPr>
          </w:p>
        </w:tc>
        <w:tc>
          <w:tcPr>
            <w:tcW w:w="759" w:type="dxa"/>
            <w:vAlign w:val="center"/>
          </w:tcPr>
          <w:p>
            <w:pPr>
              <w:spacing w:line="360" w:lineRule="auto"/>
              <w:jc w:val="center"/>
              <w:rPr>
                <w:rFonts w:cs="Arial"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8" w:type="dxa"/>
            <w:vMerge w:val="continue"/>
            <w:vAlign w:val="center"/>
          </w:tcPr>
          <w:p>
            <w:pPr>
              <w:spacing w:line="360" w:lineRule="auto"/>
              <w:jc w:val="center"/>
              <w:rPr>
                <w:rFonts w:cs="Arial" w:asciiTheme="minorEastAsia" w:hAnsiTheme="minorEastAsia" w:eastAsiaTheme="minorEastAsia"/>
                <w:szCs w:val="21"/>
                <w:highlight w:val="none"/>
              </w:rPr>
            </w:pPr>
          </w:p>
        </w:tc>
        <w:tc>
          <w:tcPr>
            <w:tcW w:w="1130" w:type="dxa"/>
            <w:vMerge w:val="continue"/>
            <w:vAlign w:val="center"/>
          </w:tcPr>
          <w:p>
            <w:pPr>
              <w:autoSpaceDE w:val="0"/>
              <w:autoSpaceDN w:val="0"/>
              <w:spacing w:line="300" w:lineRule="exact"/>
              <w:jc w:val="center"/>
              <w:rPr>
                <w:rFonts w:cs="Arial" w:asciiTheme="minorEastAsia" w:hAnsiTheme="minorEastAsia" w:eastAsiaTheme="minorEastAsia"/>
                <w:b/>
                <w:szCs w:val="21"/>
                <w:highlight w:val="none"/>
              </w:rPr>
            </w:pPr>
          </w:p>
        </w:tc>
        <w:tc>
          <w:tcPr>
            <w:tcW w:w="3686" w:type="dxa"/>
            <w:vAlign w:val="center"/>
          </w:tcPr>
          <w:p>
            <w:pPr>
              <w:autoSpaceDE w:val="0"/>
              <w:autoSpaceDN w:val="0"/>
              <w:spacing w:line="3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具有</w:t>
            </w:r>
            <w:r>
              <w:rPr>
                <w:rFonts w:asciiTheme="minorEastAsia" w:hAnsiTheme="minorEastAsia" w:eastAsiaTheme="minorEastAsia"/>
                <w:szCs w:val="21"/>
                <w:highlight w:val="none"/>
              </w:rPr>
              <w:t>ISO 9001质量管理体系认证证书、OHSAS 18001职业健康和安全管理体系认证证书、ISO14001环境管理体系认证。每提供一个证书得2分，最高得6分。</w:t>
            </w:r>
          </w:p>
          <w:p>
            <w:pPr>
              <w:autoSpaceDE w:val="0"/>
              <w:autoSpaceDN w:val="0"/>
              <w:spacing w:line="30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说明：按招标文件第六章格式9中的（2）编制，提供相关证书复印件。</w:t>
            </w:r>
          </w:p>
        </w:tc>
        <w:tc>
          <w:tcPr>
            <w:tcW w:w="851" w:type="dxa"/>
            <w:vAlign w:val="center"/>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6</w:t>
            </w: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708" w:type="dxa"/>
            <w:vAlign w:val="center"/>
          </w:tcPr>
          <w:p>
            <w:pPr>
              <w:spacing w:line="360" w:lineRule="auto"/>
              <w:jc w:val="center"/>
              <w:rPr>
                <w:rFonts w:cs="Arial" w:asciiTheme="minorEastAsia" w:hAnsiTheme="minorEastAsia" w:eastAsiaTheme="minorEastAsia"/>
                <w:szCs w:val="21"/>
                <w:highlight w:val="none"/>
              </w:rPr>
            </w:pPr>
          </w:p>
        </w:tc>
        <w:tc>
          <w:tcPr>
            <w:tcW w:w="759" w:type="dxa"/>
            <w:vAlign w:val="center"/>
          </w:tcPr>
          <w:p>
            <w:pPr>
              <w:spacing w:line="360" w:lineRule="auto"/>
              <w:jc w:val="center"/>
              <w:rPr>
                <w:rFonts w:cs="Arial"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center"/>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2</w:t>
            </w:r>
          </w:p>
        </w:tc>
        <w:tc>
          <w:tcPr>
            <w:tcW w:w="1130" w:type="dxa"/>
            <w:vAlign w:val="center"/>
          </w:tcPr>
          <w:p>
            <w:pPr>
              <w:spacing w:line="300" w:lineRule="exact"/>
              <w:jc w:val="center"/>
              <w:rPr>
                <w:rFonts w:cs="Arial" w:asciiTheme="minorEastAsia" w:hAnsiTheme="minorEastAsia" w:eastAsiaTheme="minorEastAsia"/>
                <w:b/>
                <w:szCs w:val="21"/>
                <w:highlight w:val="none"/>
              </w:rPr>
            </w:pPr>
            <w:r>
              <w:rPr>
                <w:rFonts w:hint="eastAsia" w:cs="Arial" w:asciiTheme="minorEastAsia" w:hAnsiTheme="minorEastAsia" w:eastAsiaTheme="minorEastAsia"/>
                <w:b/>
                <w:szCs w:val="21"/>
                <w:highlight w:val="none"/>
              </w:rPr>
              <w:t>财务状况</w:t>
            </w:r>
          </w:p>
        </w:tc>
        <w:tc>
          <w:tcPr>
            <w:tcW w:w="3686" w:type="dxa"/>
            <w:vAlign w:val="center"/>
          </w:tcPr>
          <w:p>
            <w:pPr>
              <w:autoSpaceDE w:val="0"/>
              <w:autoSpaceDN w:val="0"/>
              <w:spacing w:line="300" w:lineRule="exac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投标人</w:t>
            </w:r>
            <w:r>
              <w:rPr>
                <w:rFonts w:hint="eastAsia" w:cs="Arial" w:asciiTheme="minorEastAsia" w:hAnsiTheme="minorEastAsia" w:eastAsiaTheme="minorEastAsia"/>
                <w:szCs w:val="21"/>
                <w:highlight w:val="none"/>
              </w:rPr>
              <w:t>近三年</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201</w:t>
            </w: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-201</w:t>
            </w: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）主营业务累计营业额（万元）</w:t>
            </w:r>
            <w:r>
              <w:rPr>
                <w:rFonts w:hint="eastAsia" w:asciiTheme="minorEastAsia" w:hAnsiTheme="minorEastAsia" w:eastAsiaTheme="minorEastAsia"/>
                <w:bCs/>
                <w:szCs w:val="21"/>
                <w:highlight w:val="none"/>
              </w:rPr>
              <w:t>从高到低排名，</w:t>
            </w:r>
            <w:r>
              <w:rPr>
                <w:rFonts w:hint="eastAsia" w:cs="宋体" w:asciiTheme="minorEastAsia" w:hAnsiTheme="minorEastAsia" w:eastAsiaTheme="minorEastAsia"/>
                <w:szCs w:val="21"/>
                <w:highlight w:val="none"/>
              </w:rPr>
              <w:t>第</w:t>
            </w:r>
            <w:r>
              <w:rPr>
                <w:rFonts w:cs="宋体" w:asciiTheme="minorEastAsia" w:hAnsiTheme="minorEastAsia" w:eastAsiaTheme="minorEastAsia"/>
                <w:szCs w:val="21"/>
                <w:highlight w:val="none"/>
              </w:rPr>
              <w:t>1名10分，第2名7分，第3名4分，第4名1分</w:t>
            </w:r>
            <w:r>
              <w:rPr>
                <w:rFonts w:hint="eastAsia" w:cs="宋体" w:asciiTheme="minorEastAsia" w:hAnsiTheme="minorEastAsia" w:eastAsiaTheme="minorEastAsia"/>
                <w:szCs w:val="21"/>
                <w:highlight w:val="none"/>
              </w:rPr>
              <w:t>，其余不得分</w:t>
            </w:r>
            <w:r>
              <w:rPr>
                <w:rFonts w:cs="宋体" w:asciiTheme="minorEastAsia" w:hAnsiTheme="minorEastAsia" w:eastAsiaTheme="minorEastAsia"/>
                <w:szCs w:val="21"/>
                <w:highlight w:val="none"/>
              </w:rPr>
              <w:t>。</w:t>
            </w:r>
          </w:p>
          <w:p>
            <w:pPr>
              <w:autoSpaceDE w:val="0"/>
              <w:autoSpaceDN w:val="0"/>
              <w:spacing w:line="300" w:lineRule="exact"/>
              <w:rPr>
                <w:rFonts w:cs="Arial"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说明：</w:t>
            </w:r>
            <w:r>
              <w:rPr>
                <w:rFonts w:hint="eastAsia" w:asciiTheme="minorEastAsia" w:hAnsiTheme="minorEastAsia" w:eastAsiaTheme="minorEastAsia"/>
                <w:b/>
                <w:szCs w:val="21"/>
                <w:highlight w:val="none"/>
              </w:rPr>
              <w:t>按招标文件第六章格式10中的（1）编制，并提供经第三方会计师事务所审计的财务报表的复印件。</w:t>
            </w:r>
          </w:p>
        </w:tc>
        <w:tc>
          <w:tcPr>
            <w:tcW w:w="851" w:type="dxa"/>
            <w:vAlign w:val="center"/>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10</w:t>
            </w: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708" w:type="dxa"/>
            <w:vAlign w:val="center"/>
          </w:tcPr>
          <w:p>
            <w:pPr>
              <w:spacing w:line="360" w:lineRule="auto"/>
              <w:jc w:val="center"/>
              <w:rPr>
                <w:rFonts w:cs="Arial" w:asciiTheme="minorEastAsia" w:hAnsiTheme="minorEastAsia" w:eastAsiaTheme="minorEastAsia"/>
                <w:szCs w:val="21"/>
                <w:highlight w:val="none"/>
              </w:rPr>
            </w:pPr>
          </w:p>
        </w:tc>
        <w:tc>
          <w:tcPr>
            <w:tcW w:w="759" w:type="dxa"/>
            <w:vAlign w:val="center"/>
          </w:tcPr>
          <w:p>
            <w:pPr>
              <w:spacing w:line="360" w:lineRule="auto"/>
              <w:jc w:val="center"/>
              <w:rPr>
                <w:rFonts w:cs="Arial"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trPr>
        <w:tc>
          <w:tcPr>
            <w:tcW w:w="678" w:type="dxa"/>
            <w:vAlign w:val="center"/>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3</w:t>
            </w:r>
          </w:p>
        </w:tc>
        <w:tc>
          <w:tcPr>
            <w:tcW w:w="1130" w:type="dxa"/>
            <w:vAlign w:val="center"/>
          </w:tcPr>
          <w:p>
            <w:pPr>
              <w:spacing w:line="300" w:lineRule="exact"/>
              <w:jc w:val="center"/>
              <w:rPr>
                <w:rFonts w:cs="Arial" w:asciiTheme="minorEastAsia" w:hAnsiTheme="minorEastAsia" w:eastAsiaTheme="minorEastAsia"/>
                <w:b/>
                <w:szCs w:val="21"/>
                <w:highlight w:val="none"/>
              </w:rPr>
            </w:pPr>
            <w:r>
              <w:rPr>
                <w:rFonts w:hint="eastAsia" w:cs="Arial" w:asciiTheme="minorEastAsia" w:hAnsiTheme="minorEastAsia" w:eastAsiaTheme="minorEastAsia"/>
                <w:b/>
                <w:szCs w:val="21"/>
                <w:highlight w:val="none"/>
              </w:rPr>
              <w:t>同类</w:t>
            </w:r>
          </w:p>
          <w:p>
            <w:pPr>
              <w:spacing w:line="300" w:lineRule="exact"/>
              <w:jc w:val="center"/>
              <w:rPr>
                <w:rFonts w:asciiTheme="minorEastAsia" w:hAnsiTheme="minorEastAsia" w:eastAsiaTheme="minorEastAsia"/>
                <w:szCs w:val="21"/>
                <w:highlight w:val="none"/>
              </w:rPr>
            </w:pPr>
            <w:r>
              <w:rPr>
                <w:rFonts w:hint="eastAsia" w:cs="Arial" w:asciiTheme="minorEastAsia" w:hAnsiTheme="minorEastAsia" w:eastAsiaTheme="minorEastAsia"/>
                <w:b/>
                <w:szCs w:val="21"/>
                <w:highlight w:val="none"/>
              </w:rPr>
              <w:t>业绩</w:t>
            </w:r>
          </w:p>
        </w:tc>
        <w:tc>
          <w:tcPr>
            <w:tcW w:w="3686" w:type="dxa"/>
          </w:tcPr>
          <w:p>
            <w:pPr>
              <w:autoSpaceDE w:val="0"/>
              <w:autoSpaceDN w:val="0"/>
              <w:spacing w:line="3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投标人自2</w:t>
            </w:r>
            <w:r>
              <w:rPr>
                <w:rFonts w:asciiTheme="minorEastAsia" w:hAnsiTheme="minorEastAsia" w:eastAsiaTheme="minorEastAsia"/>
                <w:szCs w:val="21"/>
                <w:highlight w:val="none"/>
              </w:rPr>
              <w:t>016</w:t>
            </w:r>
            <w:r>
              <w:rPr>
                <w:rFonts w:hint="eastAsia" w:asciiTheme="minorEastAsia" w:hAnsiTheme="minorEastAsia" w:eastAsiaTheme="minorEastAsia"/>
                <w:szCs w:val="21"/>
                <w:highlight w:val="none"/>
              </w:rPr>
              <w:t>年1月1日起至投标截止日期止工矿企业的生产辅助服务业绩，</w:t>
            </w:r>
            <w:r>
              <w:rPr>
                <w:rFonts w:hint="eastAsia" w:ascii="宋体" w:hAnsi="宋体"/>
                <w:szCs w:val="21"/>
                <w:highlight w:val="none"/>
              </w:rPr>
              <w:t>业绩有效时间以合同签订时间为准</w:t>
            </w:r>
            <w:r>
              <w:rPr>
                <w:rFonts w:hint="eastAsia" w:asciiTheme="minorEastAsia" w:hAnsiTheme="minorEastAsia" w:eastAsiaTheme="minorEastAsia"/>
                <w:szCs w:val="21"/>
                <w:highlight w:val="none"/>
              </w:rPr>
              <w:t>。</w:t>
            </w:r>
          </w:p>
          <w:p>
            <w:pPr>
              <w:autoSpaceDE w:val="0"/>
              <w:autoSpaceDN w:val="0"/>
              <w:spacing w:line="3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每提供一个业绩得</w:t>
            </w:r>
            <w:r>
              <w:rPr>
                <w:rFonts w:asciiTheme="minorEastAsia" w:hAnsiTheme="minorEastAsia" w:eastAsiaTheme="minorEastAsia"/>
                <w:szCs w:val="21"/>
                <w:highlight w:val="none"/>
              </w:rPr>
              <w:t>5分，最高得30</w:t>
            </w:r>
            <w:r>
              <w:rPr>
                <w:rFonts w:hint="eastAsia" w:asciiTheme="minorEastAsia" w:hAnsiTheme="minorEastAsia" w:eastAsiaTheme="minorEastAsia"/>
                <w:szCs w:val="21"/>
                <w:highlight w:val="none"/>
              </w:rPr>
              <w:t>分。</w:t>
            </w:r>
          </w:p>
          <w:p>
            <w:pPr>
              <w:autoSpaceDE w:val="0"/>
              <w:autoSpaceDN w:val="0"/>
              <w:spacing w:line="300" w:lineRule="exact"/>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说明：按招标文件第六章格式11编制，并提供合同关键页复印件，关键页包括封面页、签字盖章页和主要内容页。</w:t>
            </w:r>
          </w:p>
        </w:tc>
        <w:tc>
          <w:tcPr>
            <w:tcW w:w="851" w:type="dxa"/>
            <w:vAlign w:val="center"/>
          </w:tcPr>
          <w:p>
            <w:pPr>
              <w:spacing w:line="360" w:lineRule="auto"/>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30</w:t>
            </w: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708" w:type="dxa"/>
            <w:vAlign w:val="center"/>
          </w:tcPr>
          <w:p>
            <w:pPr>
              <w:spacing w:line="360" w:lineRule="auto"/>
              <w:jc w:val="center"/>
              <w:rPr>
                <w:rFonts w:cs="Arial" w:asciiTheme="minorEastAsia" w:hAnsiTheme="minorEastAsia" w:eastAsiaTheme="minorEastAsia"/>
                <w:szCs w:val="21"/>
                <w:highlight w:val="none"/>
              </w:rPr>
            </w:pPr>
          </w:p>
        </w:tc>
        <w:tc>
          <w:tcPr>
            <w:tcW w:w="759" w:type="dxa"/>
            <w:vAlign w:val="center"/>
          </w:tcPr>
          <w:p>
            <w:pPr>
              <w:spacing w:line="360" w:lineRule="auto"/>
              <w:jc w:val="center"/>
              <w:rPr>
                <w:rFonts w:cs="Arial"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678" w:type="dxa"/>
            <w:vAlign w:val="center"/>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4</w:t>
            </w:r>
          </w:p>
        </w:tc>
        <w:tc>
          <w:tcPr>
            <w:tcW w:w="1130" w:type="dxa"/>
            <w:vAlign w:val="center"/>
          </w:tcPr>
          <w:p>
            <w:pPr>
              <w:spacing w:line="300" w:lineRule="exact"/>
              <w:jc w:val="center"/>
              <w:rPr>
                <w:rFonts w:cs="Arial" w:asciiTheme="minorEastAsia" w:hAnsiTheme="minorEastAsia" w:eastAsiaTheme="minorEastAsia"/>
                <w:b/>
                <w:szCs w:val="21"/>
                <w:highlight w:val="none"/>
              </w:rPr>
            </w:pPr>
            <w:r>
              <w:rPr>
                <w:rFonts w:hint="eastAsia" w:cs="Arial" w:asciiTheme="minorEastAsia" w:hAnsiTheme="minorEastAsia" w:eastAsiaTheme="minorEastAsia"/>
                <w:b/>
                <w:szCs w:val="21"/>
                <w:highlight w:val="none"/>
              </w:rPr>
              <w:t>拟派管理本项目的管理人员的资质情况</w:t>
            </w:r>
          </w:p>
        </w:tc>
        <w:tc>
          <w:tcPr>
            <w:tcW w:w="3686"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根据管理人员的职业介绍从业人员资格证、经验等资质情况进行比较，得出结论。</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结论为一般得</w:t>
            </w:r>
            <w:r>
              <w:rPr>
                <w:rFonts w:asciiTheme="minorEastAsia" w:hAnsiTheme="minorEastAsia" w:eastAsiaTheme="minorEastAsia"/>
                <w:szCs w:val="21"/>
                <w:highlight w:val="none"/>
              </w:rPr>
              <w:t>0～5分；良好得 6～10分；优秀得11～15分。</w:t>
            </w:r>
          </w:p>
          <w:p>
            <w:pPr>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说明：按招标文件第六章格式15中的（1）编制。</w:t>
            </w:r>
          </w:p>
        </w:tc>
        <w:tc>
          <w:tcPr>
            <w:tcW w:w="851" w:type="dxa"/>
            <w:vAlign w:val="center"/>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15</w:t>
            </w: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708" w:type="dxa"/>
            <w:vAlign w:val="center"/>
          </w:tcPr>
          <w:p>
            <w:pPr>
              <w:spacing w:line="360" w:lineRule="auto"/>
              <w:jc w:val="center"/>
              <w:rPr>
                <w:rFonts w:cs="Arial" w:asciiTheme="minorEastAsia" w:hAnsiTheme="minorEastAsia" w:eastAsiaTheme="minorEastAsia"/>
                <w:szCs w:val="21"/>
                <w:highlight w:val="none"/>
              </w:rPr>
            </w:pPr>
          </w:p>
        </w:tc>
        <w:tc>
          <w:tcPr>
            <w:tcW w:w="759" w:type="dxa"/>
            <w:vAlign w:val="center"/>
          </w:tcPr>
          <w:p>
            <w:pPr>
              <w:spacing w:line="360" w:lineRule="auto"/>
              <w:jc w:val="center"/>
              <w:rPr>
                <w:rFonts w:cs="Arial"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trPr>
        <w:tc>
          <w:tcPr>
            <w:tcW w:w="678" w:type="dxa"/>
            <w:vAlign w:val="center"/>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5</w:t>
            </w:r>
          </w:p>
        </w:tc>
        <w:tc>
          <w:tcPr>
            <w:tcW w:w="1130" w:type="dxa"/>
            <w:vAlign w:val="center"/>
          </w:tcPr>
          <w:p>
            <w:pPr>
              <w:spacing w:line="300" w:lineRule="exact"/>
              <w:jc w:val="center"/>
              <w:rPr>
                <w:rFonts w:cs="Arial" w:asciiTheme="minorEastAsia" w:hAnsiTheme="minorEastAsia" w:eastAsiaTheme="minorEastAsia"/>
                <w:b/>
                <w:szCs w:val="21"/>
                <w:highlight w:val="none"/>
              </w:rPr>
            </w:pPr>
            <w:r>
              <w:rPr>
                <w:rFonts w:hint="eastAsia" w:cs="Arial" w:asciiTheme="minorEastAsia" w:hAnsiTheme="minorEastAsia" w:eastAsiaTheme="minorEastAsia"/>
                <w:b/>
                <w:szCs w:val="21"/>
                <w:highlight w:val="none"/>
              </w:rPr>
              <w:t>应急保障能力</w:t>
            </w:r>
          </w:p>
        </w:tc>
        <w:tc>
          <w:tcPr>
            <w:tcW w:w="3686" w:type="dxa"/>
            <w:vAlign w:val="center"/>
          </w:tcPr>
          <w:p>
            <w:pPr>
              <w:autoSpaceDE w:val="0"/>
              <w:autoSpaceDN w:val="0"/>
              <w:spacing w:line="3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根据投标</w:t>
            </w:r>
            <w:r>
              <w:rPr>
                <w:rFonts w:hint="eastAsia" w:asciiTheme="minorEastAsia" w:hAnsiTheme="minorEastAsia" w:eastAsiaTheme="minorEastAsia"/>
                <w:szCs w:val="21"/>
                <w:highlight w:val="none"/>
                <w:lang w:eastAsia="zh-CN"/>
              </w:rPr>
              <w:t>人</w:t>
            </w:r>
            <w:r>
              <w:rPr>
                <w:rFonts w:hint="eastAsia" w:asciiTheme="minorEastAsia" w:hAnsiTheme="minorEastAsia" w:eastAsiaTheme="minorEastAsia"/>
                <w:szCs w:val="21"/>
                <w:highlight w:val="none"/>
              </w:rPr>
              <w:t>提供应急保障方案进行审核，评定，得出结论：评定为一般</w:t>
            </w:r>
            <w:r>
              <w:rPr>
                <w:rFonts w:asciiTheme="minorEastAsia" w:hAnsiTheme="minorEastAsia" w:eastAsiaTheme="minorEastAsia"/>
                <w:szCs w:val="21"/>
                <w:highlight w:val="none"/>
              </w:rPr>
              <w:t xml:space="preserve"> 0～5分，良好 6～10分，优秀 11～15分。</w:t>
            </w:r>
          </w:p>
          <w:p>
            <w:pPr>
              <w:autoSpaceDE w:val="0"/>
              <w:autoSpaceDN w:val="0"/>
              <w:spacing w:line="300" w:lineRule="exact"/>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说明：按招标文件第六章格式12中的（1）编制。</w:t>
            </w:r>
          </w:p>
        </w:tc>
        <w:tc>
          <w:tcPr>
            <w:tcW w:w="851" w:type="dxa"/>
            <w:vAlign w:val="center"/>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15</w:t>
            </w: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708" w:type="dxa"/>
            <w:vAlign w:val="center"/>
          </w:tcPr>
          <w:p>
            <w:pPr>
              <w:spacing w:line="360" w:lineRule="auto"/>
              <w:jc w:val="center"/>
              <w:rPr>
                <w:rFonts w:cs="Arial" w:asciiTheme="minorEastAsia" w:hAnsiTheme="minorEastAsia" w:eastAsiaTheme="minorEastAsia"/>
                <w:szCs w:val="21"/>
                <w:highlight w:val="none"/>
              </w:rPr>
            </w:pPr>
          </w:p>
        </w:tc>
        <w:tc>
          <w:tcPr>
            <w:tcW w:w="759" w:type="dxa"/>
            <w:vAlign w:val="center"/>
          </w:tcPr>
          <w:p>
            <w:pPr>
              <w:spacing w:line="360" w:lineRule="auto"/>
              <w:jc w:val="center"/>
              <w:rPr>
                <w:rFonts w:cs="Arial"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atLeast"/>
        </w:trPr>
        <w:tc>
          <w:tcPr>
            <w:tcW w:w="678" w:type="dxa"/>
            <w:vAlign w:val="center"/>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6</w:t>
            </w:r>
          </w:p>
        </w:tc>
        <w:tc>
          <w:tcPr>
            <w:tcW w:w="1130" w:type="dxa"/>
            <w:vAlign w:val="center"/>
          </w:tcPr>
          <w:p>
            <w:pPr>
              <w:spacing w:line="300" w:lineRule="exact"/>
              <w:jc w:val="center"/>
              <w:rPr>
                <w:rFonts w:cs="Arial" w:asciiTheme="minorEastAsia" w:hAnsiTheme="minorEastAsia" w:eastAsiaTheme="minorEastAsia"/>
                <w:b/>
                <w:szCs w:val="21"/>
                <w:highlight w:val="none"/>
              </w:rPr>
            </w:pPr>
            <w:r>
              <w:rPr>
                <w:rFonts w:hint="eastAsia" w:cs="Arial" w:asciiTheme="minorEastAsia" w:hAnsiTheme="minorEastAsia" w:eastAsiaTheme="minorEastAsia"/>
                <w:b/>
                <w:szCs w:val="21"/>
                <w:highlight w:val="none"/>
              </w:rPr>
              <w:t>人员配置及服务管理</w:t>
            </w:r>
          </w:p>
        </w:tc>
        <w:tc>
          <w:tcPr>
            <w:tcW w:w="3686" w:type="dxa"/>
            <w:vAlign w:val="center"/>
          </w:tcPr>
          <w:p>
            <w:pPr>
              <w:autoSpaceDE w:val="0"/>
              <w:autoSpaceDN w:val="0"/>
              <w:spacing w:line="3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组织机构设置合理（具备</w:t>
            </w:r>
            <w:r>
              <w:rPr>
                <w:rFonts w:cs="宋体" w:asciiTheme="minorEastAsia" w:hAnsiTheme="minorEastAsia" w:eastAsiaTheme="minorEastAsia"/>
                <w:szCs w:val="21"/>
                <w:highlight w:val="none"/>
              </w:rPr>
              <w:t>24小时生产的人员配置）；服务管理方案(涉及到人员架构、驻场管理、安全文明生产管理）完整</w:t>
            </w:r>
            <w:r>
              <w:rPr>
                <w:rFonts w:hint="eastAsia" w:cs="宋体" w:asciiTheme="minorEastAsia" w:hAnsiTheme="minorEastAsia" w:eastAsiaTheme="minorEastAsia"/>
                <w:szCs w:val="21"/>
                <w:highlight w:val="none"/>
              </w:rPr>
              <w:t>且</w:t>
            </w:r>
            <w:r>
              <w:rPr>
                <w:rFonts w:cs="宋体" w:asciiTheme="minorEastAsia" w:hAnsiTheme="minorEastAsia" w:eastAsiaTheme="minorEastAsia"/>
                <w:szCs w:val="21"/>
                <w:highlight w:val="none"/>
              </w:rPr>
              <w:t>具有可操作性</w:t>
            </w:r>
            <w:r>
              <w:rPr>
                <w:rFonts w:hint="eastAsia" w:cs="宋体" w:asciiTheme="minorEastAsia" w:hAnsiTheme="minorEastAsia" w:eastAsiaTheme="minorEastAsia"/>
                <w:szCs w:val="21"/>
                <w:highlight w:val="none"/>
              </w:rPr>
              <w:t>；</w:t>
            </w:r>
          </w:p>
          <w:p>
            <w:pPr>
              <w:autoSpaceDE w:val="0"/>
              <w:autoSpaceDN w:val="0"/>
              <w:spacing w:line="3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总体评定为一般</w:t>
            </w:r>
            <w:r>
              <w:rPr>
                <w:rFonts w:asciiTheme="minorEastAsia" w:hAnsiTheme="minorEastAsia" w:eastAsiaTheme="minorEastAsia"/>
                <w:szCs w:val="21"/>
                <w:highlight w:val="none"/>
              </w:rPr>
              <w:t xml:space="preserve"> 0～3分，良好 4～6分，优秀 7～10分。</w:t>
            </w:r>
          </w:p>
          <w:p>
            <w:pPr>
              <w:autoSpaceDE w:val="0"/>
              <w:autoSpaceDN w:val="0"/>
              <w:spacing w:line="300" w:lineRule="exact"/>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说明：按招标文件第六章格式12中的（2）与格式15编制。</w:t>
            </w:r>
          </w:p>
        </w:tc>
        <w:tc>
          <w:tcPr>
            <w:tcW w:w="851" w:type="dxa"/>
            <w:vAlign w:val="center"/>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10</w:t>
            </w: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708" w:type="dxa"/>
            <w:vAlign w:val="center"/>
          </w:tcPr>
          <w:p>
            <w:pPr>
              <w:spacing w:line="360" w:lineRule="auto"/>
              <w:jc w:val="center"/>
              <w:rPr>
                <w:rFonts w:cs="Arial" w:asciiTheme="minorEastAsia" w:hAnsiTheme="minorEastAsia" w:eastAsiaTheme="minorEastAsia"/>
                <w:szCs w:val="21"/>
                <w:highlight w:val="none"/>
              </w:rPr>
            </w:pPr>
          </w:p>
        </w:tc>
        <w:tc>
          <w:tcPr>
            <w:tcW w:w="759" w:type="dxa"/>
            <w:vAlign w:val="center"/>
          </w:tcPr>
          <w:p>
            <w:pPr>
              <w:spacing w:line="360" w:lineRule="auto"/>
              <w:jc w:val="center"/>
              <w:rPr>
                <w:rFonts w:cs="Arial"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atLeast"/>
        </w:trPr>
        <w:tc>
          <w:tcPr>
            <w:tcW w:w="678" w:type="dxa"/>
            <w:vAlign w:val="center"/>
          </w:tcPr>
          <w:p>
            <w:pPr>
              <w:spacing w:line="360" w:lineRule="auto"/>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7</w:t>
            </w:r>
          </w:p>
        </w:tc>
        <w:tc>
          <w:tcPr>
            <w:tcW w:w="1130" w:type="dxa"/>
            <w:vAlign w:val="center"/>
          </w:tcPr>
          <w:p>
            <w:pPr>
              <w:spacing w:line="300" w:lineRule="exact"/>
              <w:jc w:val="center"/>
              <w:rPr>
                <w:rFonts w:cs="Arial" w:asciiTheme="minorEastAsia" w:hAnsiTheme="minorEastAsia" w:eastAsiaTheme="minorEastAsia"/>
                <w:b/>
                <w:szCs w:val="21"/>
                <w:highlight w:val="none"/>
              </w:rPr>
            </w:pPr>
            <w:r>
              <w:rPr>
                <w:rFonts w:hint="eastAsia" w:cs="Arial" w:asciiTheme="minorEastAsia" w:hAnsiTheme="minorEastAsia" w:eastAsiaTheme="minorEastAsia"/>
                <w:b/>
                <w:szCs w:val="21"/>
                <w:highlight w:val="none"/>
              </w:rPr>
              <w:t>实缴注册资金</w:t>
            </w:r>
          </w:p>
        </w:tc>
        <w:tc>
          <w:tcPr>
            <w:tcW w:w="3686" w:type="dxa"/>
            <w:vAlign w:val="center"/>
          </w:tcPr>
          <w:p>
            <w:pPr>
              <w:autoSpaceDE w:val="0"/>
              <w:autoSpaceDN w:val="0"/>
              <w:spacing w:line="3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实缴注册资金为：100万元（含）以下的得1分，100万元-300万元（含）得2分，300万元-500万元（含）得3分，500万-1000万元（含）得4分，1000万元以上得5分。</w:t>
            </w:r>
          </w:p>
          <w:p>
            <w:pPr>
              <w:autoSpaceDE w:val="0"/>
              <w:autoSpaceDN w:val="0"/>
              <w:spacing w:line="300" w:lineRule="exact"/>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说明：按招标文件第六章格式10中的（2）编制。</w:t>
            </w:r>
          </w:p>
        </w:tc>
        <w:tc>
          <w:tcPr>
            <w:tcW w:w="851" w:type="dxa"/>
            <w:vAlign w:val="center"/>
          </w:tcPr>
          <w:p>
            <w:pPr>
              <w:spacing w:line="360" w:lineRule="auto"/>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5</w:t>
            </w: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708" w:type="dxa"/>
            <w:vAlign w:val="center"/>
          </w:tcPr>
          <w:p>
            <w:pPr>
              <w:spacing w:line="360" w:lineRule="auto"/>
              <w:jc w:val="center"/>
              <w:rPr>
                <w:rFonts w:cs="Arial" w:asciiTheme="minorEastAsia" w:hAnsiTheme="minorEastAsia" w:eastAsiaTheme="minorEastAsia"/>
                <w:szCs w:val="21"/>
                <w:highlight w:val="none"/>
              </w:rPr>
            </w:pPr>
          </w:p>
        </w:tc>
        <w:tc>
          <w:tcPr>
            <w:tcW w:w="759" w:type="dxa"/>
            <w:vAlign w:val="center"/>
          </w:tcPr>
          <w:p>
            <w:pPr>
              <w:spacing w:line="360" w:lineRule="auto"/>
              <w:jc w:val="center"/>
              <w:rPr>
                <w:rFonts w:cs="Arial"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trPr>
        <w:tc>
          <w:tcPr>
            <w:tcW w:w="1808" w:type="dxa"/>
            <w:gridSpan w:val="2"/>
            <w:vAlign w:val="bottom"/>
          </w:tcPr>
          <w:p>
            <w:pPr>
              <w:spacing w:line="360" w:lineRule="auto"/>
              <w:jc w:val="center"/>
              <w:rPr>
                <w:rFonts w:cs="Arial" w:asciiTheme="minorEastAsia" w:hAnsiTheme="minorEastAsia" w:eastAsiaTheme="minorEastAsia"/>
                <w:b/>
                <w:szCs w:val="21"/>
                <w:highlight w:val="none"/>
              </w:rPr>
            </w:pPr>
            <w:r>
              <w:rPr>
                <w:rFonts w:hint="eastAsia" w:cs="Arial" w:asciiTheme="minorEastAsia" w:hAnsiTheme="minorEastAsia" w:eastAsiaTheme="minorEastAsia"/>
                <w:b/>
                <w:szCs w:val="21"/>
                <w:highlight w:val="none"/>
              </w:rPr>
              <w:t>总分</w:t>
            </w:r>
          </w:p>
        </w:tc>
        <w:tc>
          <w:tcPr>
            <w:tcW w:w="4537" w:type="dxa"/>
            <w:gridSpan w:val="2"/>
            <w:vAlign w:val="bottom"/>
          </w:tcPr>
          <w:p>
            <w:pPr>
              <w:spacing w:line="360" w:lineRule="auto"/>
              <w:jc w:val="center"/>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100</w:t>
            </w: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851" w:type="dxa"/>
            <w:vAlign w:val="center"/>
          </w:tcPr>
          <w:p>
            <w:pPr>
              <w:spacing w:line="360" w:lineRule="auto"/>
              <w:jc w:val="center"/>
              <w:rPr>
                <w:rFonts w:cs="Arial" w:asciiTheme="minorEastAsia" w:hAnsiTheme="minorEastAsia" w:eastAsiaTheme="minorEastAsia"/>
                <w:szCs w:val="21"/>
                <w:highlight w:val="none"/>
              </w:rPr>
            </w:pPr>
          </w:p>
        </w:tc>
        <w:tc>
          <w:tcPr>
            <w:tcW w:w="708" w:type="dxa"/>
            <w:vAlign w:val="center"/>
          </w:tcPr>
          <w:p>
            <w:pPr>
              <w:spacing w:line="360" w:lineRule="auto"/>
              <w:jc w:val="center"/>
              <w:rPr>
                <w:rFonts w:cs="Arial" w:asciiTheme="minorEastAsia" w:hAnsiTheme="minorEastAsia" w:eastAsiaTheme="minorEastAsia"/>
                <w:szCs w:val="21"/>
                <w:highlight w:val="none"/>
              </w:rPr>
            </w:pPr>
          </w:p>
        </w:tc>
        <w:tc>
          <w:tcPr>
            <w:tcW w:w="759" w:type="dxa"/>
            <w:vAlign w:val="center"/>
          </w:tcPr>
          <w:p>
            <w:pPr>
              <w:spacing w:line="360" w:lineRule="auto"/>
              <w:jc w:val="center"/>
              <w:rPr>
                <w:rFonts w:cs="Arial" w:asciiTheme="minorEastAsia" w:hAnsiTheme="minorEastAsia" w:eastAsiaTheme="minorEastAsia"/>
                <w:szCs w:val="21"/>
                <w:highlight w:val="none"/>
              </w:rPr>
            </w:pPr>
          </w:p>
        </w:tc>
      </w:tr>
    </w:tbl>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w:t>
      </w:r>
      <w:r>
        <w:rPr>
          <w:rFonts w:asciiTheme="minorEastAsia" w:hAnsiTheme="minorEastAsia" w:eastAsiaTheme="minorEastAsia"/>
          <w:szCs w:val="21"/>
          <w:highlight w:val="none"/>
        </w:rPr>
        <w:t>1、以上评审，投标人未提供证明材料的不得分。</w:t>
      </w:r>
    </w:p>
    <w:p>
      <w:pPr>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2、业绩及相关奖励证书按第六章投标文件格式列出一览表。</w:t>
      </w:r>
    </w:p>
    <w:p>
      <w:pPr>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3、投标人商务、技术分为各评委的总评分的算术平均值。</w:t>
      </w: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spacing w:line="360" w:lineRule="auto"/>
        <w:ind w:firstLine="420" w:firstLineChars="200"/>
        <w:rPr>
          <w:rFonts w:ascii="宋体" w:hAnsi="宋体"/>
          <w:szCs w:val="21"/>
          <w:highlight w:val="none"/>
        </w:rPr>
      </w:pPr>
      <w:r>
        <w:rPr>
          <w:rFonts w:hint="eastAsia" w:ascii="宋体" w:hAnsi="宋体"/>
          <w:szCs w:val="21"/>
          <w:highlight w:val="none"/>
        </w:rPr>
        <w:t xml:space="preserve">评委签名：                                                                        </w:t>
      </w:r>
    </w:p>
    <w:p>
      <w:pPr>
        <w:spacing w:line="360" w:lineRule="auto"/>
        <w:ind w:firstLine="420" w:firstLineChars="200"/>
        <w:rPr>
          <w:rFonts w:ascii="宋体" w:hAnsi="宋体"/>
          <w:szCs w:val="21"/>
          <w:highlight w:val="none"/>
        </w:rPr>
      </w:pPr>
      <w:r>
        <w:rPr>
          <w:rFonts w:hint="eastAsia" w:ascii="宋体" w:hAnsi="宋体"/>
          <w:szCs w:val="21"/>
          <w:highlight w:val="none"/>
        </w:rPr>
        <w:t>监督人员签名：</w:t>
      </w:r>
    </w:p>
    <w:p>
      <w:pPr>
        <w:pStyle w:val="12"/>
        <w:ind w:firstLine="480" w:firstLineChars="200"/>
        <w:rPr>
          <w:rFonts w:asciiTheme="minorEastAsia" w:hAnsiTheme="minorEastAsia" w:eastAsiaTheme="minorEastAsia"/>
          <w:b/>
          <w:bCs/>
          <w:sz w:val="21"/>
          <w:szCs w:val="21"/>
          <w:highlight w:val="none"/>
        </w:rPr>
      </w:pPr>
      <w:r>
        <w:rPr>
          <w:rFonts w:hint="eastAsia"/>
          <w:kern w:val="10"/>
          <w:szCs w:val="21"/>
          <w:highlight w:val="none"/>
        </w:rPr>
        <w:t>日</w:t>
      </w:r>
      <w:r>
        <w:rPr>
          <w:rFonts w:hint="eastAsia"/>
          <w:szCs w:val="21"/>
          <w:highlight w:val="none"/>
        </w:rPr>
        <w:t>期：</w:t>
      </w: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12"/>
        <w:ind w:firstLine="0"/>
        <w:rPr>
          <w:rFonts w:asciiTheme="minorEastAsia" w:hAnsiTheme="minorEastAsia" w:eastAsiaTheme="minorEastAsia"/>
          <w:b/>
          <w:bCs/>
          <w:sz w:val="21"/>
          <w:szCs w:val="21"/>
          <w:highlight w:val="none"/>
        </w:rPr>
      </w:pPr>
    </w:p>
    <w:p>
      <w:pPr>
        <w:pStyle w:val="3"/>
        <w:numPr>
          <w:ilvl w:val="255"/>
          <w:numId w:val="0"/>
        </w:numPr>
        <w:snapToGrid w:val="0"/>
        <w:spacing w:before="120" w:after="120"/>
        <w:ind w:left="426"/>
        <w:jc w:val="left"/>
        <w:rPr>
          <w:sz w:val="24"/>
          <w:szCs w:val="24"/>
          <w:highlight w:val="none"/>
        </w:rPr>
      </w:pPr>
      <w:bookmarkStart w:id="382" w:name="_Toc28855"/>
      <w:bookmarkStart w:id="383" w:name="_Toc21050"/>
      <w:r>
        <w:rPr>
          <w:rFonts w:hint="eastAsia"/>
          <w:sz w:val="24"/>
          <w:szCs w:val="24"/>
          <w:highlight w:val="none"/>
        </w:rPr>
        <w:t>附表5：经济标评分表（权重占70%）</w:t>
      </w:r>
      <w:bookmarkEnd w:id="382"/>
      <w:bookmarkEnd w:id="383"/>
    </w:p>
    <w:tbl>
      <w:tblPr>
        <w:tblStyle w:val="42"/>
        <w:tblW w:w="9371" w:type="dxa"/>
        <w:tblInd w:w="93" w:type="dxa"/>
        <w:tblLayout w:type="fixed"/>
        <w:tblCellMar>
          <w:top w:w="0" w:type="dxa"/>
          <w:left w:w="108" w:type="dxa"/>
          <w:bottom w:w="0" w:type="dxa"/>
          <w:right w:w="108" w:type="dxa"/>
        </w:tblCellMar>
      </w:tblPr>
      <w:tblGrid>
        <w:gridCol w:w="774"/>
        <w:gridCol w:w="2360"/>
        <w:gridCol w:w="992"/>
        <w:gridCol w:w="992"/>
        <w:gridCol w:w="1134"/>
        <w:gridCol w:w="851"/>
        <w:gridCol w:w="1134"/>
        <w:gridCol w:w="1134"/>
      </w:tblGrid>
      <w:tr>
        <w:tblPrEx>
          <w:tblLayout w:type="fixed"/>
          <w:tblCellMar>
            <w:top w:w="0" w:type="dxa"/>
            <w:left w:w="108" w:type="dxa"/>
            <w:bottom w:w="0" w:type="dxa"/>
            <w:right w:w="108" w:type="dxa"/>
          </w:tblCellMar>
        </w:tblPrEx>
        <w:trPr>
          <w:trHeight w:val="750" w:hRule="atLeast"/>
        </w:trPr>
        <w:tc>
          <w:tcPr>
            <w:tcW w:w="9371" w:type="dxa"/>
            <w:gridSpan w:val="8"/>
            <w:tcBorders>
              <w:top w:val="nil"/>
              <w:left w:val="nil"/>
              <w:bottom w:val="single" w:color="auto" w:sz="4" w:space="0"/>
              <w:right w:val="nil"/>
            </w:tcBorders>
            <w:shd w:val="clear" w:color="auto" w:fill="auto"/>
            <w:vAlign w:val="bottom"/>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项目名称：</w:t>
            </w:r>
            <w:r>
              <w:rPr>
                <w:rFonts w:hint="eastAsia" w:asciiTheme="minorEastAsia" w:hAnsiTheme="minorEastAsia" w:eastAsiaTheme="minorEastAsia"/>
                <w:color w:val="000000"/>
                <w:szCs w:val="21"/>
                <w:highlight w:val="none"/>
              </w:rPr>
              <w:t>佛山市恒益环保建材有限公司加气砌块生产辅助业务外委采购项目</w:t>
            </w:r>
          </w:p>
        </w:tc>
      </w:tr>
      <w:tr>
        <w:tblPrEx>
          <w:tblLayout w:type="fixed"/>
          <w:tblCellMar>
            <w:top w:w="0" w:type="dxa"/>
            <w:left w:w="108" w:type="dxa"/>
            <w:bottom w:w="0" w:type="dxa"/>
            <w:right w:w="108" w:type="dxa"/>
          </w:tblCellMar>
        </w:tblPrEx>
        <w:trPr>
          <w:trHeight w:val="1002" w:hRule="atLeast"/>
        </w:trPr>
        <w:tc>
          <w:tcPr>
            <w:tcW w:w="774"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序号</w:t>
            </w:r>
          </w:p>
        </w:tc>
        <w:tc>
          <w:tcPr>
            <w:tcW w:w="236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投标单位</w:t>
            </w:r>
          </w:p>
        </w:tc>
        <w:tc>
          <w:tcPr>
            <w:tcW w:w="992"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含税总价</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万元</w:t>
            </w:r>
            <w:r>
              <w:rPr>
                <w:rFonts w:cs="宋体" w:asciiTheme="minorEastAsia" w:hAnsiTheme="minorEastAsia" w:eastAsiaTheme="minorEastAsia"/>
                <w:szCs w:val="21"/>
                <w:highlight w:val="none"/>
              </w:rPr>
              <w:t>)</w:t>
            </w:r>
          </w:p>
        </w:tc>
        <w:tc>
          <w:tcPr>
            <w:tcW w:w="992"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hint="eastAsia" w:ascii="宋体" w:hAnsi="宋体"/>
                <w:szCs w:val="21"/>
                <w:highlight w:val="none"/>
              </w:rPr>
              <w:t>评审价（万元）</w:t>
            </w: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评标参考价（万元）</w:t>
            </w:r>
          </w:p>
        </w:tc>
        <w:tc>
          <w:tcPr>
            <w:tcW w:w="85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偏差值</w:t>
            </w: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扣分</w:t>
            </w: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价格得分</w:t>
            </w:r>
          </w:p>
        </w:tc>
      </w:tr>
      <w:tr>
        <w:tblPrEx>
          <w:tblLayout w:type="fixed"/>
          <w:tblCellMar>
            <w:top w:w="0" w:type="dxa"/>
            <w:left w:w="108" w:type="dxa"/>
            <w:bottom w:w="0" w:type="dxa"/>
            <w:right w:w="108" w:type="dxa"/>
          </w:tblCellMar>
        </w:tblPrEx>
        <w:trPr>
          <w:trHeight w:val="705" w:hRule="atLeast"/>
        </w:trPr>
        <w:tc>
          <w:tcPr>
            <w:tcW w:w="774"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w:t>
            </w:r>
          </w:p>
        </w:tc>
        <w:tc>
          <w:tcPr>
            <w:tcW w:w="2360" w:type="dxa"/>
            <w:tcBorders>
              <w:top w:val="nil"/>
              <w:left w:val="nil"/>
              <w:bottom w:val="single" w:color="000000" w:sz="4" w:space="0"/>
              <w:right w:val="nil"/>
            </w:tcBorders>
            <w:shd w:val="clear" w:color="000000" w:fill="FFFFFF"/>
            <w:vAlign w:val="center"/>
          </w:tcPr>
          <w:p>
            <w:pPr>
              <w:jc w:val="center"/>
              <w:rPr>
                <w:rFonts w:cs="宋体" w:asciiTheme="minorEastAsia" w:hAnsiTheme="minorEastAsia" w:eastAsiaTheme="minorEastAsia"/>
                <w:color w:val="000000"/>
                <w:szCs w:val="21"/>
                <w:highlight w:val="none"/>
              </w:rPr>
            </w:pPr>
          </w:p>
        </w:tc>
        <w:tc>
          <w:tcPr>
            <w:tcW w:w="992" w:type="dxa"/>
            <w:tcBorders>
              <w:top w:val="nil"/>
              <w:left w:val="single" w:color="auto" w:sz="4" w:space="0"/>
              <w:bottom w:val="nil"/>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992" w:type="dxa"/>
            <w:tcBorders>
              <w:top w:val="nil"/>
              <w:left w:val="single" w:color="auto" w:sz="4" w:space="0"/>
              <w:bottom w:val="nil"/>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vMerge w:val="restart"/>
            <w:tcBorders>
              <w:top w:val="nil"/>
              <w:left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r>
      <w:tr>
        <w:tblPrEx>
          <w:tblLayout w:type="fixed"/>
          <w:tblCellMar>
            <w:top w:w="0" w:type="dxa"/>
            <w:left w:w="108" w:type="dxa"/>
            <w:bottom w:w="0" w:type="dxa"/>
            <w:right w:w="108" w:type="dxa"/>
          </w:tblCellMar>
        </w:tblPrEx>
        <w:trPr>
          <w:trHeight w:val="765" w:hRule="atLeast"/>
        </w:trPr>
        <w:tc>
          <w:tcPr>
            <w:tcW w:w="774"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p>
        </w:tc>
        <w:tc>
          <w:tcPr>
            <w:tcW w:w="2360" w:type="dxa"/>
            <w:tcBorders>
              <w:top w:val="nil"/>
              <w:left w:val="nil"/>
              <w:bottom w:val="single" w:color="000000" w:sz="4" w:space="0"/>
              <w:right w:val="nil"/>
            </w:tcBorders>
            <w:shd w:val="clear" w:color="000000" w:fill="FFFFFF"/>
            <w:vAlign w:val="center"/>
          </w:tcPr>
          <w:p>
            <w:pPr>
              <w:jc w:val="center"/>
              <w:rPr>
                <w:rFonts w:cs="宋体" w:asciiTheme="minorEastAsia" w:hAnsiTheme="minorEastAsia" w:eastAsiaTheme="minorEastAsia"/>
                <w:color w:val="000000"/>
                <w:szCs w:val="21"/>
                <w:highlight w:val="none"/>
              </w:rPr>
            </w:pPr>
          </w:p>
        </w:tc>
        <w:tc>
          <w:tcPr>
            <w:tcW w:w="992" w:type="dxa"/>
            <w:tcBorders>
              <w:top w:val="single" w:color="auto" w:sz="4" w:space="0"/>
              <w:left w:val="single" w:color="auto" w:sz="4" w:space="0"/>
              <w:bottom w:val="nil"/>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992" w:type="dxa"/>
            <w:tcBorders>
              <w:top w:val="single" w:color="auto" w:sz="4" w:space="0"/>
              <w:left w:val="single" w:color="auto" w:sz="4" w:space="0"/>
              <w:bottom w:val="nil"/>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vMerge w:val="continue"/>
            <w:tcBorders>
              <w:left w:val="single" w:color="auto" w:sz="4" w:space="0"/>
              <w:right w:val="single" w:color="auto" w:sz="4" w:space="0"/>
            </w:tcBorders>
            <w:vAlign w:val="center"/>
          </w:tcPr>
          <w:p>
            <w:pPr>
              <w:rPr>
                <w:rFonts w:cs="宋体" w:asciiTheme="minorEastAsia" w:hAnsiTheme="minorEastAsia" w:eastAsiaTheme="minorEastAsia"/>
                <w:szCs w:val="21"/>
                <w:highlight w:val="none"/>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r>
      <w:tr>
        <w:tblPrEx>
          <w:tblLayout w:type="fixed"/>
          <w:tblCellMar>
            <w:top w:w="0" w:type="dxa"/>
            <w:left w:w="108" w:type="dxa"/>
            <w:bottom w:w="0" w:type="dxa"/>
            <w:right w:w="108" w:type="dxa"/>
          </w:tblCellMar>
        </w:tblPrEx>
        <w:trPr>
          <w:trHeight w:val="825" w:hRule="atLeast"/>
        </w:trPr>
        <w:tc>
          <w:tcPr>
            <w:tcW w:w="774"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3</w:t>
            </w:r>
          </w:p>
        </w:tc>
        <w:tc>
          <w:tcPr>
            <w:tcW w:w="2360" w:type="dxa"/>
            <w:tcBorders>
              <w:top w:val="nil"/>
              <w:left w:val="nil"/>
              <w:bottom w:val="single" w:color="000000" w:sz="4" w:space="0"/>
              <w:right w:val="nil"/>
            </w:tcBorders>
            <w:shd w:val="clear" w:color="000000" w:fill="FFFFFF"/>
            <w:vAlign w:val="center"/>
          </w:tcPr>
          <w:p>
            <w:pPr>
              <w:jc w:val="center"/>
              <w:rPr>
                <w:rFonts w:cs="宋体" w:asciiTheme="minorEastAsia" w:hAnsiTheme="minorEastAsia" w:eastAsiaTheme="minorEastAsia"/>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vMerge w:val="continue"/>
            <w:tcBorders>
              <w:left w:val="single" w:color="auto" w:sz="4" w:space="0"/>
              <w:right w:val="single" w:color="auto" w:sz="4" w:space="0"/>
            </w:tcBorders>
            <w:vAlign w:val="center"/>
          </w:tcPr>
          <w:p>
            <w:pPr>
              <w:rPr>
                <w:rFonts w:cs="宋体" w:asciiTheme="minorEastAsia" w:hAnsiTheme="minorEastAsia" w:eastAsiaTheme="minorEastAsia"/>
                <w:szCs w:val="21"/>
                <w:highlight w:val="none"/>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r>
      <w:tr>
        <w:tblPrEx>
          <w:tblLayout w:type="fixed"/>
          <w:tblCellMar>
            <w:top w:w="0" w:type="dxa"/>
            <w:left w:w="108" w:type="dxa"/>
            <w:bottom w:w="0" w:type="dxa"/>
            <w:right w:w="108" w:type="dxa"/>
          </w:tblCellMar>
        </w:tblPrEx>
        <w:trPr>
          <w:trHeight w:val="825" w:hRule="atLeast"/>
        </w:trPr>
        <w:tc>
          <w:tcPr>
            <w:tcW w:w="774"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4</w:t>
            </w:r>
          </w:p>
        </w:tc>
        <w:tc>
          <w:tcPr>
            <w:tcW w:w="2360" w:type="dxa"/>
            <w:tcBorders>
              <w:top w:val="nil"/>
              <w:left w:val="nil"/>
              <w:bottom w:val="single" w:color="000000" w:sz="4" w:space="0"/>
              <w:right w:val="nil"/>
            </w:tcBorders>
            <w:shd w:val="clear" w:color="000000" w:fill="FFFFFF"/>
            <w:vAlign w:val="center"/>
          </w:tcPr>
          <w:p>
            <w:pPr>
              <w:jc w:val="center"/>
              <w:rPr>
                <w:rFonts w:cs="宋体" w:asciiTheme="minorEastAsia" w:hAnsiTheme="minorEastAsia" w:eastAsiaTheme="minorEastAsia"/>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vMerge w:val="continue"/>
            <w:tcBorders>
              <w:left w:val="single" w:color="auto" w:sz="4" w:space="0"/>
              <w:right w:val="single" w:color="auto" w:sz="4" w:space="0"/>
            </w:tcBorders>
            <w:vAlign w:val="center"/>
          </w:tcPr>
          <w:p>
            <w:pPr>
              <w:rPr>
                <w:rFonts w:cs="宋体" w:asciiTheme="minorEastAsia" w:hAnsiTheme="minorEastAsia" w:eastAsiaTheme="minorEastAsia"/>
                <w:szCs w:val="21"/>
                <w:highlight w:val="none"/>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r>
      <w:tr>
        <w:tblPrEx>
          <w:tblLayout w:type="fixed"/>
          <w:tblCellMar>
            <w:top w:w="0" w:type="dxa"/>
            <w:left w:w="108" w:type="dxa"/>
            <w:bottom w:w="0" w:type="dxa"/>
            <w:right w:w="108" w:type="dxa"/>
          </w:tblCellMar>
        </w:tblPrEx>
        <w:trPr>
          <w:trHeight w:val="825" w:hRule="atLeast"/>
        </w:trPr>
        <w:tc>
          <w:tcPr>
            <w:tcW w:w="774"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5</w:t>
            </w:r>
          </w:p>
        </w:tc>
        <w:tc>
          <w:tcPr>
            <w:tcW w:w="2360" w:type="dxa"/>
            <w:tcBorders>
              <w:top w:val="nil"/>
              <w:left w:val="nil"/>
              <w:bottom w:val="single" w:color="000000" w:sz="4" w:space="0"/>
              <w:right w:val="nil"/>
            </w:tcBorders>
            <w:shd w:val="clear" w:color="000000" w:fill="FFFFFF"/>
            <w:vAlign w:val="center"/>
          </w:tcPr>
          <w:p>
            <w:pPr>
              <w:jc w:val="center"/>
              <w:rPr>
                <w:rFonts w:cs="宋体" w:asciiTheme="minorEastAsia" w:hAnsiTheme="minorEastAsia" w:eastAsiaTheme="minorEastAsia"/>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rPr>
                <w:rFonts w:cs="宋体" w:asciiTheme="minorEastAsia" w:hAnsiTheme="minorEastAsia" w:eastAsiaTheme="minorEastAsia"/>
                <w:szCs w:val="21"/>
                <w:highlight w:val="none"/>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highlight w:val="none"/>
              </w:rPr>
            </w:pPr>
          </w:p>
        </w:tc>
      </w:tr>
      <w:tr>
        <w:tblPrEx>
          <w:tblLayout w:type="fixed"/>
          <w:tblCellMar>
            <w:top w:w="0" w:type="dxa"/>
            <w:left w:w="108" w:type="dxa"/>
            <w:bottom w:w="0" w:type="dxa"/>
            <w:right w:w="108" w:type="dxa"/>
          </w:tblCellMar>
        </w:tblPrEx>
        <w:trPr>
          <w:trHeight w:val="870" w:hRule="atLeast"/>
        </w:trPr>
        <w:tc>
          <w:tcPr>
            <w:tcW w:w="9371" w:type="dxa"/>
            <w:gridSpan w:val="8"/>
            <w:tcBorders>
              <w:top w:val="single" w:color="auto" w:sz="4" w:space="0"/>
              <w:left w:val="nil"/>
              <w:bottom w:val="nil"/>
              <w:right w:val="nil"/>
            </w:tcBorders>
            <w:shd w:val="clear" w:color="auto" w:fill="auto"/>
            <w:vAlign w:val="center"/>
          </w:tcPr>
          <w:p>
            <w:pP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注：1.</w:t>
            </w:r>
            <w:r>
              <w:rPr>
                <w:rFonts w:hint="eastAsia" w:asciiTheme="minorEastAsia" w:hAnsiTheme="minorEastAsia" w:eastAsiaTheme="minorEastAsia"/>
                <w:szCs w:val="21"/>
                <w:highlight w:val="none"/>
              </w:rPr>
              <w:t>投标人的评审价等于评标参考价的，价格得分为</w:t>
            </w:r>
            <w:r>
              <w:rPr>
                <w:rFonts w:asciiTheme="minorEastAsia" w:hAnsiTheme="minorEastAsia" w:eastAsiaTheme="minorEastAsia"/>
                <w:szCs w:val="21"/>
                <w:highlight w:val="none"/>
              </w:rPr>
              <w:t>100分；</w:t>
            </w:r>
            <w:r>
              <w:rPr>
                <w:rFonts w:hint="eastAsia" w:ascii="宋体" w:hAnsi="宋体"/>
                <w:szCs w:val="21"/>
                <w:highlight w:val="none"/>
              </w:rPr>
              <w:t>其</w:t>
            </w:r>
            <w:r>
              <w:rPr>
                <w:rFonts w:ascii="宋体" w:hAnsi="宋体"/>
                <w:szCs w:val="21"/>
                <w:highlight w:val="none"/>
              </w:rPr>
              <w:t>余投标人的价格评审得分为：（</w:t>
            </w:r>
            <w:r>
              <w:rPr>
                <w:rFonts w:hint="eastAsia" w:ascii="宋体" w:hAnsi="宋体"/>
                <w:szCs w:val="21"/>
                <w:highlight w:val="none"/>
              </w:rPr>
              <w:t>评标参考价</w:t>
            </w:r>
            <w:r>
              <w:rPr>
                <w:rFonts w:ascii="宋体" w:hAnsi="宋体"/>
                <w:szCs w:val="21"/>
                <w:highlight w:val="none"/>
              </w:rPr>
              <w:t>÷</w:t>
            </w:r>
            <w:r>
              <w:rPr>
                <w:rFonts w:hint="eastAsia" w:ascii="宋体" w:hAnsi="宋体"/>
                <w:szCs w:val="21"/>
                <w:highlight w:val="none"/>
              </w:rPr>
              <w:t>相应投标人评审</w:t>
            </w:r>
            <w:r>
              <w:rPr>
                <w:rFonts w:ascii="宋体" w:hAnsi="宋体"/>
                <w:szCs w:val="21"/>
                <w:highlight w:val="none"/>
              </w:rPr>
              <w:t>价</w:t>
            </w:r>
            <w:r>
              <w:rPr>
                <w:rFonts w:hint="eastAsia" w:ascii="宋体" w:hAnsi="宋体"/>
                <w:szCs w:val="21"/>
                <w:highlight w:val="none"/>
              </w:rPr>
              <w:t>）×100</w:t>
            </w:r>
          </w:p>
        </w:tc>
      </w:tr>
      <w:tr>
        <w:tblPrEx>
          <w:tblLayout w:type="fixed"/>
          <w:tblCellMar>
            <w:top w:w="0" w:type="dxa"/>
            <w:left w:w="108" w:type="dxa"/>
            <w:bottom w:w="0" w:type="dxa"/>
            <w:right w:w="108" w:type="dxa"/>
          </w:tblCellMar>
        </w:tblPrEx>
        <w:trPr>
          <w:trHeight w:val="435" w:hRule="atLeast"/>
        </w:trPr>
        <w:tc>
          <w:tcPr>
            <w:tcW w:w="9371" w:type="dxa"/>
            <w:gridSpan w:val="8"/>
            <w:tcBorders>
              <w:top w:val="nil"/>
              <w:left w:val="nil"/>
              <w:bottom w:val="nil"/>
              <w:right w:val="nil"/>
            </w:tcBorders>
            <w:shd w:val="clear" w:color="auto" w:fill="auto"/>
            <w:vAlign w:val="bottom"/>
          </w:tcPr>
          <w:p>
            <w:pPr>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宋体" w:hAnsi="宋体"/>
                <w:szCs w:val="21"/>
                <w:highlight w:val="none"/>
              </w:rPr>
              <w:t>评审价：</w:t>
            </w:r>
            <w:r>
              <w:rPr>
                <w:rFonts w:hint="eastAsia" w:ascii="宋体" w:hAnsi="宋体" w:cs="宋体"/>
                <w:color w:val="000000"/>
                <w:szCs w:val="21"/>
                <w:highlight w:val="none"/>
                <w:shd w:val="clear" w:color="auto" w:fill="FFFFFF"/>
              </w:rPr>
              <w:t>可开具增值税专用发票的报价按不含税投标总报价作为评审价，开具其他类型发票的报价按含税投标总报价作为评审价。</w:t>
            </w:r>
          </w:p>
        </w:tc>
      </w:tr>
    </w:tbl>
    <w:p>
      <w:pPr>
        <w:rPr>
          <w:rFonts w:asciiTheme="minorEastAsia" w:hAnsiTheme="minorEastAsia" w:eastAsiaTheme="minorEastAsia"/>
          <w:b/>
          <w:i/>
          <w:position w:val="-6"/>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r>
        <w:rPr>
          <w:rFonts w:hint="eastAsia" w:ascii="宋体" w:hAnsi="宋体"/>
          <w:szCs w:val="21"/>
          <w:highlight w:val="none"/>
        </w:rPr>
        <w:t xml:space="preserve">评委签名：                                                                        </w:t>
      </w:r>
    </w:p>
    <w:p>
      <w:pPr>
        <w:spacing w:line="360" w:lineRule="auto"/>
        <w:ind w:firstLine="420" w:firstLineChars="200"/>
        <w:rPr>
          <w:rFonts w:ascii="宋体" w:hAnsi="宋体"/>
          <w:szCs w:val="21"/>
          <w:highlight w:val="none"/>
        </w:rPr>
      </w:pPr>
      <w:r>
        <w:rPr>
          <w:rFonts w:hint="eastAsia" w:ascii="宋体" w:hAnsi="宋体"/>
          <w:szCs w:val="21"/>
          <w:highlight w:val="none"/>
        </w:rPr>
        <w:t>监督人员签名：</w:t>
      </w:r>
    </w:p>
    <w:p>
      <w:pPr>
        <w:pStyle w:val="220"/>
        <w:spacing w:beforeLines="50" w:line="288" w:lineRule="auto"/>
        <w:ind w:left="210" w:leftChars="100" w:firstLine="210" w:firstLineChars="100"/>
        <w:jc w:val="left"/>
        <w:rPr>
          <w:rFonts w:asciiTheme="minorEastAsia" w:hAnsiTheme="minorEastAsia" w:eastAsiaTheme="minorEastAsia"/>
          <w:szCs w:val="21"/>
          <w:highlight w:val="none"/>
        </w:rPr>
      </w:pPr>
      <w:r>
        <w:rPr>
          <w:rFonts w:hint="eastAsia" w:ascii="宋体" w:hAnsi="宋体"/>
          <w:kern w:val="10"/>
          <w:szCs w:val="21"/>
          <w:highlight w:val="none"/>
        </w:rPr>
        <w:t>日</w:t>
      </w:r>
      <w:r>
        <w:rPr>
          <w:rFonts w:hint="eastAsia" w:ascii="宋体" w:hAnsi="宋体"/>
          <w:szCs w:val="21"/>
          <w:highlight w:val="none"/>
        </w:rPr>
        <w:t>期：</w:t>
      </w:r>
    </w:p>
    <w:p>
      <w:pPr>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pPr>
        <w:pStyle w:val="3"/>
        <w:numPr>
          <w:ilvl w:val="0"/>
          <w:numId w:val="0"/>
        </w:numPr>
        <w:snapToGrid w:val="0"/>
        <w:spacing w:before="120" w:after="120"/>
        <w:jc w:val="left"/>
        <w:rPr>
          <w:sz w:val="24"/>
          <w:szCs w:val="24"/>
          <w:highlight w:val="none"/>
        </w:rPr>
      </w:pPr>
      <w:bookmarkStart w:id="384" w:name="_Toc13585"/>
      <w:bookmarkStart w:id="385" w:name="_Toc21413"/>
      <w:bookmarkStart w:id="386" w:name="_Toc520971408"/>
      <w:bookmarkStart w:id="387" w:name="_Toc7753"/>
      <w:bookmarkStart w:id="388" w:name="_Toc488957726"/>
      <w:r>
        <w:rPr>
          <w:sz w:val="24"/>
          <w:szCs w:val="24"/>
          <w:highlight w:val="none"/>
        </w:rPr>
        <w:t>附</w:t>
      </w:r>
      <w:r>
        <w:rPr>
          <w:rFonts w:hint="eastAsia"/>
          <w:sz w:val="24"/>
          <w:szCs w:val="24"/>
          <w:highlight w:val="none"/>
        </w:rPr>
        <w:t>表6</w:t>
      </w:r>
      <w:r>
        <w:rPr>
          <w:sz w:val="24"/>
          <w:szCs w:val="24"/>
          <w:highlight w:val="none"/>
        </w:rPr>
        <w:t>：</w:t>
      </w:r>
      <w:r>
        <w:rPr>
          <w:rFonts w:hint="eastAsia"/>
          <w:sz w:val="24"/>
          <w:szCs w:val="24"/>
          <w:highlight w:val="none"/>
        </w:rPr>
        <w:t>算术复核表</w:t>
      </w:r>
      <w:bookmarkEnd w:id="384"/>
      <w:bookmarkEnd w:id="385"/>
      <w:bookmarkEnd w:id="386"/>
      <w:bookmarkEnd w:id="387"/>
      <w:bookmarkEnd w:id="388"/>
    </w:p>
    <w:p>
      <w:pPr>
        <w:rPr>
          <w:rFonts w:ascii="宋体" w:hAnsi="宋体"/>
          <w:b/>
          <w:sz w:val="24"/>
          <w:highlight w:val="none"/>
        </w:rPr>
      </w:pPr>
    </w:p>
    <w:p>
      <w:pPr>
        <w:rPr>
          <w:rFonts w:ascii="宋体" w:hAnsi="宋体"/>
          <w:szCs w:val="21"/>
          <w:highlight w:val="none"/>
        </w:rPr>
      </w:pPr>
      <w:r>
        <w:rPr>
          <w:rFonts w:hint="eastAsia" w:ascii="宋体" w:hAnsi="宋体"/>
          <w:szCs w:val="21"/>
          <w:highlight w:val="none"/>
        </w:rPr>
        <w:t>项目名称：</w:t>
      </w:r>
      <w:r>
        <w:rPr>
          <w:rFonts w:hint="eastAsia" w:asciiTheme="minorEastAsia" w:hAnsiTheme="minorEastAsia" w:eastAsiaTheme="minorEastAsia"/>
          <w:color w:val="000000"/>
          <w:szCs w:val="21"/>
          <w:highlight w:val="none"/>
        </w:rPr>
        <w:t>佛山市恒益环保建材有限公司加气砌块生产辅助业务外委采购项目</w:t>
      </w:r>
    </w:p>
    <w:tbl>
      <w:tblPr>
        <w:tblStyle w:val="4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387"/>
        <w:gridCol w:w="238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宋体" w:hAnsi="宋体"/>
                <w:b/>
                <w:sz w:val="24"/>
                <w:highlight w:val="none"/>
              </w:rPr>
            </w:pPr>
            <w:r>
              <w:rPr>
                <w:rFonts w:hint="eastAsia" w:ascii="宋体" w:hAnsi="宋体"/>
                <w:b/>
                <w:sz w:val="24"/>
                <w:highlight w:val="none"/>
              </w:rPr>
              <w:t>编号</w:t>
            </w:r>
          </w:p>
        </w:tc>
        <w:tc>
          <w:tcPr>
            <w:tcW w:w="3387" w:type="dxa"/>
          </w:tcPr>
          <w:p>
            <w:pPr>
              <w:jc w:val="center"/>
              <w:rPr>
                <w:rFonts w:ascii="宋体" w:hAnsi="宋体"/>
                <w:b/>
                <w:sz w:val="24"/>
                <w:highlight w:val="none"/>
              </w:rPr>
            </w:pPr>
            <w:r>
              <w:rPr>
                <w:rFonts w:hint="eastAsia" w:ascii="宋体" w:hAnsi="宋体"/>
                <w:b/>
                <w:sz w:val="24"/>
                <w:highlight w:val="none"/>
              </w:rPr>
              <w:t>投标人名称</w:t>
            </w:r>
          </w:p>
        </w:tc>
        <w:tc>
          <w:tcPr>
            <w:tcW w:w="2387" w:type="dxa"/>
          </w:tcPr>
          <w:p>
            <w:pPr>
              <w:jc w:val="center"/>
              <w:rPr>
                <w:rFonts w:ascii="宋体" w:hAnsi="宋体"/>
                <w:b/>
                <w:sz w:val="24"/>
                <w:highlight w:val="none"/>
              </w:rPr>
            </w:pPr>
            <w:r>
              <w:rPr>
                <w:rFonts w:hint="eastAsia" w:ascii="宋体" w:hAnsi="宋体"/>
                <w:b/>
                <w:sz w:val="24"/>
                <w:highlight w:val="none"/>
              </w:rPr>
              <w:t>原投标报价</w:t>
            </w:r>
          </w:p>
        </w:tc>
        <w:tc>
          <w:tcPr>
            <w:tcW w:w="2977" w:type="dxa"/>
          </w:tcPr>
          <w:p>
            <w:pPr>
              <w:jc w:val="center"/>
              <w:rPr>
                <w:rFonts w:ascii="宋体" w:hAnsi="宋体"/>
                <w:b/>
                <w:sz w:val="24"/>
                <w:highlight w:val="none"/>
              </w:rPr>
            </w:pPr>
            <w:r>
              <w:rPr>
                <w:rFonts w:hint="eastAsia" w:ascii="宋体" w:hAnsi="宋体"/>
                <w:b/>
                <w:sz w:val="24"/>
                <w:highlight w:val="none"/>
              </w:rPr>
              <w:t>算数复核后投标报价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rPr>
                <w:rFonts w:ascii="宋体" w:hAnsi="宋体"/>
                <w:b/>
                <w:sz w:val="24"/>
                <w:highlight w:val="none"/>
              </w:rPr>
            </w:pPr>
          </w:p>
        </w:tc>
        <w:tc>
          <w:tcPr>
            <w:tcW w:w="3387" w:type="dxa"/>
          </w:tcPr>
          <w:p>
            <w:pPr>
              <w:rPr>
                <w:rFonts w:ascii="宋体" w:hAnsi="宋体"/>
                <w:b/>
                <w:sz w:val="24"/>
                <w:highlight w:val="none"/>
              </w:rPr>
            </w:pPr>
          </w:p>
        </w:tc>
        <w:tc>
          <w:tcPr>
            <w:tcW w:w="2387" w:type="dxa"/>
          </w:tcPr>
          <w:p>
            <w:pPr>
              <w:rPr>
                <w:rFonts w:ascii="宋体" w:hAnsi="宋体"/>
                <w:b/>
                <w:sz w:val="24"/>
                <w:highlight w:val="none"/>
              </w:rPr>
            </w:pPr>
          </w:p>
        </w:tc>
        <w:tc>
          <w:tcPr>
            <w:tcW w:w="2977" w:type="dxa"/>
          </w:tcPr>
          <w:p>
            <w:pP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rPr>
                <w:rFonts w:ascii="宋体" w:hAnsi="宋体"/>
                <w:b/>
                <w:sz w:val="24"/>
                <w:highlight w:val="none"/>
              </w:rPr>
            </w:pPr>
          </w:p>
        </w:tc>
        <w:tc>
          <w:tcPr>
            <w:tcW w:w="3387" w:type="dxa"/>
          </w:tcPr>
          <w:p>
            <w:pPr>
              <w:rPr>
                <w:rFonts w:ascii="宋体" w:hAnsi="宋体"/>
                <w:b/>
                <w:sz w:val="24"/>
                <w:highlight w:val="none"/>
              </w:rPr>
            </w:pPr>
          </w:p>
        </w:tc>
        <w:tc>
          <w:tcPr>
            <w:tcW w:w="2387" w:type="dxa"/>
          </w:tcPr>
          <w:p>
            <w:pPr>
              <w:rPr>
                <w:rFonts w:ascii="宋体" w:hAnsi="宋体"/>
                <w:b/>
                <w:sz w:val="24"/>
                <w:highlight w:val="none"/>
              </w:rPr>
            </w:pPr>
          </w:p>
        </w:tc>
        <w:tc>
          <w:tcPr>
            <w:tcW w:w="2977" w:type="dxa"/>
          </w:tcPr>
          <w:p>
            <w:pP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rPr>
                <w:rFonts w:ascii="宋体" w:hAnsi="宋体"/>
                <w:b/>
                <w:sz w:val="24"/>
                <w:highlight w:val="none"/>
              </w:rPr>
            </w:pPr>
          </w:p>
        </w:tc>
        <w:tc>
          <w:tcPr>
            <w:tcW w:w="3387" w:type="dxa"/>
          </w:tcPr>
          <w:p>
            <w:pPr>
              <w:rPr>
                <w:rFonts w:ascii="宋体" w:hAnsi="宋体"/>
                <w:b/>
                <w:sz w:val="24"/>
                <w:highlight w:val="none"/>
              </w:rPr>
            </w:pPr>
          </w:p>
        </w:tc>
        <w:tc>
          <w:tcPr>
            <w:tcW w:w="2387" w:type="dxa"/>
          </w:tcPr>
          <w:p>
            <w:pPr>
              <w:rPr>
                <w:rFonts w:ascii="宋体" w:hAnsi="宋体"/>
                <w:b/>
                <w:sz w:val="24"/>
                <w:highlight w:val="none"/>
              </w:rPr>
            </w:pPr>
          </w:p>
        </w:tc>
        <w:tc>
          <w:tcPr>
            <w:tcW w:w="2977" w:type="dxa"/>
          </w:tcPr>
          <w:p>
            <w:pP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rPr>
                <w:rFonts w:ascii="宋体" w:hAnsi="宋体"/>
                <w:b/>
                <w:sz w:val="24"/>
                <w:highlight w:val="none"/>
              </w:rPr>
            </w:pPr>
          </w:p>
        </w:tc>
        <w:tc>
          <w:tcPr>
            <w:tcW w:w="3387" w:type="dxa"/>
          </w:tcPr>
          <w:p>
            <w:pPr>
              <w:rPr>
                <w:rFonts w:ascii="宋体" w:hAnsi="宋体"/>
                <w:b/>
                <w:sz w:val="24"/>
                <w:highlight w:val="none"/>
              </w:rPr>
            </w:pPr>
          </w:p>
        </w:tc>
        <w:tc>
          <w:tcPr>
            <w:tcW w:w="2387" w:type="dxa"/>
          </w:tcPr>
          <w:p>
            <w:pPr>
              <w:rPr>
                <w:rFonts w:ascii="宋体" w:hAnsi="宋体"/>
                <w:b/>
                <w:sz w:val="24"/>
                <w:highlight w:val="none"/>
              </w:rPr>
            </w:pPr>
          </w:p>
        </w:tc>
        <w:tc>
          <w:tcPr>
            <w:tcW w:w="2977" w:type="dxa"/>
          </w:tcPr>
          <w:p>
            <w:pP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rPr>
                <w:rFonts w:ascii="宋体" w:hAnsi="宋体"/>
                <w:b/>
                <w:sz w:val="24"/>
                <w:highlight w:val="none"/>
              </w:rPr>
            </w:pPr>
          </w:p>
        </w:tc>
        <w:tc>
          <w:tcPr>
            <w:tcW w:w="3387" w:type="dxa"/>
          </w:tcPr>
          <w:p>
            <w:pPr>
              <w:rPr>
                <w:rFonts w:ascii="宋体" w:hAnsi="宋体"/>
                <w:b/>
                <w:sz w:val="24"/>
                <w:highlight w:val="none"/>
              </w:rPr>
            </w:pPr>
          </w:p>
        </w:tc>
        <w:tc>
          <w:tcPr>
            <w:tcW w:w="2387" w:type="dxa"/>
          </w:tcPr>
          <w:p>
            <w:pPr>
              <w:rPr>
                <w:rFonts w:ascii="宋体" w:hAnsi="宋体"/>
                <w:b/>
                <w:sz w:val="24"/>
                <w:highlight w:val="none"/>
              </w:rPr>
            </w:pPr>
          </w:p>
        </w:tc>
        <w:tc>
          <w:tcPr>
            <w:tcW w:w="2977" w:type="dxa"/>
          </w:tcPr>
          <w:p>
            <w:pP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rPr>
                <w:rFonts w:ascii="宋体" w:hAnsi="宋体"/>
                <w:b/>
                <w:sz w:val="24"/>
                <w:highlight w:val="none"/>
              </w:rPr>
            </w:pPr>
          </w:p>
        </w:tc>
        <w:tc>
          <w:tcPr>
            <w:tcW w:w="3387" w:type="dxa"/>
          </w:tcPr>
          <w:p>
            <w:pPr>
              <w:rPr>
                <w:rFonts w:ascii="宋体" w:hAnsi="宋体"/>
                <w:b/>
                <w:sz w:val="24"/>
                <w:highlight w:val="none"/>
              </w:rPr>
            </w:pPr>
          </w:p>
        </w:tc>
        <w:tc>
          <w:tcPr>
            <w:tcW w:w="2387" w:type="dxa"/>
          </w:tcPr>
          <w:p>
            <w:pPr>
              <w:rPr>
                <w:rFonts w:ascii="宋体" w:hAnsi="宋体"/>
                <w:b/>
                <w:sz w:val="24"/>
                <w:highlight w:val="none"/>
              </w:rPr>
            </w:pPr>
          </w:p>
        </w:tc>
        <w:tc>
          <w:tcPr>
            <w:tcW w:w="2977" w:type="dxa"/>
          </w:tcPr>
          <w:p>
            <w:pP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rPr>
                <w:rFonts w:ascii="宋体" w:hAnsi="宋体"/>
                <w:b/>
                <w:sz w:val="24"/>
                <w:highlight w:val="none"/>
              </w:rPr>
            </w:pPr>
          </w:p>
        </w:tc>
        <w:tc>
          <w:tcPr>
            <w:tcW w:w="3387" w:type="dxa"/>
          </w:tcPr>
          <w:p>
            <w:pPr>
              <w:rPr>
                <w:rFonts w:ascii="宋体" w:hAnsi="宋体"/>
                <w:b/>
                <w:sz w:val="24"/>
                <w:highlight w:val="none"/>
              </w:rPr>
            </w:pPr>
          </w:p>
        </w:tc>
        <w:tc>
          <w:tcPr>
            <w:tcW w:w="2387" w:type="dxa"/>
          </w:tcPr>
          <w:p>
            <w:pPr>
              <w:rPr>
                <w:rFonts w:ascii="宋体" w:hAnsi="宋体"/>
                <w:b/>
                <w:sz w:val="24"/>
                <w:highlight w:val="none"/>
              </w:rPr>
            </w:pPr>
          </w:p>
        </w:tc>
        <w:tc>
          <w:tcPr>
            <w:tcW w:w="2977" w:type="dxa"/>
          </w:tcPr>
          <w:p>
            <w:pP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rPr>
                <w:rFonts w:ascii="宋体" w:hAnsi="宋体"/>
                <w:b/>
                <w:sz w:val="24"/>
                <w:highlight w:val="none"/>
              </w:rPr>
            </w:pPr>
          </w:p>
        </w:tc>
        <w:tc>
          <w:tcPr>
            <w:tcW w:w="3387" w:type="dxa"/>
          </w:tcPr>
          <w:p>
            <w:pPr>
              <w:rPr>
                <w:rFonts w:ascii="宋体" w:hAnsi="宋体"/>
                <w:b/>
                <w:sz w:val="24"/>
                <w:highlight w:val="none"/>
              </w:rPr>
            </w:pPr>
          </w:p>
        </w:tc>
        <w:tc>
          <w:tcPr>
            <w:tcW w:w="2387" w:type="dxa"/>
          </w:tcPr>
          <w:p>
            <w:pPr>
              <w:rPr>
                <w:rFonts w:ascii="宋体" w:hAnsi="宋体"/>
                <w:b/>
                <w:sz w:val="24"/>
                <w:highlight w:val="none"/>
              </w:rPr>
            </w:pPr>
          </w:p>
        </w:tc>
        <w:tc>
          <w:tcPr>
            <w:tcW w:w="2977" w:type="dxa"/>
          </w:tcPr>
          <w:p>
            <w:pP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rPr>
                <w:rFonts w:ascii="宋体" w:hAnsi="宋体"/>
                <w:b/>
                <w:sz w:val="24"/>
                <w:highlight w:val="none"/>
              </w:rPr>
            </w:pPr>
          </w:p>
        </w:tc>
        <w:tc>
          <w:tcPr>
            <w:tcW w:w="3387" w:type="dxa"/>
          </w:tcPr>
          <w:p>
            <w:pPr>
              <w:rPr>
                <w:rFonts w:ascii="宋体" w:hAnsi="宋体"/>
                <w:b/>
                <w:sz w:val="24"/>
                <w:highlight w:val="none"/>
              </w:rPr>
            </w:pPr>
          </w:p>
        </w:tc>
        <w:tc>
          <w:tcPr>
            <w:tcW w:w="2387" w:type="dxa"/>
          </w:tcPr>
          <w:p>
            <w:pPr>
              <w:rPr>
                <w:rFonts w:ascii="宋体" w:hAnsi="宋体"/>
                <w:b/>
                <w:sz w:val="24"/>
                <w:highlight w:val="none"/>
              </w:rPr>
            </w:pPr>
          </w:p>
        </w:tc>
        <w:tc>
          <w:tcPr>
            <w:tcW w:w="2977" w:type="dxa"/>
          </w:tcPr>
          <w:p>
            <w:pPr>
              <w:rPr>
                <w:rFonts w:ascii="宋体" w:hAnsi="宋体"/>
                <w:b/>
                <w:sz w:val="24"/>
                <w:highlight w:val="none"/>
              </w:rPr>
            </w:pPr>
          </w:p>
        </w:tc>
      </w:tr>
    </w:tbl>
    <w:p>
      <w:pPr>
        <w:rPr>
          <w:sz w:val="24"/>
          <w:highlight w:val="none"/>
        </w:rPr>
      </w:pPr>
    </w:p>
    <w:p>
      <w:pPr>
        <w:rPr>
          <w:sz w:val="24"/>
          <w:highlight w:val="none"/>
        </w:rPr>
      </w:pPr>
    </w:p>
    <w:p>
      <w:pPr>
        <w:rPr>
          <w:sz w:val="24"/>
          <w:highlight w:val="none"/>
        </w:rPr>
      </w:pPr>
    </w:p>
    <w:p>
      <w:pPr>
        <w:spacing w:line="360" w:lineRule="auto"/>
        <w:ind w:firstLine="420" w:firstLineChars="200"/>
        <w:rPr>
          <w:rFonts w:ascii="宋体" w:hAnsi="宋体"/>
          <w:szCs w:val="21"/>
          <w:highlight w:val="none"/>
        </w:rPr>
      </w:pPr>
      <w:r>
        <w:rPr>
          <w:rFonts w:hint="eastAsia" w:ascii="宋体" w:hAnsi="宋体"/>
          <w:szCs w:val="21"/>
          <w:highlight w:val="none"/>
        </w:rPr>
        <w:t xml:space="preserve">评委签名：                                                                        </w:t>
      </w:r>
    </w:p>
    <w:p>
      <w:pPr>
        <w:spacing w:line="360" w:lineRule="auto"/>
        <w:ind w:firstLine="420" w:firstLineChars="200"/>
        <w:rPr>
          <w:rFonts w:ascii="宋体" w:hAnsi="宋体"/>
          <w:szCs w:val="21"/>
          <w:highlight w:val="none"/>
        </w:rPr>
      </w:pPr>
      <w:r>
        <w:rPr>
          <w:rFonts w:hint="eastAsia" w:ascii="宋体" w:hAnsi="宋体"/>
          <w:szCs w:val="21"/>
          <w:highlight w:val="none"/>
        </w:rPr>
        <w:t>监督人员签名：</w:t>
      </w:r>
    </w:p>
    <w:p>
      <w:pPr>
        <w:ind w:firstLine="420" w:firstLineChars="200"/>
        <w:rPr>
          <w:sz w:val="24"/>
          <w:highlight w:val="none"/>
        </w:rPr>
      </w:pPr>
      <w:r>
        <w:rPr>
          <w:rFonts w:hint="eastAsia" w:ascii="宋体" w:hAnsi="宋体"/>
          <w:kern w:val="10"/>
          <w:szCs w:val="21"/>
          <w:highlight w:val="none"/>
        </w:rPr>
        <w:t>日</w:t>
      </w:r>
      <w:r>
        <w:rPr>
          <w:rFonts w:hint="eastAsia" w:ascii="宋体" w:hAnsi="宋体"/>
          <w:szCs w:val="21"/>
          <w:highlight w:val="none"/>
        </w:rPr>
        <w:t>期：</w:t>
      </w: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r>
        <w:rPr>
          <w:sz w:val="24"/>
          <w:highlight w:val="none"/>
        </w:rPr>
        <w:t>附</w:t>
      </w:r>
      <w:r>
        <w:rPr>
          <w:rFonts w:hint="eastAsia"/>
          <w:sz w:val="24"/>
          <w:highlight w:val="none"/>
        </w:rPr>
        <w:t>表7</w:t>
      </w:r>
      <w:r>
        <w:rPr>
          <w:sz w:val="24"/>
          <w:highlight w:val="none"/>
        </w:rPr>
        <w:t>：定标表</w:t>
      </w:r>
    </w:p>
    <w:p>
      <w:pPr>
        <w:rPr>
          <w:rFonts w:ascii="宋体" w:hAnsi="宋体"/>
          <w:szCs w:val="21"/>
          <w:highlight w:val="none"/>
        </w:rPr>
      </w:pPr>
      <w:r>
        <w:rPr>
          <w:rFonts w:hint="eastAsia" w:ascii="宋体" w:hAnsi="宋体"/>
          <w:szCs w:val="21"/>
          <w:highlight w:val="none"/>
        </w:rPr>
        <w:t>项目名称：</w:t>
      </w:r>
      <w:r>
        <w:rPr>
          <w:rFonts w:hint="eastAsia" w:asciiTheme="minorEastAsia" w:hAnsiTheme="minorEastAsia" w:eastAsiaTheme="minorEastAsia"/>
          <w:color w:val="000000"/>
          <w:szCs w:val="21"/>
          <w:highlight w:val="none"/>
        </w:rPr>
        <w:t>佛山市恒益环保建材有限公司加气砌块生产辅助业务外委采购项目</w:t>
      </w:r>
    </w:p>
    <w:tbl>
      <w:tblPr>
        <w:tblStyle w:val="4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454"/>
        <w:gridCol w:w="883"/>
        <w:gridCol w:w="883"/>
        <w:gridCol w:w="883"/>
        <w:gridCol w:w="1985"/>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1242" w:type="dxa"/>
            <w:vAlign w:val="center"/>
          </w:tcPr>
          <w:p>
            <w:pPr>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2454" w:type="dxa"/>
            <w:vAlign w:val="center"/>
          </w:tcPr>
          <w:p>
            <w:pPr>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投标人</w:t>
            </w:r>
          </w:p>
        </w:tc>
        <w:tc>
          <w:tcPr>
            <w:tcW w:w="883" w:type="dxa"/>
            <w:vAlign w:val="center"/>
          </w:tcPr>
          <w:p>
            <w:pPr>
              <w:jc w:val="center"/>
              <w:rPr>
                <w:rFonts w:asciiTheme="minorEastAsia" w:hAnsiTheme="minorEastAsia" w:eastAsiaTheme="minorEastAsia"/>
                <w:b/>
                <w:szCs w:val="21"/>
                <w:highlight w:val="none"/>
              </w:rPr>
            </w:pPr>
            <w:r>
              <w:rPr>
                <w:rFonts w:hint="eastAsia" w:ascii="宋体" w:hAnsi="宋体"/>
                <w:szCs w:val="21"/>
                <w:highlight w:val="none"/>
              </w:rPr>
              <w:t>商务、技术</w:t>
            </w:r>
            <w:r>
              <w:rPr>
                <w:rFonts w:hint="eastAsia" w:ascii="Calibri" w:hAnsi="Calibri"/>
                <w:szCs w:val="21"/>
                <w:highlight w:val="none"/>
              </w:rPr>
              <w:t>分</w:t>
            </w:r>
          </w:p>
        </w:tc>
        <w:tc>
          <w:tcPr>
            <w:tcW w:w="883" w:type="dxa"/>
            <w:vAlign w:val="center"/>
          </w:tcPr>
          <w:p>
            <w:pPr>
              <w:jc w:val="center"/>
              <w:rPr>
                <w:rFonts w:asciiTheme="minorEastAsia" w:hAnsiTheme="minorEastAsia" w:eastAsiaTheme="minorEastAsia"/>
                <w:b/>
                <w:szCs w:val="21"/>
                <w:highlight w:val="none"/>
              </w:rPr>
            </w:pPr>
            <w:r>
              <w:rPr>
                <w:rFonts w:hint="eastAsia" w:ascii="Calibri" w:hAnsi="Calibri"/>
                <w:szCs w:val="21"/>
                <w:highlight w:val="none"/>
              </w:rPr>
              <w:t>价格分</w:t>
            </w:r>
          </w:p>
        </w:tc>
        <w:tc>
          <w:tcPr>
            <w:tcW w:w="883" w:type="dxa"/>
            <w:vAlign w:val="center"/>
          </w:tcPr>
          <w:p>
            <w:pPr>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总分</w:t>
            </w:r>
          </w:p>
        </w:tc>
        <w:tc>
          <w:tcPr>
            <w:tcW w:w="1985" w:type="dxa"/>
            <w:vAlign w:val="center"/>
          </w:tcPr>
          <w:p>
            <w:pPr>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排序</w:t>
            </w:r>
          </w:p>
        </w:tc>
        <w:tc>
          <w:tcPr>
            <w:tcW w:w="913" w:type="dxa"/>
          </w:tcPr>
          <w:p>
            <w:pPr>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rPr>
                <w:rFonts w:ascii="黑体" w:hAnsi="Calibri" w:eastAsia="黑体"/>
                <w:b/>
                <w:sz w:val="44"/>
                <w:highlight w:val="none"/>
              </w:rPr>
            </w:pPr>
          </w:p>
        </w:tc>
        <w:tc>
          <w:tcPr>
            <w:tcW w:w="2454"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1985" w:type="dxa"/>
          </w:tcPr>
          <w:p>
            <w:pPr>
              <w:rPr>
                <w:rFonts w:ascii="黑体" w:hAnsi="Calibri" w:eastAsia="黑体"/>
                <w:b/>
                <w:sz w:val="44"/>
                <w:highlight w:val="none"/>
              </w:rPr>
            </w:pPr>
          </w:p>
        </w:tc>
        <w:tc>
          <w:tcPr>
            <w:tcW w:w="913" w:type="dxa"/>
          </w:tcPr>
          <w:p>
            <w:pPr>
              <w:rPr>
                <w:rFonts w:ascii="黑体" w:hAnsi="Calibri" w:eastAsia="黑体"/>
                <w:b/>
                <w:sz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rPr>
                <w:rFonts w:ascii="黑体" w:hAnsi="Calibri" w:eastAsia="黑体"/>
                <w:b/>
                <w:sz w:val="44"/>
                <w:highlight w:val="none"/>
              </w:rPr>
            </w:pPr>
          </w:p>
        </w:tc>
        <w:tc>
          <w:tcPr>
            <w:tcW w:w="2454"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1985" w:type="dxa"/>
          </w:tcPr>
          <w:p>
            <w:pPr>
              <w:rPr>
                <w:rFonts w:ascii="黑体" w:hAnsi="Calibri" w:eastAsia="黑体"/>
                <w:b/>
                <w:sz w:val="44"/>
                <w:highlight w:val="none"/>
              </w:rPr>
            </w:pPr>
          </w:p>
        </w:tc>
        <w:tc>
          <w:tcPr>
            <w:tcW w:w="913" w:type="dxa"/>
          </w:tcPr>
          <w:p>
            <w:pPr>
              <w:rPr>
                <w:rFonts w:ascii="黑体" w:hAnsi="Calibri" w:eastAsia="黑体"/>
                <w:b/>
                <w:sz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rPr>
                <w:rFonts w:ascii="黑体" w:hAnsi="Calibri" w:eastAsia="黑体"/>
                <w:b/>
                <w:sz w:val="44"/>
                <w:highlight w:val="none"/>
              </w:rPr>
            </w:pPr>
          </w:p>
        </w:tc>
        <w:tc>
          <w:tcPr>
            <w:tcW w:w="2454"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1985" w:type="dxa"/>
          </w:tcPr>
          <w:p>
            <w:pPr>
              <w:rPr>
                <w:rFonts w:ascii="黑体" w:hAnsi="Calibri" w:eastAsia="黑体"/>
                <w:b/>
                <w:sz w:val="44"/>
                <w:highlight w:val="none"/>
              </w:rPr>
            </w:pPr>
          </w:p>
        </w:tc>
        <w:tc>
          <w:tcPr>
            <w:tcW w:w="913" w:type="dxa"/>
          </w:tcPr>
          <w:p>
            <w:pPr>
              <w:rPr>
                <w:rFonts w:ascii="黑体" w:hAnsi="Calibri" w:eastAsia="黑体"/>
                <w:b/>
                <w:sz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rPr>
                <w:rFonts w:ascii="黑体" w:hAnsi="Calibri" w:eastAsia="黑体"/>
                <w:b/>
                <w:sz w:val="44"/>
                <w:highlight w:val="none"/>
              </w:rPr>
            </w:pPr>
          </w:p>
        </w:tc>
        <w:tc>
          <w:tcPr>
            <w:tcW w:w="2454"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1985" w:type="dxa"/>
          </w:tcPr>
          <w:p>
            <w:pPr>
              <w:rPr>
                <w:rFonts w:ascii="黑体" w:hAnsi="Calibri" w:eastAsia="黑体"/>
                <w:b/>
                <w:sz w:val="44"/>
                <w:highlight w:val="none"/>
              </w:rPr>
            </w:pPr>
          </w:p>
        </w:tc>
        <w:tc>
          <w:tcPr>
            <w:tcW w:w="913" w:type="dxa"/>
          </w:tcPr>
          <w:p>
            <w:pPr>
              <w:rPr>
                <w:rFonts w:ascii="黑体" w:hAnsi="Calibri" w:eastAsia="黑体"/>
                <w:b/>
                <w:sz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rPr>
                <w:rFonts w:ascii="黑体" w:hAnsi="Calibri" w:eastAsia="黑体"/>
                <w:b/>
                <w:sz w:val="44"/>
                <w:highlight w:val="none"/>
              </w:rPr>
            </w:pPr>
          </w:p>
        </w:tc>
        <w:tc>
          <w:tcPr>
            <w:tcW w:w="2454"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883" w:type="dxa"/>
          </w:tcPr>
          <w:p>
            <w:pPr>
              <w:rPr>
                <w:rFonts w:ascii="黑体" w:hAnsi="Calibri" w:eastAsia="黑体"/>
                <w:b/>
                <w:sz w:val="44"/>
                <w:highlight w:val="none"/>
              </w:rPr>
            </w:pPr>
          </w:p>
        </w:tc>
        <w:tc>
          <w:tcPr>
            <w:tcW w:w="1985" w:type="dxa"/>
          </w:tcPr>
          <w:p>
            <w:pPr>
              <w:rPr>
                <w:rFonts w:ascii="黑体" w:hAnsi="Calibri" w:eastAsia="黑体"/>
                <w:b/>
                <w:sz w:val="44"/>
                <w:highlight w:val="none"/>
              </w:rPr>
            </w:pPr>
          </w:p>
        </w:tc>
        <w:tc>
          <w:tcPr>
            <w:tcW w:w="913" w:type="dxa"/>
          </w:tcPr>
          <w:p>
            <w:pPr>
              <w:rPr>
                <w:rFonts w:ascii="黑体" w:hAnsi="Calibri" w:eastAsia="黑体"/>
                <w:b/>
                <w:sz w:val="44"/>
                <w:highlight w:val="none"/>
              </w:rPr>
            </w:pPr>
          </w:p>
        </w:tc>
      </w:tr>
    </w:tbl>
    <w:p>
      <w:pPr>
        <w:rPr>
          <w:szCs w:val="21"/>
          <w:highlight w:val="none"/>
        </w:rPr>
      </w:pPr>
      <w:r>
        <w:rPr>
          <w:szCs w:val="21"/>
          <w:highlight w:val="none"/>
        </w:rPr>
        <w:t>总分=</w:t>
      </w:r>
      <w:r>
        <w:rPr>
          <w:rFonts w:hint="eastAsia" w:ascii="宋体" w:hAnsi="宋体"/>
          <w:szCs w:val="21"/>
          <w:highlight w:val="none"/>
        </w:rPr>
        <w:t>商务、技术</w:t>
      </w:r>
      <w:r>
        <w:rPr>
          <w:rFonts w:hint="eastAsia"/>
          <w:szCs w:val="21"/>
          <w:highlight w:val="none"/>
        </w:rPr>
        <w:t>分×</w:t>
      </w:r>
      <w:r>
        <w:rPr>
          <w:rFonts w:hint="eastAsia" w:ascii="宋体" w:hAnsi="宋体"/>
          <w:szCs w:val="21"/>
          <w:highlight w:val="none"/>
        </w:rPr>
        <w:t>30%</w:t>
      </w:r>
      <w:r>
        <w:rPr>
          <w:rFonts w:ascii="宋体" w:hAnsi="宋体"/>
          <w:szCs w:val="21"/>
          <w:highlight w:val="none"/>
        </w:rPr>
        <w:t>+</w:t>
      </w:r>
      <w:r>
        <w:rPr>
          <w:rFonts w:hint="eastAsia"/>
          <w:szCs w:val="21"/>
          <w:highlight w:val="none"/>
        </w:rPr>
        <w:t>价格分×70%</w:t>
      </w:r>
    </w:p>
    <w:p>
      <w:pPr>
        <w:rPr>
          <w:szCs w:val="21"/>
          <w:highlight w:val="none"/>
        </w:rPr>
      </w:pPr>
    </w:p>
    <w:p>
      <w:pPr>
        <w:rPr>
          <w:szCs w:val="21"/>
          <w:highlight w:val="none"/>
        </w:rPr>
      </w:pPr>
    </w:p>
    <w:p>
      <w:pPr>
        <w:rPr>
          <w:szCs w:val="21"/>
          <w:highlight w:val="none"/>
        </w:rPr>
      </w:pPr>
    </w:p>
    <w:p>
      <w:pPr>
        <w:spacing w:line="360" w:lineRule="auto"/>
        <w:ind w:firstLine="420" w:firstLineChars="200"/>
        <w:rPr>
          <w:rFonts w:ascii="宋体" w:hAnsi="宋体"/>
          <w:szCs w:val="21"/>
          <w:highlight w:val="none"/>
        </w:rPr>
      </w:pPr>
      <w:r>
        <w:rPr>
          <w:rFonts w:hint="eastAsia" w:ascii="宋体" w:hAnsi="宋体"/>
          <w:szCs w:val="21"/>
          <w:highlight w:val="none"/>
        </w:rPr>
        <w:t xml:space="preserve">评委签名：                                                                        </w:t>
      </w:r>
    </w:p>
    <w:p>
      <w:pPr>
        <w:spacing w:line="360" w:lineRule="auto"/>
        <w:ind w:firstLine="420" w:firstLineChars="200"/>
        <w:rPr>
          <w:rFonts w:ascii="宋体" w:hAnsi="宋体"/>
          <w:szCs w:val="21"/>
          <w:highlight w:val="none"/>
        </w:rPr>
      </w:pPr>
      <w:r>
        <w:rPr>
          <w:rFonts w:hint="eastAsia" w:ascii="宋体" w:hAnsi="宋体"/>
          <w:szCs w:val="21"/>
          <w:highlight w:val="none"/>
        </w:rPr>
        <w:t>监督人员签名：</w:t>
      </w:r>
    </w:p>
    <w:p>
      <w:pPr>
        <w:ind w:firstLine="420" w:firstLineChars="200"/>
        <w:rPr>
          <w:highlight w:val="none"/>
        </w:rPr>
        <w:sectPr>
          <w:pgSz w:w="11906" w:h="16838"/>
          <w:pgMar w:top="1797" w:right="1440" w:bottom="1797" w:left="1440" w:header="794" w:footer="794" w:gutter="0"/>
          <w:cols w:space="0" w:num="1"/>
        </w:sectPr>
      </w:pPr>
      <w:r>
        <w:rPr>
          <w:rFonts w:hint="eastAsia" w:ascii="宋体" w:hAnsi="宋体"/>
          <w:kern w:val="10"/>
          <w:szCs w:val="21"/>
          <w:highlight w:val="none"/>
        </w:rPr>
        <w:t>日</w:t>
      </w:r>
      <w:r>
        <w:rPr>
          <w:rFonts w:hint="eastAsia" w:ascii="宋体" w:hAnsi="宋体"/>
          <w:szCs w:val="21"/>
          <w:highlight w:val="none"/>
        </w:rPr>
        <w:t>期：</w:t>
      </w:r>
    </w:p>
    <w:bookmarkEnd w:id="2"/>
    <w:bookmarkEnd w:id="3"/>
    <w:bookmarkEnd w:id="4"/>
    <w:bookmarkEnd w:id="5"/>
    <w:p>
      <w:pPr>
        <w:spacing w:line="360" w:lineRule="auto"/>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jc w:val="center"/>
        <w:outlineLvl w:val="0"/>
        <w:rPr>
          <w:rFonts w:ascii="宋体" w:hAnsi="宋体"/>
          <w:highlight w:val="none"/>
        </w:rPr>
      </w:pPr>
      <w:bookmarkStart w:id="389" w:name="_Toc1495"/>
      <w:bookmarkStart w:id="390" w:name="_Toc25031"/>
      <w:bookmarkStart w:id="391" w:name="_Toc15766"/>
      <w:bookmarkStart w:id="392" w:name="_Toc19071"/>
      <w:bookmarkStart w:id="393" w:name="_Toc15748"/>
      <w:r>
        <w:rPr>
          <w:rFonts w:hint="eastAsia" w:ascii="宋体" w:hAnsi="宋体"/>
          <w:b/>
          <w:bCs/>
          <w:sz w:val="44"/>
          <w:szCs w:val="44"/>
          <w:highlight w:val="none"/>
        </w:rPr>
        <w:t>第四章 用户需求书</w:t>
      </w:r>
      <w:bookmarkEnd w:id="389"/>
      <w:bookmarkEnd w:id="390"/>
      <w:bookmarkEnd w:id="391"/>
      <w:bookmarkEnd w:id="392"/>
      <w:bookmarkEnd w:id="393"/>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highlight w:val="none"/>
        </w:rPr>
      </w:pPr>
    </w:p>
    <w:p>
      <w:pPr>
        <w:pStyle w:val="200"/>
        <w:rPr>
          <w:rFonts w:ascii="宋体" w:hAnsi="宋体"/>
          <w:b/>
          <w:bCs/>
          <w:sz w:val="32"/>
          <w:szCs w:val="32"/>
          <w:highlight w:val="none"/>
        </w:rPr>
      </w:pPr>
    </w:p>
    <w:p>
      <w:pPr>
        <w:pStyle w:val="200"/>
        <w:rPr>
          <w:rFonts w:ascii="宋体" w:hAnsi="宋体"/>
          <w:b/>
          <w:bCs/>
          <w:sz w:val="32"/>
          <w:szCs w:val="32"/>
          <w:highlight w:val="none"/>
        </w:rPr>
      </w:pPr>
    </w:p>
    <w:p>
      <w:pPr>
        <w:pStyle w:val="200"/>
        <w:rPr>
          <w:rFonts w:ascii="宋体" w:hAnsi="宋体"/>
          <w:b/>
          <w:bCs/>
          <w:sz w:val="32"/>
          <w:szCs w:val="32"/>
          <w:highlight w:val="none"/>
        </w:rPr>
      </w:pPr>
    </w:p>
    <w:p>
      <w:pPr>
        <w:pStyle w:val="200"/>
        <w:rPr>
          <w:rFonts w:ascii="宋体" w:hAnsi="宋体"/>
          <w:b/>
          <w:bCs/>
          <w:sz w:val="32"/>
          <w:szCs w:val="32"/>
          <w:highlight w:val="none"/>
        </w:rPr>
      </w:pPr>
    </w:p>
    <w:p>
      <w:pPr>
        <w:pStyle w:val="200"/>
        <w:jc w:val="center"/>
        <w:rPr>
          <w:rFonts w:ascii="宋体" w:hAnsi="宋体"/>
          <w:sz w:val="24"/>
          <w:highlight w:val="none"/>
        </w:rPr>
      </w:pPr>
    </w:p>
    <w:p>
      <w:pPr>
        <w:widowControl/>
        <w:jc w:val="left"/>
        <w:rPr>
          <w:rFonts w:ascii="宋体" w:hAnsi="宋体"/>
          <w:kern w:val="0"/>
          <w:sz w:val="24"/>
          <w:szCs w:val="21"/>
          <w:highlight w:val="none"/>
        </w:rPr>
      </w:pPr>
    </w:p>
    <w:p>
      <w:pPr>
        <w:widowControl/>
        <w:jc w:val="left"/>
        <w:rPr>
          <w:rFonts w:ascii="宋体" w:hAnsi="宋体"/>
          <w:kern w:val="0"/>
          <w:sz w:val="24"/>
          <w:szCs w:val="21"/>
          <w:highlight w:val="none"/>
        </w:rPr>
      </w:pPr>
    </w:p>
    <w:p>
      <w:pPr>
        <w:widowControl/>
        <w:spacing w:line="360" w:lineRule="auto"/>
        <w:ind w:firstLine="482"/>
        <w:jc w:val="left"/>
        <w:rPr>
          <w:rFonts w:asciiTheme="minorEastAsia" w:hAnsiTheme="minorEastAsia" w:eastAsiaTheme="minorEastAsia"/>
          <w:szCs w:val="21"/>
          <w:highlight w:val="none"/>
        </w:rPr>
      </w:pPr>
      <w:r>
        <w:rPr>
          <w:rFonts w:asciiTheme="minorEastAsia" w:hAnsiTheme="minorEastAsia" w:eastAsiaTheme="minorEastAsia"/>
          <w:b/>
          <w:szCs w:val="21"/>
          <w:highlight w:val="none"/>
        </w:rPr>
        <w:t>1.生产线辅助业务部分</w:t>
      </w:r>
      <w:r>
        <w:rPr>
          <w:rFonts w:hint="eastAsia" w:asciiTheme="minorEastAsia" w:hAnsiTheme="minorEastAsia" w:eastAsiaTheme="minorEastAsia"/>
          <w:szCs w:val="21"/>
          <w:highlight w:val="none"/>
        </w:rPr>
        <w:t>（未明确强调具体人员配置数量的工作任务乙方即投标人可安排兼职人员，但必须按照甲方招标人要求完成相关工作任务。）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  </w:t>
      </w:r>
      <w:r>
        <w:rPr>
          <w:rFonts w:hint="eastAsia" w:asciiTheme="minorEastAsia" w:hAnsiTheme="minorEastAsia" w:eastAsiaTheme="minorEastAsia"/>
          <w:b/>
          <w:szCs w:val="21"/>
          <w:highlight w:val="none"/>
        </w:rPr>
        <w:t>磨房制浆辅助业务的主要工作内容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1.1.1 </w:t>
      </w:r>
      <w:r>
        <w:rPr>
          <w:rFonts w:hint="eastAsia" w:asciiTheme="minorEastAsia" w:hAnsiTheme="minorEastAsia" w:eastAsiaTheme="minorEastAsia"/>
          <w:szCs w:val="21"/>
          <w:highlight w:val="none"/>
        </w:rPr>
        <w:t>负责所有砂皮带运行巡检，中控操作自动运行时现场巡检监护。负责对胶带输送机</w:t>
      </w:r>
      <w:r>
        <w:rPr>
          <w:rFonts w:asciiTheme="minorEastAsia" w:hAnsiTheme="minorEastAsia" w:eastAsiaTheme="minorEastAsia"/>
          <w:szCs w:val="21"/>
          <w:highlight w:val="none"/>
        </w:rPr>
        <w:t>、砂皮带秤</w:t>
      </w:r>
      <w:r>
        <w:rPr>
          <w:rFonts w:hint="eastAsia" w:asciiTheme="minorEastAsia" w:hAnsiTheme="minorEastAsia" w:eastAsiaTheme="minorEastAsia"/>
          <w:szCs w:val="21"/>
          <w:highlight w:val="none"/>
        </w:rPr>
        <w:t>下方漏砂清理。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 </w:t>
      </w:r>
      <w:r>
        <w:rPr>
          <w:rFonts w:hint="eastAsia" w:asciiTheme="minorEastAsia" w:hAnsiTheme="minorEastAsia" w:eastAsiaTheme="minorEastAsia"/>
          <w:szCs w:val="21"/>
          <w:highlight w:val="none"/>
        </w:rPr>
        <w:t>负责粉煤灰制浆工作，中控操作自动运行时现场巡检监护及出口手动阀操作，负责区域内卫生。</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 </w:t>
      </w:r>
      <w:r>
        <w:rPr>
          <w:rFonts w:hint="eastAsia" w:asciiTheme="minorEastAsia" w:hAnsiTheme="minorEastAsia" w:eastAsiaTheme="minorEastAsia"/>
          <w:szCs w:val="21"/>
          <w:highlight w:val="none"/>
        </w:rPr>
        <w:t>负责石膏制浆，人工铲料制浆，负责门外撒落石膏及积水沟、坑的清理。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1.1.4 </w:t>
      </w:r>
      <w:r>
        <w:rPr>
          <w:rFonts w:hint="eastAsia" w:asciiTheme="minorEastAsia" w:hAnsiTheme="minorEastAsia" w:eastAsiaTheme="minorEastAsia"/>
          <w:szCs w:val="21"/>
          <w:highlight w:val="none"/>
        </w:rPr>
        <w:t>负责</w:t>
      </w:r>
      <w:r>
        <w:rPr>
          <w:rFonts w:hint="eastAsia" w:ascii="宋体" w:hAnsi="宋体"/>
          <w:szCs w:val="21"/>
          <w:highlight w:val="none"/>
        </w:rPr>
        <w:t>其他生产原材料</w:t>
      </w:r>
      <w:r>
        <w:rPr>
          <w:rFonts w:hint="eastAsia" w:asciiTheme="minorEastAsia" w:hAnsiTheme="minorEastAsia" w:eastAsiaTheme="minorEastAsia"/>
          <w:szCs w:val="21"/>
          <w:highlight w:val="none"/>
        </w:rPr>
        <w:t>制浆，人工操作阀门输送，负责区域内卫生。</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1.1.5 </w:t>
      </w:r>
      <w:r>
        <w:rPr>
          <w:rFonts w:hint="eastAsia" w:asciiTheme="minorEastAsia" w:hAnsiTheme="minorEastAsia" w:eastAsiaTheme="minorEastAsia"/>
          <w:szCs w:val="21"/>
          <w:highlight w:val="none"/>
        </w:rPr>
        <w:t>负责磨头罐、砂皮带、磨机入口、磨机出口、磨机接收地坑等设备运行时现场巡检监控，调整废浆下料量，按操作规程操作设备，保证系统设备正常运行，按工艺要求制备合格砂浆。生产异常及时处理；磨机检修时及日常的钢锻装卸、磨机内壁板、导流板、轴承等的清理；磨机正常运行时产生的石仔清理。砂浆每一地坑的比重、每罐砂浆含水的测试。负责区域内卫生。</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1.1.6 </w:t>
      </w:r>
      <w:r>
        <w:rPr>
          <w:rFonts w:hint="eastAsia" w:asciiTheme="minorEastAsia" w:hAnsiTheme="minorEastAsia" w:eastAsiaTheme="minorEastAsia"/>
          <w:szCs w:val="21"/>
          <w:highlight w:val="none"/>
        </w:rPr>
        <w:t>负责所有罐、坑的搅拌、阀门、泵的运行监护。废浆比重、含水的测试，保证废浆符合工艺要求。负责区域卫生、罐区内所有秤重系统范围的清洁。</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1.1.7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6人以上。</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1.2</w:t>
      </w:r>
      <w:r>
        <w:rPr>
          <w:rFonts w:hint="eastAsia" w:asciiTheme="minorEastAsia" w:hAnsiTheme="minorEastAsia" w:eastAsiaTheme="minorEastAsia"/>
          <w:b/>
          <w:szCs w:val="21"/>
          <w:highlight w:val="none"/>
        </w:rPr>
        <w:t>铝粉制浆辅助业务的主要工作内容</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1.2.1 </w:t>
      </w:r>
      <w:r>
        <w:rPr>
          <w:rFonts w:hint="eastAsia" w:asciiTheme="minorEastAsia" w:hAnsiTheme="minorEastAsia" w:eastAsiaTheme="minorEastAsia"/>
          <w:szCs w:val="21"/>
          <w:highlight w:val="none"/>
        </w:rPr>
        <w:t>负责铝粉膏的吊运，将来货铝粉膏从</w:t>
      </w:r>
      <w:r>
        <w:rPr>
          <w:rFonts w:asciiTheme="minorEastAsia" w:hAnsiTheme="minorEastAsia" w:eastAsiaTheme="minorEastAsia"/>
          <w:szCs w:val="21"/>
          <w:highlight w:val="none"/>
        </w:rPr>
        <w:t>1楼用电动葫芦吊运至3楼，按要求运至铝粉库码放整齐。</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1.2.2 </w:t>
      </w:r>
      <w:r>
        <w:rPr>
          <w:rFonts w:hint="eastAsia" w:asciiTheme="minorEastAsia" w:hAnsiTheme="minorEastAsia" w:eastAsiaTheme="minorEastAsia"/>
          <w:szCs w:val="21"/>
          <w:highlight w:val="none"/>
        </w:rPr>
        <w:t>负责按要求冲洗浇注</w:t>
      </w:r>
      <w:r>
        <w:rPr>
          <w:rFonts w:asciiTheme="minorEastAsia" w:hAnsiTheme="minorEastAsia" w:eastAsiaTheme="minorEastAsia"/>
          <w:szCs w:val="21"/>
          <w:highlight w:val="none"/>
        </w:rPr>
        <w:t>搅拌罐、料浆、斗秤；按中控指令做摊开度。按要求添加适量铝粉至自动铝粉储罐。在生产过程中监控自动铝粉机的工作状态。每班检查收尘管道、料浆管道、石灰、水泥管道是否畅通及有否挂靠浇注搅拌罐。手动添加（自动故障时采用）按需用量将铝粉从3楼铝粉库搬运至2楼，</w:t>
      </w:r>
      <w:r>
        <w:rPr>
          <w:rFonts w:hint="eastAsia" w:asciiTheme="minorEastAsia" w:hAnsiTheme="minorEastAsia" w:eastAsiaTheme="minorEastAsia"/>
          <w:szCs w:val="21"/>
          <w:highlight w:val="none"/>
        </w:rPr>
        <w:t>每模按要求秤好铝粉并加入铝粉浇拌罐中。检查收尘管道、料浆管道、石灰、水泥管道是否畅通及有否挂靠</w:t>
      </w:r>
      <w:r>
        <w:rPr>
          <w:rFonts w:asciiTheme="minorEastAsia" w:hAnsiTheme="minorEastAsia" w:eastAsiaTheme="minorEastAsia"/>
          <w:szCs w:val="21"/>
          <w:highlight w:val="none"/>
        </w:rPr>
        <w:t>浇注搅拌罐。</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1.2.3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1.3 </w:t>
      </w:r>
      <w:r>
        <w:rPr>
          <w:rFonts w:hint="eastAsia" w:asciiTheme="minorEastAsia" w:hAnsiTheme="minorEastAsia" w:eastAsiaTheme="minorEastAsia"/>
          <w:b/>
          <w:szCs w:val="21"/>
          <w:highlight w:val="none"/>
        </w:rPr>
        <w:t>静停辅助业务的主要工作内容</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1.3.1 </w:t>
      </w:r>
      <w:r>
        <w:rPr>
          <w:rFonts w:hint="eastAsia" w:asciiTheme="minorEastAsia" w:hAnsiTheme="minorEastAsia" w:eastAsiaTheme="minorEastAsia"/>
          <w:szCs w:val="21"/>
          <w:highlight w:val="none"/>
        </w:rPr>
        <w:t>负责观察下浆过程，检查模箱有否漏浆，有漏浆及时堵漏。保证</w:t>
      </w:r>
      <w:r>
        <w:rPr>
          <w:rFonts w:asciiTheme="minorEastAsia" w:hAnsiTheme="minorEastAsia" w:eastAsiaTheme="minorEastAsia"/>
          <w:szCs w:val="21"/>
          <w:highlight w:val="none"/>
        </w:rPr>
        <w:t>浇注搅拌</w:t>
      </w:r>
      <w:r>
        <w:rPr>
          <w:rFonts w:hint="eastAsia" w:asciiTheme="minorEastAsia" w:hAnsiTheme="minorEastAsia" w:eastAsiaTheme="minorEastAsia"/>
          <w:szCs w:val="21"/>
          <w:highlight w:val="none"/>
        </w:rPr>
        <w:t>罐</w:t>
      </w:r>
      <w:r>
        <w:rPr>
          <w:rFonts w:asciiTheme="minorEastAsia" w:hAnsiTheme="minorEastAsia" w:eastAsiaTheme="minorEastAsia"/>
          <w:szCs w:val="21"/>
          <w:highlight w:val="none"/>
        </w:rPr>
        <w:t>下料管道畅通。</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1.3.2 </w:t>
      </w:r>
      <w:r>
        <w:rPr>
          <w:rFonts w:hint="eastAsia" w:asciiTheme="minorEastAsia" w:hAnsiTheme="minorEastAsia" w:eastAsiaTheme="minorEastAsia"/>
          <w:szCs w:val="21"/>
          <w:highlight w:val="none"/>
        </w:rPr>
        <w:t>负责预养窑内坯体发气、静停等观察，及时处理模框漏浆。掌握坯体硬化情况，及时沟通翻转岗位，确保坯体适合的切割硬度。</w:t>
      </w:r>
    </w:p>
    <w:p>
      <w:pPr>
        <w:spacing w:line="360" w:lineRule="auto"/>
        <w:ind w:firstLine="420" w:firstLineChars="200"/>
        <w:jc w:val="left"/>
        <w:rPr>
          <w:rFonts w:asciiTheme="minorEastAsia" w:hAnsiTheme="minorEastAsia" w:eastAsiaTheme="minorEastAsia"/>
          <w:b/>
          <w:szCs w:val="21"/>
          <w:highlight w:val="none"/>
        </w:rPr>
      </w:pPr>
      <w:r>
        <w:rPr>
          <w:rFonts w:asciiTheme="minorEastAsia" w:hAnsiTheme="minorEastAsia" w:eastAsiaTheme="minorEastAsia"/>
          <w:szCs w:val="21"/>
          <w:highlight w:val="none"/>
        </w:rPr>
        <w:t xml:space="preserve">1.4 </w:t>
      </w:r>
      <w:r>
        <w:rPr>
          <w:rFonts w:hint="eastAsia" w:asciiTheme="minorEastAsia" w:hAnsiTheme="minorEastAsia" w:eastAsiaTheme="minorEastAsia"/>
          <w:b/>
          <w:szCs w:val="21"/>
          <w:highlight w:val="none"/>
        </w:rPr>
        <w:t>涂刷辅助业务的主要工作内容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1.4.1 </w:t>
      </w:r>
      <w:r>
        <w:rPr>
          <w:rFonts w:hint="eastAsia" w:asciiTheme="minorEastAsia" w:hAnsiTheme="minorEastAsia" w:eastAsiaTheme="minorEastAsia"/>
          <w:szCs w:val="21"/>
          <w:highlight w:val="none"/>
        </w:rPr>
        <w:t>负责脱模剂由废油地坑抽出用桶装至作业现场。</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1.4.2 </w:t>
      </w:r>
      <w:r>
        <w:rPr>
          <w:rFonts w:hint="eastAsia" w:asciiTheme="minorEastAsia" w:hAnsiTheme="minorEastAsia" w:eastAsiaTheme="minorEastAsia"/>
          <w:szCs w:val="21"/>
          <w:highlight w:val="none"/>
        </w:rPr>
        <w:t>负责脱模剂堆场将日用量的脱模剂搬运至现场。</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1.4.3 </w:t>
      </w:r>
      <w:r>
        <w:rPr>
          <w:rFonts w:hint="eastAsia" w:asciiTheme="minorEastAsia" w:hAnsiTheme="minorEastAsia" w:eastAsiaTheme="minorEastAsia"/>
          <w:szCs w:val="21"/>
          <w:highlight w:val="none"/>
        </w:rPr>
        <w:t>负责均匀涂抹整个模箱，检查模框胶条与</w:t>
      </w:r>
      <w:r>
        <w:rPr>
          <w:rFonts w:hint="eastAsia" w:ascii="宋体" w:hAnsi="宋体"/>
          <w:szCs w:val="21"/>
          <w:highlight w:val="none"/>
        </w:rPr>
        <w:t>侧板</w:t>
      </w:r>
      <w:r>
        <w:rPr>
          <w:rFonts w:hint="eastAsia" w:asciiTheme="minorEastAsia" w:hAnsiTheme="minorEastAsia" w:eastAsiaTheme="minorEastAsia"/>
          <w:szCs w:val="21"/>
          <w:highlight w:val="none"/>
        </w:rPr>
        <w:t>的吻合是否符合要求。</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1.4.4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1.5翻转辅助业务的主要工作内容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1.5.1 </w:t>
      </w:r>
      <w:r>
        <w:rPr>
          <w:rFonts w:hint="eastAsia" w:asciiTheme="minorEastAsia" w:hAnsiTheme="minorEastAsia" w:eastAsiaTheme="minorEastAsia"/>
          <w:szCs w:val="21"/>
          <w:highlight w:val="none"/>
        </w:rPr>
        <w:t>负责</w:t>
      </w:r>
      <w:r>
        <w:rPr>
          <w:rFonts w:hint="eastAsia" w:ascii="宋体" w:hAnsi="宋体"/>
          <w:szCs w:val="21"/>
          <w:highlight w:val="none"/>
        </w:rPr>
        <w:t>侧板</w:t>
      </w:r>
      <w:r>
        <w:rPr>
          <w:rFonts w:hint="eastAsia" w:asciiTheme="minorEastAsia" w:hAnsiTheme="minorEastAsia" w:eastAsiaTheme="minorEastAsia"/>
          <w:szCs w:val="21"/>
          <w:highlight w:val="none"/>
        </w:rPr>
        <w:t>、模框清洁，要求对每一个合模的</w:t>
      </w:r>
      <w:r>
        <w:rPr>
          <w:rFonts w:hint="eastAsia" w:ascii="宋体" w:hAnsi="宋体"/>
          <w:szCs w:val="21"/>
          <w:highlight w:val="none"/>
        </w:rPr>
        <w:t>侧板</w:t>
      </w:r>
      <w:r>
        <w:rPr>
          <w:rFonts w:hint="eastAsia" w:asciiTheme="minorEastAsia" w:hAnsiTheme="minorEastAsia" w:eastAsiaTheme="minorEastAsia"/>
          <w:szCs w:val="21"/>
          <w:highlight w:val="none"/>
        </w:rPr>
        <w:t>进行结料初清理；清理模框表面的软料。模框冒高时表面钢丝拉割。</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1.5.2负责铺彩条布并用夹子固定，</w:t>
      </w:r>
      <w:r>
        <w:rPr>
          <w:rFonts w:hint="eastAsia" w:asciiTheme="minorEastAsia" w:hAnsiTheme="minorEastAsia" w:eastAsiaTheme="minorEastAsia"/>
          <w:szCs w:val="21"/>
          <w:highlight w:val="none"/>
        </w:rPr>
        <w:t>模框合</w:t>
      </w:r>
      <w:r>
        <w:rPr>
          <w:rFonts w:hint="eastAsia" w:ascii="宋体" w:hAnsi="宋体"/>
          <w:szCs w:val="21"/>
          <w:highlight w:val="none"/>
        </w:rPr>
        <w:t>侧板</w:t>
      </w:r>
      <w:r>
        <w:rPr>
          <w:rFonts w:hint="eastAsia" w:asciiTheme="minorEastAsia" w:hAnsiTheme="minorEastAsia" w:eastAsiaTheme="minorEastAsia"/>
          <w:szCs w:val="21"/>
          <w:highlight w:val="none"/>
        </w:rPr>
        <w:t>前对模框内部的清洁。对所有模框密封条进行磨损检查。合模时</w:t>
      </w:r>
      <w:r>
        <w:rPr>
          <w:rFonts w:hint="eastAsia" w:ascii="宋体" w:hAnsi="宋体"/>
          <w:szCs w:val="21"/>
          <w:highlight w:val="none"/>
        </w:rPr>
        <w:t>侧板</w:t>
      </w:r>
      <w:r>
        <w:rPr>
          <w:rFonts w:hint="eastAsia" w:asciiTheme="minorEastAsia" w:hAnsiTheme="minorEastAsia" w:eastAsiaTheme="minorEastAsia"/>
          <w:szCs w:val="21"/>
          <w:highlight w:val="none"/>
        </w:rPr>
        <w:t>不到位时人工校正。</w:t>
      </w:r>
    </w:p>
    <w:p>
      <w:pPr>
        <w:spacing w:line="360" w:lineRule="auto"/>
        <w:ind w:firstLine="420" w:firstLineChars="200"/>
        <w:jc w:val="left"/>
        <w:rPr>
          <w:rFonts w:asciiTheme="minorEastAsia" w:hAnsiTheme="minorEastAsia" w:eastAsiaTheme="minorEastAsia"/>
          <w:b/>
          <w:szCs w:val="21"/>
          <w:highlight w:val="none"/>
        </w:rPr>
      </w:pPr>
      <w:r>
        <w:rPr>
          <w:rFonts w:asciiTheme="minorEastAsia" w:hAnsiTheme="minorEastAsia" w:eastAsiaTheme="minorEastAsia"/>
          <w:szCs w:val="21"/>
          <w:highlight w:val="none"/>
        </w:rPr>
        <w:t xml:space="preserve">1.5.3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w:t>
      </w:r>
    </w:p>
    <w:p>
      <w:pPr>
        <w:widowControl/>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1.6切割辅助业务的主要工作内容</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1.6.1 </w:t>
      </w:r>
      <w:r>
        <w:rPr>
          <w:rFonts w:hint="eastAsia" w:asciiTheme="minorEastAsia" w:hAnsiTheme="minorEastAsia" w:eastAsiaTheme="minorEastAsia"/>
          <w:szCs w:val="21"/>
          <w:highlight w:val="none"/>
        </w:rPr>
        <w:t>负责按要求更换横切钢丝、纵切钢丝。</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1.6.2负责半成品切割前坯体西边倒角；按要求对纵切、横切钢丝、纵切刀片进行清洁。按要求对所需设备进行加油保养。</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1.6.3 </w:t>
      </w:r>
      <w:r>
        <w:rPr>
          <w:rFonts w:hint="eastAsia" w:asciiTheme="minorEastAsia" w:hAnsiTheme="minorEastAsia" w:eastAsiaTheme="minorEastAsia"/>
          <w:szCs w:val="21"/>
          <w:highlight w:val="none"/>
        </w:rPr>
        <w:t>负责坯体翻转后对崩角、断裂、工艺纹严重的半成品推倒制浆。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1.6.4建议本辅助业务人员2人以上。</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1.7蒸养辅助业务的主要工作内容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1.7.1 </w:t>
      </w:r>
      <w:r>
        <w:rPr>
          <w:rFonts w:hint="eastAsia" w:asciiTheme="minorEastAsia" w:hAnsiTheme="minorEastAsia" w:eastAsiaTheme="minorEastAsia"/>
          <w:szCs w:val="21"/>
          <w:highlight w:val="none"/>
        </w:rPr>
        <w:t>负责按要求对蒸养小车位置进行确认、蒸养小车轴承进行加油；每釜关釜门前对釜圈涂抹石墨油，每周对蒸压釜釜底活动滚轴加油。釜前吊机、釜前链条的随机操作（自动故障时）。</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1.7.2 </w:t>
      </w:r>
      <w:r>
        <w:rPr>
          <w:rFonts w:hint="eastAsia" w:asciiTheme="minorEastAsia" w:hAnsiTheme="minorEastAsia" w:eastAsiaTheme="minorEastAsia"/>
          <w:szCs w:val="21"/>
          <w:highlight w:val="none"/>
        </w:rPr>
        <w:t>负责协助蒸养工更换釜圈。</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1.7.3 </w:t>
      </w:r>
      <w:r>
        <w:rPr>
          <w:rFonts w:hint="eastAsia" w:asciiTheme="minorEastAsia" w:hAnsiTheme="minorEastAsia" w:eastAsiaTheme="minorEastAsia"/>
          <w:szCs w:val="21"/>
          <w:highlight w:val="none"/>
        </w:rPr>
        <w:t>按每</w:t>
      </w:r>
      <w:r>
        <w:rPr>
          <w:rFonts w:asciiTheme="minorEastAsia" w:hAnsiTheme="minorEastAsia" w:eastAsiaTheme="minorEastAsia"/>
          <w:szCs w:val="21"/>
          <w:highlight w:val="none"/>
        </w:rPr>
        <w:t>2周循环一次对1-7号</w:t>
      </w:r>
      <w:r>
        <w:rPr>
          <w:rFonts w:hint="eastAsia" w:asciiTheme="minorEastAsia" w:hAnsiTheme="minorEastAsia" w:eastAsiaTheme="minorEastAsia"/>
          <w:szCs w:val="21"/>
          <w:highlight w:val="none"/>
        </w:rPr>
        <w:t>釜内积料清理，如积料较多周期缩短。</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1.7.4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1.8 </w:t>
      </w:r>
      <w:r>
        <w:rPr>
          <w:rFonts w:hint="eastAsia" w:asciiTheme="minorEastAsia" w:hAnsiTheme="minorEastAsia" w:eastAsiaTheme="minorEastAsia"/>
          <w:b/>
          <w:szCs w:val="21"/>
          <w:highlight w:val="none"/>
        </w:rPr>
        <w:t>地翻台辅助业务的主要工作内容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1.8.1 </w:t>
      </w:r>
      <w:r>
        <w:rPr>
          <w:rFonts w:hint="eastAsia" w:asciiTheme="minorEastAsia" w:hAnsiTheme="minorEastAsia" w:eastAsiaTheme="minorEastAsia"/>
          <w:szCs w:val="21"/>
          <w:highlight w:val="none"/>
        </w:rPr>
        <w:t>负责操作刮刀开关翻转台正翻运行后按下刮刀下行开关。</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1.8.2 </w:t>
      </w:r>
      <w:r>
        <w:rPr>
          <w:rFonts w:hint="eastAsia" w:asciiTheme="minorEastAsia" w:hAnsiTheme="minorEastAsia" w:eastAsiaTheme="minorEastAsia"/>
          <w:szCs w:val="21"/>
          <w:highlight w:val="none"/>
        </w:rPr>
        <w:t>负责坯体翻转后及时收彩条布，折好后交铺彩条布岗位。及时清理大板、限位的积料，保持清洁。</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1.8.3负责对坯体翻转后对崩角、断裂、工艺纹严重的半成品推倒制浆。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1.8.4建议本辅助业务人员2人以上。</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1.9 </w:t>
      </w:r>
      <w:r>
        <w:rPr>
          <w:rFonts w:hint="eastAsia" w:asciiTheme="minorEastAsia" w:hAnsiTheme="minorEastAsia" w:eastAsiaTheme="minorEastAsia"/>
          <w:b/>
          <w:szCs w:val="21"/>
          <w:highlight w:val="none"/>
        </w:rPr>
        <w:t>半成品翻转吊运辅助业务的主要工作内容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1.9.1 </w:t>
      </w:r>
      <w:r>
        <w:rPr>
          <w:rFonts w:hint="eastAsia" w:asciiTheme="minorEastAsia" w:hAnsiTheme="minorEastAsia" w:eastAsiaTheme="minorEastAsia"/>
          <w:szCs w:val="21"/>
          <w:highlight w:val="none"/>
        </w:rPr>
        <w:t>负责定期对坯体观察高度，检查坯体切割硬度，巡检静停室情况。</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1.9.2 </w:t>
      </w:r>
      <w:r>
        <w:rPr>
          <w:rFonts w:hint="eastAsia" w:asciiTheme="minorEastAsia" w:hAnsiTheme="minorEastAsia" w:eastAsiaTheme="minorEastAsia"/>
          <w:szCs w:val="21"/>
          <w:highlight w:val="none"/>
        </w:rPr>
        <w:t>负责跟上下游岗位生产情况、信息的及时沟通。发现异常及时协调处理。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1.9.3 </w:t>
      </w:r>
      <w:r>
        <w:rPr>
          <w:rFonts w:hint="eastAsia" w:asciiTheme="minorEastAsia" w:hAnsiTheme="minorEastAsia" w:eastAsiaTheme="minorEastAsia"/>
          <w:szCs w:val="21"/>
          <w:highlight w:val="none"/>
        </w:rPr>
        <w:t>负责对适合的半成品及时翻转吊运脱模。检查胶条情况，如破损调开更换后才合模。监督模框涂油情况。合、脱模时模框摆臂不到位时人工校正；模框起吊位不到位时人工校正。</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1.9.4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2人以上，应具有高中以上学历水平。</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1.10 </w:t>
      </w:r>
      <w:r>
        <w:rPr>
          <w:rFonts w:hint="eastAsia" w:asciiTheme="minorEastAsia" w:hAnsiTheme="minorEastAsia" w:eastAsiaTheme="minorEastAsia"/>
          <w:b/>
          <w:szCs w:val="21"/>
          <w:highlight w:val="none"/>
        </w:rPr>
        <w:t>半成品切割辅助业务的主要工作内容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1.10.1负责使用设备前对横切机、</w:t>
      </w:r>
      <w:r>
        <w:rPr>
          <w:rFonts w:hint="eastAsia" w:asciiTheme="minorEastAsia" w:hAnsiTheme="minorEastAsia" w:eastAsiaTheme="minorEastAsia"/>
          <w:szCs w:val="21"/>
          <w:highlight w:val="none"/>
        </w:rPr>
        <w:t>釜前吊机进行检查，空车试运，发现问题及时</w:t>
      </w:r>
    </w:p>
    <w:p>
      <w:pPr>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报检修处理。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1.10.2 </w:t>
      </w:r>
      <w:r>
        <w:rPr>
          <w:rFonts w:hint="eastAsia" w:asciiTheme="minorEastAsia" w:hAnsiTheme="minorEastAsia" w:eastAsiaTheme="minorEastAsia"/>
          <w:szCs w:val="21"/>
          <w:highlight w:val="none"/>
        </w:rPr>
        <w:t>负责跟上下游岗位生产情况、信息的及时沟通。发现异常及时协调处理。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1.10.3 </w:t>
      </w:r>
      <w:r>
        <w:rPr>
          <w:rFonts w:hint="eastAsia" w:asciiTheme="minorEastAsia" w:hAnsiTheme="minorEastAsia" w:eastAsiaTheme="minorEastAsia"/>
          <w:szCs w:val="21"/>
          <w:highlight w:val="none"/>
        </w:rPr>
        <w:t>负责切割前检纵切、横切查钢丝挂格情况，气压情况（不低于</w:t>
      </w:r>
      <w:r>
        <w:rPr>
          <w:rFonts w:asciiTheme="minorEastAsia" w:hAnsiTheme="minorEastAsia" w:eastAsiaTheme="minorEastAsia"/>
          <w:szCs w:val="21"/>
          <w:highlight w:val="none"/>
        </w:rPr>
        <w:t>5bar）。</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1.10.4 </w:t>
      </w:r>
      <w:r>
        <w:rPr>
          <w:rFonts w:hint="eastAsia" w:asciiTheme="minorEastAsia" w:hAnsiTheme="minorEastAsia" w:eastAsiaTheme="minorEastAsia"/>
          <w:szCs w:val="21"/>
          <w:highlight w:val="none"/>
        </w:rPr>
        <w:t>负责坯体切割完后坯体编号编写，坯体切割过程的观察，有异常及时处理。每切</w:t>
      </w:r>
      <w:r>
        <w:rPr>
          <w:rFonts w:asciiTheme="minorEastAsia" w:hAnsiTheme="minorEastAsia" w:eastAsiaTheme="minorEastAsia"/>
          <w:szCs w:val="21"/>
          <w:highlight w:val="none"/>
        </w:rPr>
        <w:t>5模对切割尺寸复检一次。横切支架回升时坯体东边顶推。按要求定期更换全部纵切、横切钢丝。</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1.10.5 </w:t>
      </w:r>
      <w:r>
        <w:rPr>
          <w:rFonts w:hint="eastAsia" w:asciiTheme="minorEastAsia" w:hAnsiTheme="minorEastAsia" w:eastAsiaTheme="minorEastAsia"/>
          <w:szCs w:val="21"/>
          <w:highlight w:val="none"/>
        </w:rPr>
        <w:t>负责及时调运半成品进釜，成品出釜。</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1.10.6 </w:t>
      </w:r>
      <w:r>
        <w:rPr>
          <w:rFonts w:hint="eastAsia" w:asciiTheme="minorEastAsia" w:hAnsiTheme="minorEastAsia" w:eastAsiaTheme="minorEastAsia"/>
          <w:szCs w:val="21"/>
          <w:highlight w:val="none"/>
        </w:rPr>
        <w:t>负责保持区域卫生。每班清洁操作台区域栏杆及支架一次。</w:t>
      </w:r>
    </w:p>
    <w:p>
      <w:pPr>
        <w:spacing w:line="360" w:lineRule="auto"/>
        <w:ind w:firstLine="420" w:firstLineChars="200"/>
        <w:jc w:val="left"/>
        <w:rPr>
          <w:rFonts w:asciiTheme="minorEastAsia" w:hAnsiTheme="minorEastAsia" w:eastAsiaTheme="minorEastAsia"/>
          <w:b/>
          <w:szCs w:val="21"/>
          <w:highlight w:val="none"/>
        </w:rPr>
      </w:pPr>
      <w:r>
        <w:rPr>
          <w:rFonts w:asciiTheme="minorEastAsia" w:hAnsiTheme="minorEastAsia" w:eastAsiaTheme="minorEastAsia"/>
          <w:szCs w:val="21"/>
          <w:highlight w:val="none"/>
        </w:rPr>
        <w:t xml:space="preserve">1.10.7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2人以上，应具有高中以上学历水平。</w:t>
      </w:r>
    </w:p>
    <w:p>
      <w:pPr>
        <w:spacing w:line="360" w:lineRule="auto"/>
        <w:ind w:firstLine="422" w:firstLineChars="200"/>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1.11 </w:t>
      </w:r>
      <w:r>
        <w:rPr>
          <w:rFonts w:hint="eastAsia" w:asciiTheme="minorEastAsia" w:hAnsiTheme="minorEastAsia" w:eastAsiaTheme="minorEastAsia"/>
          <w:b/>
          <w:szCs w:val="21"/>
          <w:highlight w:val="none"/>
        </w:rPr>
        <w:t>半成品堆垛及地翻辅助业务的主要工作内容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1.11.1 </w:t>
      </w:r>
      <w:r>
        <w:rPr>
          <w:rFonts w:hint="eastAsia" w:asciiTheme="minorEastAsia" w:hAnsiTheme="minorEastAsia" w:eastAsiaTheme="minorEastAsia"/>
          <w:szCs w:val="21"/>
          <w:highlight w:val="none"/>
        </w:rPr>
        <w:t>负责使用设备前对堆垛、地翻台进行检查，空车试运，发现问题及时报检修处理。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1.11.2 </w:t>
      </w:r>
      <w:r>
        <w:rPr>
          <w:rFonts w:hint="eastAsia" w:asciiTheme="minorEastAsia" w:hAnsiTheme="minorEastAsia" w:eastAsiaTheme="minorEastAsia"/>
          <w:szCs w:val="21"/>
          <w:highlight w:val="none"/>
        </w:rPr>
        <w:t>负责跟上下游岗位生产情况、信息的及时沟通。发现异常及时协调处理。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1.11.3负责按岗位安全操作规程操作。及时吊运</w:t>
      </w:r>
      <w:r>
        <w:rPr>
          <w:rFonts w:hint="eastAsia" w:ascii="宋体" w:hAnsi="宋体"/>
          <w:szCs w:val="21"/>
          <w:highlight w:val="none"/>
        </w:rPr>
        <w:t>侧板</w:t>
      </w:r>
      <w:r>
        <w:rPr>
          <w:rFonts w:asciiTheme="minorEastAsia" w:hAnsiTheme="minorEastAsia" w:eastAsiaTheme="minorEastAsia"/>
          <w:szCs w:val="21"/>
          <w:highlight w:val="none"/>
        </w:rPr>
        <w:t>到侧板回程合模，吊运半成品上</w:t>
      </w:r>
      <w:r>
        <w:rPr>
          <w:rFonts w:hint="eastAsia" w:asciiTheme="minorEastAsia" w:hAnsiTheme="minorEastAsia" w:eastAsiaTheme="minorEastAsia"/>
          <w:szCs w:val="21"/>
          <w:highlight w:val="none"/>
        </w:rPr>
        <w:t>翻转台去皮，吊运去皮半成品到蒸养小车。</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1.11.4 </w:t>
      </w:r>
      <w:r>
        <w:rPr>
          <w:rFonts w:hint="eastAsia" w:asciiTheme="minorEastAsia" w:hAnsiTheme="minorEastAsia" w:eastAsiaTheme="minorEastAsia"/>
          <w:szCs w:val="21"/>
          <w:highlight w:val="none"/>
        </w:rPr>
        <w:t>负责保持区域卫生。按要求清洁操作台区域栏杆及支架一次。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1.11.5建议本辅助业务人员2人以上，应具有高中以上学历水平。</w:t>
      </w:r>
    </w:p>
    <w:p>
      <w:pPr>
        <w:spacing w:line="360" w:lineRule="auto"/>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    1.12  成品分垛</w:t>
      </w:r>
      <w:r>
        <w:rPr>
          <w:rFonts w:hint="eastAsia" w:asciiTheme="minorEastAsia" w:hAnsiTheme="minorEastAsia" w:eastAsiaTheme="minorEastAsia"/>
          <w:b/>
          <w:szCs w:val="21"/>
          <w:highlight w:val="none"/>
        </w:rPr>
        <w:t>及分掰辅助业务的主要工作内容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1.12.1 </w:t>
      </w:r>
      <w:r>
        <w:rPr>
          <w:rFonts w:hint="eastAsia" w:asciiTheme="minorEastAsia" w:hAnsiTheme="minorEastAsia" w:eastAsiaTheme="minorEastAsia"/>
          <w:szCs w:val="21"/>
          <w:highlight w:val="none"/>
        </w:rPr>
        <w:t>负责使用设备前对分垛吊机、掰板机进行检查，空车试运，发现问题及时报检修处理。掰板机更换胶条。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1.12.2 </w:t>
      </w:r>
      <w:r>
        <w:rPr>
          <w:rFonts w:hint="eastAsia" w:asciiTheme="minorEastAsia" w:hAnsiTheme="minorEastAsia" w:eastAsiaTheme="minorEastAsia"/>
          <w:szCs w:val="21"/>
          <w:highlight w:val="none"/>
        </w:rPr>
        <w:t>负责跟上下游岗位生产情况、信息的及时沟通。发现异常及时协调处理。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1.12.3 </w:t>
      </w:r>
      <w:r>
        <w:rPr>
          <w:rFonts w:hint="eastAsia" w:asciiTheme="minorEastAsia" w:hAnsiTheme="minorEastAsia" w:eastAsiaTheme="minorEastAsia"/>
          <w:szCs w:val="21"/>
          <w:highlight w:val="none"/>
        </w:rPr>
        <w:t>负责按规程操作分垛与掰板机。分垛：吊运成品到掰板机分掰，吊运</w:t>
      </w:r>
      <w:r>
        <w:rPr>
          <w:rFonts w:hint="eastAsia" w:ascii="宋体" w:hAnsi="宋体"/>
          <w:szCs w:val="21"/>
          <w:highlight w:val="none"/>
        </w:rPr>
        <w:t>侧板</w:t>
      </w:r>
      <w:r>
        <w:rPr>
          <w:rFonts w:hint="eastAsia" w:asciiTheme="minorEastAsia" w:hAnsiTheme="minorEastAsia" w:eastAsiaTheme="minorEastAsia"/>
          <w:szCs w:val="21"/>
          <w:highlight w:val="none"/>
        </w:rPr>
        <w:t>及蒸养小车到回程轨道，输送小车到堆垛位。掰板：按成品尺寸调整参数，分掰成品，输送分掰好的成品到分坯位，输送</w:t>
      </w:r>
      <w:r>
        <w:rPr>
          <w:rFonts w:hint="eastAsia" w:ascii="宋体" w:hAnsi="宋体"/>
          <w:szCs w:val="21"/>
          <w:highlight w:val="none"/>
        </w:rPr>
        <w:t>侧板</w:t>
      </w:r>
      <w:r>
        <w:rPr>
          <w:rFonts w:hint="eastAsia" w:asciiTheme="minorEastAsia" w:hAnsiTheme="minorEastAsia" w:eastAsiaTheme="minorEastAsia"/>
          <w:szCs w:val="21"/>
          <w:highlight w:val="none"/>
        </w:rPr>
        <w:t>到分垛位。对固定</w:t>
      </w:r>
      <w:r>
        <w:rPr>
          <w:rFonts w:hint="eastAsia" w:ascii="宋体" w:hAnsi="宋体"/>
          <w:szCs w:val="21"/>
          <w:highlight w:val="none"/>
        </w:rPr>
        <w:t>侧板</w:t>
      </w:r>
      <w:r>
        <w:rPr>
          <w:rFonts w:hint="eastAsia" w:asciiTheme="minorEastAsia" w:hAnsiTheme="minorEastAsia" w:eastAsiaTheme="minorEastAsia"/>
          <w:szCs w:val="21"/>
          <w:highlight w:val="none"/>
        </w:rPr>
        <w:t>清扫。</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1.12.4 </w:t>
      </w:r>
      <w:r>
        <w:rPr>
          <w:rFonts w:hint="eastAsia" w:asciiTheme="minorEastAsia" w:hAnsiTheme="minorEastAsia" w:eastAsiaTheme="minorEastAsia"/>
          <w:szCs w:val="21"/>
          <w:highlight w:val="none"/>
        </w:rPr>
        <w:t>负责保持区域卫生。按要求清洁操作台区域栏杆及支架一次。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1.12.5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2人以上，应具有高中以上学历水平。</w:t>
      </w:r>
    </w:p>
    <w:p>
      <w:pPr>
        <w:widowControl/>
        <w:spacing w:line="360" w:lineRule="auto"/>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    1.13  成品夹坯吊运辅助业务的主要工作内容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1.13.1 </w:t>
      </w:r>
      <w:r>
        <w:rPr>
          <w:rFonts w:hint="eastAsia" w:asciiTheme="minorEastAsia" w:hAnsiTheme="minorEastAsia" w:eastAsiaTheme="minorEastAsia"/>
          <w:szCs w:val="21"/>
          <w:highlight w:val="none"/>
        </w:rPr>
        <w:t>负责使用设备前对夹垛吊机进行检查，空车试运，发现问题及时报检修处理，对掰好的成品及时吊运。操作成品出砖链条。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1.13.2 </w:t>
      </w:r>
      <w:r>
        <w:rPr>
          <w:rFonts w:hint="eastAsia" w:asciiTheme="minorEastAsia" w:hAnsiTheme="minorEastAsia" w:eastAsiaTheme="minorEastAsia"/>
          <w:szCs w:val="21"/>
          <w:highlight w:val="none"/>
        </w:rPr>
        <w:t>负责跟上下游岗位生产情况、信息的及时沟通。发现异常及时协调处理。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1.13.3 </w:t>
      </w:r>
      <w:r>
        <w:rPr>
          <w:rFonts w:hint="eastAsia" w:asciiTheme="minorEastAsia" w:hAnsiTheme="minorEastAsia" w:eastAsiaTheme="minorEastAsia"/>
          <w:szCs w:val="21"/>
          <w:highlight w:val="none"/>
        </w:rPr>
        <w:t>负责保持区域卫生。每班清洁操作台区域栏杆及支架一次。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1.13.4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2人以上，应具有高中以上学历水平。</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1.14  </w:t>
      </w:r>
      <w:r>
        <w:rPr>
          <w:rFonts w:hint="eastAsia" w:asciiTheme="minorEastAsia" w:hAnsiTheme="minorEastAsia" w:eastAsiaTheme="minorEastAsia"/>
          <w:b/>
          <w:szCs w:val="21"/>
          <w:highlight w:val="none"/>
        </w:rPr>
        <w:t>成品分拣辅助业务的主要工作内容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1.14.1  </w:t>
      </w:r>
      <w:r>
        <w:rPr>
          <w:rFonts w:hint="eastAsia" w:asciiTheme="minorEastAsia" w:hAnsiTheme="minorEastAsia" w:eastAsiaTheme="minorEastAsia"/>
          <w:szCs w:val="21"/>
          <w:highlight w:val="none"/>
        </w:rPr>
        <w:t>负责按要求在成品夹坯机码放位置放置整齐的木托板，高低不一致的木托板禁止同时使用。不合标准的木托板挑出拉走。</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1.14.2  </w:t>
      </w:r>
      <w:r>
        <w:rPr>
          <w:rFonts w:hint="eastAsia" w:asciiTheme="minorEastAsia" w:hAnsiTheme="minorEastAsia" w:eastAsiaTheme="minorEastAsia"/>
          <w:szCs w:val="21"/>
          <w:highlight w:val="none"/>
        </w:rPr>
        <w:t>按质检要求对木托板上不合格品进行更换，满足生产线要求。打包带用完后及时更换，每二小时对打包机关键部位进行吹扫除尘。成品</w:t>
      </w:r>
      <w:r>
        <w:rPr>
          <w:rFonts w:asciiTheme="minorEastAsia" w:hAnsiTheme="minorEastAsia" w:eastAsiaTheme="minorEastAsia"/>
          <w:szCs w:val="21"/>
          <w:highlight w:val="none"/>
        </w:rPr>
        <w:t>1#-5#链条的清洁、保养、润滑加油。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1.14.3 </w:t>
      </w:r>
      <w:r>
        <w:rPr>
          <w:rFonts w:hint="eastAsia" w:asciiTheme="minorEastAsia" w:hAnsiTheme="minorEastAsia" w:eastAsiaTheme="minorEastAsia"/>
          <w:szCs w:val="21"/>
          <w:highlight w:val="none"/>
        </w:rPr>
        <w:t>负责</w:t>
      </w:r>
      <w:r>
        <w:rPr>
          <w:rFonts w:asciiTheme="minorEastAsia" w:hAnsiTheme="minorEastAsia" w:eastAsiaTheme="minorEastAsia"/>
          <w:szCs w:val="21"/>
          <w:highlight w:val="none"/>
        </w:rPr>
        <w:t>1#-5#成品链条区域卫生，</w:t>
      </w:r>
      <w:r>
        <w:rPr>
          <w:rFonts w:hint="eastAsia" w:cs="Calibri" w:asciiTheme="minorEastAsia" w:hAnsiTheme="minorEastAsia" w:eastAsiaTheme="minorEastAsia"/>
          <w:color w:val="000000"/>
          <w:szCs w:val="21"/>
          <w:highlight w:val="none"/>
          <w:shd w:val="clear" w:color="auto" w:fill="FFFFFF"/>
        </w:rPr>
        <w:t>负责木托板整理、堆放</w:t>
      </w:r>
      <w:r>
        <w:rPr>
          <w:rFonts w:hint="eastAsia" w:asciiTheme="minorEastAsia" w:hAnsiTheme="minorEastAsia" w:eastAsiaTheme="minorEastAsia"/>
          <w:szCs w:val="21"/>
          <w:highlight w:val="none"/>
        </w:rPr>
        <w:t>；换砖区域的管理；保持区域卫生。</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1.14.4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8人以上</w:t>
      </w:r>
      <w:r>
        <w:rPr>
          <w:rFonts w:hint="eastAsia" w:asciiTheme="minorEastAsia" w:hAnsiTheme="minorEastAsia" w:eastAsiaTheme="minorEastAsia"/>
          <w:szCs w:val="21"/>
          <w:highlight w:val="none"/>
        </w:rPr>
        <w:t>。</w:t>
      </w:r>
    </w:p>
    <w:p>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1.15  </w:t>
      </w:r>
      <w:r>
        <w:rPr>
          <w:rFonts w:hint="eastAsia" w:ascii="宋体" w:hAnsi="宋体"/>
          <w:b/>
          <w:szCs w:val="21"/>
          <w:highlight w:val="none"/>
        </w:rPr>
        <w:t>产品套袋及手动打包工作内容</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1．15.1负责高精产品及其它需套袋产品的套袋工作，要求规范、及时完成该工作。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1.15.2负责自动打包机故障时的手工产品打包工作。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1.15.3负责工作区域的卫生清洁及废料收集处置工作。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1.16 </w:t>
      </w:r>
      <w:r>
        <w:rPr>
          <w:rFonts w:hint="eastAsia" w:ascii="宋体" w:hAnsi="宋体"/>
          <w:b/>
          <w:szCs w:val="21"/>
          <w:highlight w:val="none"/>
        </w:rPr>
        <w:t xml:space="preserve"> 生产原材料配料及周转工作内容</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1.16.1负责生产材料的制浆、泵送所有相关工作。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1.16.2负责砂、石粉、尾矿、炉渣、电厂废料、搅拌站废料等本公司试用及采用的原材料的厂内转运、归堆上料及按比例混合的相关工作。自配备铲车一台。</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1.16.3负责石灰、水泥、粉煤灰等原材料泵送进罐的安全监护工作。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1.16.4负责工作区域的产品覆盖，安全警示及区域围蔽工作。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1.16.5负责区域场地、设备的清洁卫生工作。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1.16.6建议本辅助业务人员2人。</w:t>
      </w:r>
    </w:p>
    <w:p>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1.17  </w:t>
      </w:r>
      <w:r>
        <w:rPr>
          <w:rFonts w:hint="eastAsia" w:ascii="宋体" w:hAnsi="宋体"/>
          <w:b/>
          <w:szCs w:val="21"/>
          <w:highlight w:val="none"/>
        </w:rPr>
        <w:t>设备操作机动人员工作内容</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1.17.1熟悉各岗位设备操作，顶替因各种原因缺员岗位。</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1.17.2员工吃饭时间的顶岗，保证24小时连续运行。</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1.17.3协助各岗位日常工作及参与其它临时安排工作。</w:t>
      </w:r>
    </w:p>
    <w:p>
      <w:pPr>
        <w:widowControl/>
        <w:spacing w:line="360" w:lineRule="auto"/>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    1.1</w:t>
      </w:r>
      <w:r>
        <w:rPr>
          <w:rFonts w:hint="eastAsia" w:asciiTheme="minorEastAsia" w:hAnsiTheme="minorEastAsia" w:eastAsiaTheme="minorEastAsia"/>
          <w:b/>
          <w:szCs w:val="21"/>
          <w:highlight w:val="none"/>
        </w:rPr>
        <w:t>8</w:t>
      </w:r>
      <w:r>
        <w:rPr>
          <w:rFonts w:asciiTheme="minorEastAsia" w:hAnsiTheme="minorEastAsia" w:eastAsiaTheme="minorEastAsia"/>
          <w:b/>
          <w:szCs w:val="21"/>
          <w:highlight w:val="none"/>
        </w:rPr>
        <w:t xml:space="preserve"> 现场管理业务的主要工作内容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 xml:space="preserve">.1 </w:t>
      </w:r>
      <w:r>
        <w:rPr>
          <w:rFonts w:hint="eastAsia" w:asciiTheme="minorEastAsia" w:hAnsiTheme="minorEastAsia" w:eastAsiaTheme="minorEastAsia"/>
          <w:szCs w:val="21"/>
          <w:highlight w:val="none"/>
        </w:rPr>
        <w:t>负责沟通、协调、处理生产中的事情，配合完成加气运行班长的指令要求。</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 xml:space="preserve">.2 </w:t>
      </w:r>
      <w:r>
        <w:rPr>
          <w:rFonts w:hint="eastAsia" w:asciiTheme="minorEastAsia" w:hAnsiTheme="minorEastAsia" w:eastAsiaTheme="minorEastAsia"/>
          <w:szCs w:val="21"/>
          <w:highlight w:val="none"/>
        </w:rPr>
        <w:t>负责监督辅助业务人员的安全作业，杜绝安全事故发生。组织业务人员定期安全学习。</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 xml:space="preserve">.3 </w:t>
      </w:r>
      <w:r>
        <w:rPr>
          <w:rFonts w:hint="eastAsia" w:asciiTheme="minorEastAsia" w:hAnsiTheme="minorEastAsia" w:eastAsiaTheme="minorEastAsia"/>
          <w:szCs w:val="21"/>
          <w:highlight w:val="none"/>
        </w:rPr>
        <w:t>负责监督指挥辅助业务完成各业务范围内清洁卫生。</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.4建议本辅助业务人员2人以上，并持有安全</w:t>
      </w:r>
      <w:r>
        <w:rPr>
          <w:rFonts w:hint="eastAsia" w:asciiTheme="minorEastAsia" w:hAnsiTheme="minorEastAsia" w:eastAsiaTheme="minorEastAsia"/>
          <w:szCs w:val="21"/>
          <w:highlight w:val="none"/>
        </w:rPr>
        <w:t>管理相关证书</w:t>
      </w:r>
      <w:r>
        <w:rPr>
          <w:rFonts w:asciiTheme="minorEastAsia" w:hAnsiTheme="minorEastAsia" w:eastAsiaTheme="minorEastAsia"/>
          <w:szCs w:val="21"/>
          <w:highlight w:val="none"/>
        </w:rPr>
        <w:t>。</w:t>
      </w:r>
    </w:p>
    <w:p>
      <w:pPr>
        <w:widowControl/>
        <w:spacing w:line="360" w:lineRule="auto"/>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    1.1</w:t>
      </w:r>
      <w:r>
        <w:rPr>
          <w:rFonts w:hint="eastAsia" w:asciiTheme="minorEastAsia" w:hAnsiTheme="minorEastAsia" w:eastAsiaTheme="minorEastAsia"/>
          <w:b/>
          <w:szCs w:val="21"/>
          <w:highlight w:val="none"/>
        </w:rPr>
        <w:t>9</w:t>
      </w:r>
      <w:r>
        <w:rPr>
          <w:rFonts w:asciiTheme="minorEastAsia" w:hAnsiTheme="minorEastAsia" w:eastAsiaTheme="minorEastAsia"/>
          <w:b/>
          <w:szCs w:val="21"/>
          <w:highlight w:val="none"/>
        </w:rPr>
        <w:t xml:space="preserve">  其它辅助业务的主要工作内容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9</w:t>
      </w:r>
      <w:r>
        <w:rPr>
          <w:rFonts w:asciiTheme="minorEastAsia" w:hAnsiTheme="minorEastAsia" w:eastAsiaTheme="minorEastAsia"/>
          <w:szCs w:val="21"/>
          <w:highlight w:val="none"/>
        </w:rPr>
        <w:t xml:space="preserve">.1 </w:t>
      </w:r>
      <w:r>
        <w:rPr>
          <w:rFonts w:hint="eastAsia" w:asciiTheme="minorEastAsia" w:hAnsiTheme="minorEastAsia" w:eastAsiaTheme="minorEastAsia"/>
          <w:szCs w:val="21"/>
          <w:highlight w:val="none"/>
        </w:rPr>
        <w:t>生产线所属设备的巡检、加油保养。生产线异常时，坯体或成品的去底皮工作。生产线搅拌罐、地坑等的临时应急清理工作。</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9</w:t>
      </w:r>
      <w:r>
        <w:rPr>
          <w:rFonts w:asciiTheme="minorEastAsia" w:hAnsiTheme="minorEastAsia" w:eastAsiaTheme="minorEastAsia"/>
          <w:szCs w:val="21"/>
          <w:highlight w:val="none"/>
        </w:rPr>
        <w:t xml:space="preserve">.2 </w:t>
      </w:r>
      <w:r>
        <w:rPr>
          <w:rFonts w:hint="eastAsia" w:asciiTheme="minorEastAsia" w:hAnsiTheme="minorEastAsia" w:eastAsiaTheme="minorEastAsia"/>
          <w:szCs w:val="21"/>
          <w:highlight w:val="none"/>
        </w:rPr>
        <w:t>现场管理，合理安排临时应急工作。</w:t>
      </w:r>
    </w:p>
    <w:p>
      <w:pPr>
        <w:widowControl/>
        <w:spacing w:line="360" w:lineRule="auto"/>
        <w:rPr>
          <w:rFonts w:ascii="宋体" w:hAnsi="宋体"/>
          <w:b/>
          <w:szCs w:val="21"/>
          <w:highlight w:val="none"/>
        </w:rPr>
      </w:pPr>
      <w:r>
        <w:rPr>
          <w:rFonts w:hint="eastAsia" w:ascii="宋体" w:hAnsi="宋体"/>
          <w:b/>
          <w:szCs w:val="21"/>
          <w:highlight w:val="none"/>
        </w:rPr>
        <w:t>1.20 车间、道路、货场卫生业务的主要工作内容</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1.20.1 负责每天按要求完成环厂道路路面、货场清洁，并定期对货场及环厂路路面喷淋以防扬尘。</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1.20.2每天进行车间非岗位人员管辖区域清洁卫生。负责蒸压釜区域、检修用房外公共区域卫生，排水沟清理。</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1.20.3负责车间及辅助用房内所有柱、梁、支架、围栏、楼梯、平台等的清洁卫生。</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1.20.4负责模箱侧板的打磨、清洁工作。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1.20.5协助坑、洞、罐体内的定期清理工作，协助静停室清洁及处理漏浆。</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1.20.6负责定期处理工业、生活垃圾，定期清洁负责区域垃圾筒。</w:t>
      </w:r>
    </w:p>
    <w:p>
      <w:pPr>
        <w:widowControl/>
        <w:spacing w:line="360" w:lineRule="auto"/>
        <w:ind w:firstLine="420" w:firstLineChars="200"/>
        <w:rPr>
          <w:rFonts w:ascii="宋体" w:hAnsi="宋体"/>
          <w:szCs w:val="21"/>
          <w:highlight w:val="none"/>
        </w:rPr>
      </w:pPr>
      <w:r>
        <w:rPr>
          <w:rFonts w:hint="eastAsia" w:ascii="宋体" w:hAnsi="宋体"/>
          <w:szCs w:val="21"/>
          <w:highlight w:val="none"/>
        </w:rPr>
        <w:t>1.20.7负责发货室及货场卫生间的清洁工作。</w:t>
      </w:r>
    </w:p>
    <w:p>
      <w:pPr>
        <w:widowControl/>
        <w:spacing w:line="360" w:lineRule="auto"/>
        <w:ind w:firstLine="420" w:firstLineChars="200"/>
        <w:rPr>
          <w:rFonts w:asciiTheme="minorEastAsia" w:hAnsiTheme="minorEastAsia" w:eastAsiaTheme="minorEastAsia"/>
          <w:szCs w:val="21"/>
          <w:highlight w:val="none"/>
        </w:rPr>
      </w:pPr>
      <w:r>
        <w:rPr>
          <w:rFonts w:hint="eastAsia" w:ascii="宋体" w:hAnsi="宋体"/>
          <w:szCs w:val="21"/>
          <w:highlight w:val="none"/>
        </w:rPr>
        <w:t>1.20.8建议本辅助业务人员3人。</w:t>
      </w:r>
    </w:p>
    <w:p>
      <w:pPr>
        <w:tabs>
          <w:tab w:val="left" w:pos="851"/>
        </w:tabs>
        <w:spacing w:line="360" w:lineRule="auto"/>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    1.</w:t>
      </w:r>
      <w:r>
        <w:rPr>
          <w:rFonts w:hint="eastAsia" w:asciiTheme="minorEastAsia" w:hAnsiTheme="minorEastAsia" w:eastAsiaTheme="minorEastAsia"/>
          <w:b/>
          <w:szCs w:val="21"/>
          <w:highlight w:val="none"/>
        </w:rPr>
        <w:t>21</w:t>
      </w:r>
      <w:r>
        <w:rPr>
          <w:rFonts w:asciiTheme="minorEastAsia" w:hAnsiTheme="minorEastAsia" w:eastAsiaTheme="minorEastAsia"/>
          <w:b/>
          <w:szCs w:val="21"/>
          <w:highlight w:val="none"/>
        </w:rPr>
        <w:t xml:space="preserve"> 物料转运</w:t>
      </w:r>
    </w:p>
    <w:p>
      <w:pPr>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21</w:t>
      </w:r>
      <w:r>
        <w:rPr>
          <w:rFonts w:asciiTheme="minorEastAsia" w:hAnsiTheme="minorEastAsia" w:eastAsiaTheme="minorEastAsia"/>
          <w:szCs w:val="21"/>
          <w:highlight w:val="none"/>
        </w:rPr>
        <w:t>.1 按生产计划需求，每天从电厂转运炉渣、脱硫石膏到建材厂区原材料堆场</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按指定的地方堆放</w:t>
      </w:r>
      <w:r>
        <w:rPr>
          <w:rFonts w:hint="eastAsia" w:asciiTheme="minorEastAsia" w:hAnsiTheme="minorEastAsia" w:eastAsiaTheme="minorEastAsia"/>
          <w:szCs w:val="21"/>
          <w:highlight w:val="none"/>
        </w:rPr>
        <w:t>，每年约</w:t>
      </w:r>
      <w:r>
        <w:rPr>
          <w:rFonts w:asciiTheme="minorEastAsia" w:hAnsiTheme="minorEastAsia" w:eastAsiaTheme="minorEastAsia"/>
          <w:szCs w:val="21"/>
          <w:highlight w:val="none"/>
        </w:rPr>
        <w:t>1.65万吨。</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21</w:t>
      </w:r>
      <w:r>
        <w:rPr>
          <w:rFonts w:asciiTheme="minorEastAsia" w:hAnsiTheme="minorEastAsia" w:eastAsiaTheme="minorEastAsia"/>
          <w:szCs w:val="21"/>
          <w:highlight w:val="none"/>
        </w:rPr>
        <w:t>.2 转运的物料必须服从甲方调度人员安排指挥，转运物料的车辆总重不超过20吨，车辆应在厂区及附近随时待命，原材料运输时，装载货物高度不得超出车厢栏板，不得洒漏污染路面，不得违反电厂及</w:t>
      </w:r>
      <w:r>
        <w:rPr>
          <w:rFonts w:hint="eastAsia" w:asciiTheme="minorEastAsia" w:hAnsiTheme="minorEastAsia" w:eastAsiaTheme="minorEastAsia"/>
          <w:szCs w:val="21"/>
          <w:highlight w:val="none"/>
        </w:rPr>
        <w:t>甲方</w:t>
      </w:r>
      <w:r>
        <w:rPr>
          <w:rFonts w:asciiTheme="minorEastAsia" w:hAnsiTheme="minorEastAsia" w:eastAsiaTheme="minorEastAsia"/>
          <w:szCs w:val="21"/>
          <w:highlight w:val="none"/>
        </w:rPr>
        <w:t>对车辆在厂区限行、限速的管理要求。</w:t>
      </w:r>
    </w:p>
    <w:p>
      <w:pPr>
        <w:widowControl/>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注：承包以上工作内容需各辅助业务作业人员执行有关业务安健环规定，及按要求对所属设备进行加油保养，甲方加气</w:t>
      </w:r>
      <w:r>
        <w:rPr>
          <w:rFonts w:hint="eastAsia" w:asciiTheme="minorEastAsia" w:hAnsiTheme="minorEastAsia" w:eastAsiaTheme="minorEastAsia"/>
          <w:szCs w:val="21"/>
          <w:highlight w:val="none"/>
        </w:rPr>
        <w:t>块业务生产量、发货量约</w:t>
      </w:r>
      <w:r>
        <w:rPr>
          <w:rFonts w:asciiTheme="minorEastAsia" w:hAnsiTheme="minorEastAsia" w:eastAsiaTheme="minorEastAsia"/>
          <w:szCs w:val="21"/>
          <w:highlight w:val="none"/>
        </w:rPr>
        <w:t>30万立方米/年。</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2  </w:t>
      </w:r>
      <w:r>
        <w:rPr>
          <w:rFonts w:hint="eastAsia" w:asciiTheme="minorEastAsia" w:hAnsiTheme="minorEastAsia" w:eastAsiaTheme="minorEastAsia"/>
          <w:b/>
          <w:szCs w:val="21"/>
          <w:highlight w:val="none"/>
        </w:rPr>
        <w:t>发货辅助业务的主要工作内容</w:t>
      </w:r>
    </w:p>
    <w:p>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2.1 </w:t>
      </w:r>
      <w:r>
        <w:rPr>
          <w:rFonts w:hint="eastAsia" w:asciiTheme="minorEastAsia" w:hAnsiTheme="minorEastAsia" w:eastAsiaTheme="minorEastAsia"/>
          <w:szCs w:val="21"/>
          <w:highlight w:val="none"/>
        </w:rPr>
        <w:t>协助发货员根据发货员指令监督成品砖的转运、分区入仓堆放工作。</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2.2 </w:t>
      </w:r>
      <w:r>
        <w:rPr>
          <w:rFonts w:hint="eastAsia" w:asciiTheme="minorEastAsia" w:hAnsiTheme="minorEastAsia" w:eastAsiaTheme="minorEastAsia"/>
          <w:szCs w:val="21"/>
          <w:highlight w:val="none"/>
        </w:rPr>
        <w:t>协助发货员根据发货员指令监督成品砖（含次品）的出货工作。</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2.3 </w:t>
      </w:r>
      <w:r>
        <w:rPr>
          <w:rFonts w:hint="eastAsia" w:asciiTheme="minorEastAsia" w:hAnsiTheme="minorEastAsia" w:eastAsiaTheme="minorEastAsia"/>
          <w:szCs w:val="21"/>
          <w:highlight w:val="none"/>
        </w:rPr>
        <w:t>及时更换装车时有损坏或破损严重加气块砖，并督促叉车回运车间待换。</w:t>
      </w:r>
    </w:p>
    <w:p>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2.4 </w:t>
      </w:r>
      <w:r>
        <w:rPr>
          <w:rFonts w:hint="eastAsia" w:asciiTheme="minorEastAsia" w:hAnsiTheme="minorEastAsia" w:eastAsiaTheme="minorEastAsia"/>
          <w:szCs w:val="21"/>
          <w:highlight w:val="none"/>
        </w:rPr>
        <w:t>协助发货员监督木托板的装卸、清点、转运回用及产品的防护工作等。</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2.5 </w:t>
      </w:r>
      <w:r>
        <w:rPr>
          <w:rFonts w:hint="eastAsia" w:asciiTheme="minorEastAsia" w:hAnsiTheme="minorEastAsia" w:eastAsiaTheme="minorEastAsia"/>
          <w:szCs w:val="21"/>
          <w:highlight w:val="none"/>
        </w:rPr>
        <w:t>常巡检货场，清楚货场产品的堆存情况；叉车整理好货场；严格把关，禁止不合格产品进入货场。</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2.6 </w:t>
      </w:r>
      <w:r>
        <w:rPr>
          <w:rFonts w:hint="eastAsia" w:asciiTheme="minorEastAsia" w:hAnsiTheme="minorEastAsia" w:eastAsiaTheme="minorEastAsia"/>
          <w:szCs w:val="21"/>
          <w:highlight w:val="none"/>
        </w:rPr>
        <w:t>每天发出产品约</w:t>
      </w:r>
      <w:r>
        <w:rPr>
          <w:rFonts w:asciiTheme="minorEastAsia" w:hAnsiTheme="minorEastAsia" w:eastAsiaTheme="minorEastAsia"/>
          <w:szCs w:val="21"/>
          <w:highlight w:val="none"/>
        </w:rPr>
        <w:t>800-1500方，建议本辅助业务人员</w:t>
      </w:r>
      <w:r>
        <w:rPr>
          <w:rFonts w:hint="eastAsia" w:asciiTheme="minorEastAsia" w:hAnsiTheme="minorEastAsia" w:eastAsiaTheme="minorEastAsia"/>
          <w:szCs w:val="21"/>
          <w:highlight w:val="none"/>
        </w:rPr>
        <w:t>每班</w:t>
      </w:r>
      <w:r>
        <w:rPr>
          <w:rFonts w:asciiTheme="minorEastAsia" w:hAnsiTheme="minorEastAsia" w:eastAsiaTheme="minorEastAsia"/>
          <w:szCs w:val="21"/>
          <w:highlight w:val="none"/>
        </w:rPr>
        <w:t>至少</w:t>
      </w: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人以上。</w:t>
      </w:r>
    </w:p>
    <w:p>
      <w:pPr>
        <w:spacing w:line="360" w:lineRule="auto"/>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3叉运辅助业务的主要工作内容</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.1 </w:t>
      </w:r>
      <w:r>
        <w:rPr>
          <w:rFonts w:hint="eastAsia" w:asciiTheme="minorEastAsia" w:hAnsiTheme="minorEastAsia" w:eastAsiaTheme="minorEastAsia"/>
          <w:szCs w:val="21"/>
          <w:highlight w:val="none"/>
        </w:rPr>
        <w:t>负责成品砖的转运工作。将成品砖从工程制造部的链条卸下，转运至货场，不同的规格按发货员的指示，分区域按要求堆放。</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.2 </w:t>
      </w:r>
      <w:r>
        <w:rPr>
          <w:rFonts w:hint="eastAsia" w:asciiTheme="minorEastAsia" w:hAnsiTheme="minorEastAsia" w:eastAsiaTheme="minorEastAsia"/>
          <w:szCs w:val="21"/>
          <w:highlight w:val="none"/>
        </w:rPr>
        <w:t>负责成品砖的出货工作。按发货员的指示，到指定的区域按规格、数量将成品砖转运至指定的车辆上，完成出货工作。</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.3 </w:t>
      </w:r>
      <w:r>
        <w:rPr>
          <w:rFonts w:hint="eastAsia" w:asciiTheme="minorEastAsia" w:hAnsiTheme="minorEastAsia" w:eastAsiaTheme="minorEastAsia"/>
          <w:szCs w:val="21"/>
          <w:highlight w:val="none"/>
        </w:rPr>
        <w:t>负责配合生产线成品换砖的工作。</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.4 </w:t>
      </w:r>
      <w:r>
        <w:rPr>
          <w:rFonts w:hint="eastAsia" w:asciiTheme="minorEastAsia" w:hAnsiTheme="minorEastAsia" w:eastAsiaTheme="minorEastAsia"/>
          <w:szCs w:val="21"/>
          <w:highlight w:val="none"/>
        </w:rPr>
        <w:t>负责碎砖的清运工作。将碎砖从生产现场运至堆场，按指定地点堆放。</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.5 </w:t>
      </w:r>
      <w:r>
        <w:rPr>
          <w:rFonts w:hint="eastAsia" w:asciiTheme="minorEastAsia" w:hAnsiTheme="minorEastAsia" w:eastAsiaTheme="minorEastAsia"/>
          <w:szCs w:val="21"/>
          <w:highlight w:val="none"/>
        </w:rPr>
        <w:t>负责磨机出口废料的清运工作。将磨机出口废料清运至厂内废料堆放区。</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.6 </w:t>
      </w:r>
      <w:r>
        <w:rPr>
          <w:rFonts w:hint="eastAsia" w:asciiTheme="minorEastAsia" w:hAnsiTheme="minorEastAsia" w:eastAsiaTheme="minorEastAsia"/>
          <w:szCs w:val="21"/>
          <w:highlight w:val="none"/>
        </w:rPr>
        <w:t>负责废油、钢锻、铝粉、备件、电机等物料卸货入仓或在厂内转移的工作及其它需要使用装卸的临时工作。</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.7 </w:t>
      </w:r>
      <w:r>
        <w:rPr>
          <w:rFonts w:hint="eastAsia" w:asciiTheme="minorEastAsia" w:hAnsiTheme="minorEastAsia" w:eastAsiaTheme="minorEastAsia"/>
          <w:szCs w:val="21"/>
          <w:highlight w:val="none"/>
        </w:rPr>
        <w:t>负责木托板的装卸和转运工作。将车队回收的木托板从车辆上卸下，按指定地点堆放。按工程制造部的需求，做好木托板的转运工作。</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3.8甲方提供叉车</w:t>
      </w:r>
      <w:r>
        <w:rPr>
          <w:rFonts w:hint="eastAsia" w:asciiTheme="minorEastAsia" w:hAnsiTheme="minorEastAsia" w:eastAsiaTheme="minorEastAsia"/>
          <w:szCs w:val="21"/>
          <w:highlight w:val="none"/>
        </w:rPr>
        <w:t>及负责叉车的燃料费用、充电费用，乙方负责叉车的定期维护保养及维修工作。</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.9 </w:t>
      </w:r>
      <w:r>
        <w:rPr>
          <w:rFonts w:hint="eastAsia" w:asciiTheme="minorEastAsia" w:hAnsiTheme="minorEastAsia" w:eastAsiaTheme="minorEastAsia"/>
          <w:szCs w:val="21"/>
          <w:highlight w:val="none"/>
        </w:rPr>
        <w:t>每天需叉运产品及装车约</w:t>
      </w:r>
      <w:r>
        <w:rPr>
          <w:rFonts w:asciiTheme="minorEastAsia" w:hAnsiTheme="minorEastAsia" w:eastAsiaTheme="minorEastAsia"/>
          <w:szCs w:val="21"/>
          <w:highlight w:val="none"/>
        </w:rPr>
        <w:t>800-1500方，建议本辅助业务人员至少8人以上。</w:t>
      </w:r>
    </w:p>
    <w:p>
      <w:pPr>
        <w:spacing w:line="360" w:lineRule="auto"/>
        <w:ind w:firstLine="422" w:firstLineChars="200"/>
        <w:jc w:val="left"/>
        <w:rPr>
          <w:rFonts w:cs="宋体" w:asciiTheme="minorEastAsia" w:hAnsiTheme="minorEastAsia" w:eastAsiaTheme="minorEastAsia"/>
          <w:b/>
          <w:color w:val="000000"/>
          <w:kern w:val="0"/>
          <w:szCs w:val="21"/>
          <w:highlight w:val="none"/>
        </w:rPr>
      </w:pPr>
      <w:r>
        <w:rPr>
          <w:rFonts w:hint="eastAsia" w:cs="宋体" w:asciiTheme="minorEastAsia" w:hAnsiTheme="minorEastAsia" w:eastAsiaTheme="minorEastAsia"/>
          <w:b/>
          <w:color w:val="000000"/>
          <w:kern w:val="0"/>
          <w:szCs w:val="21"/>
          <w:highlight w:val="none"/>
        </w:rPr>
        <w:t>4质检辅助业务（内检）的主要工作内容</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.1 </w:t>
      </w:r>
      <w:r>
        <w:rPr>
          <w:rFonts w:hint="eastAsia" w:asciiTheme="minorEastAsia" w:hAnsiTheme="minorEastAsia" w:eastAsiaTheme="minorEastAsia"/>
          <w:szCs w:val="21"/>
          <w:highlight w:val="none"/>
        </w:rPr>
        <w:t>负责半成品质量进行监督与检查，按甲方的规定进行半成品外观与尺寸进行检验，并及时将异常情况向上报告处理。</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.2 </w:t>
      </w:r>
      <w:r>
        <w:rPr>
          <w:rFonts w:hint="eastAsia" w:asciiTheme="minorEastAsia" w:hAnsiTheme="minorEastAsia" w:eastAsiaTheme="minorEastAsia"/>
          <w:szCs w:val="21"/>
          <w:highlight w:val="none"/>
        </w:rPr>
        <w:t>负责成品质量进行监督与检查，按甲方的规定进行成品外观与尺寸进行检验，并及时将异常情况向上报告处理。</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.3 </w:t>
      </w:r>
      <w:r>
        <w:rPr>
          <w:rFonts w:hint="eastAsia" w:asciiTheme="minorEastAsia" w:hAnsiTheme="minorEastAsia" w:eastAsiaTheme="minorEastAsia"/>
          <w:szCs w:val="21"/>
          <w:highlight w:val="none"/>
        </w:rPr>
        <w:t>负责成品每釜产品的强度和含水率等性能的检测、记录数据及计算工作。</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.4 </w:t>
      </w:r>
      <w:r>
        <w:rPr>
          <w:rFonts w:hint="eastAsia" w:asciiTheme="minorEastAsia" w:hAnsiTheme="minorEastAsia" w:eastAsiaTheme="minorEastAsia"/>
          <w:szCs w:val="21"/>
          <w:highlight w:val="none"/>
        </w:rPr>
        <w:t>负责试压件和导热系数试件烘干、试验及包装等管理工作。</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.5 </w:t>
      </w:r>
      <w:r>
        <w:rPr>
          <w:rFonts w:hint="eastAsia" w:asciiTheme="minorEastAsia" w:hAnsiTheme="minorEastAsia" w:eastAsiaTheme="minorEastAsia"/>
          <w:szCs w:val="21"/>
          <w:highlight w:val="none"/>
        </w:rPr>
        <w:t>按甲方的管理要求做好相关的记录及对质检室设备卫生、故障报修等相关工作。</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.6 </w:t>
      </w:r>
      <w:r>
        <w:rPr>
          <w:rFonts w:hint="eastAsia" w:asciiTheme="minorEastAsia" w:hAnsiTheme="minorEastAsia" w:eastAsiaTheme="minorEastAsia"/>
          <w:szCs w:val="21"/>
          <w:highlight w:val="none"/>
        </w:rPr>
        <w:t>每天需检查半、成品约</w:t>
      </w:r>
      <w:r>
        <w:rPr>
          <w:rFonts w:asciiTheme="minorEastAsia" w:hAnsiTheme="minorEastAsia" w:eastAsiaTheme="minorEastAsia"/>
          <w:szCs w:val="21"/>
          <w:highlight w:val="none"/>
        </w:rPr>
        <w:t>800-1500方，建议本辅助业务人员至少</w:t>
      </w: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人以上。</w:t>
      </w:r>
    </w:p>
    <w:p>
      <w:pPr>
        <w:spacing w:line="360" w:lineRule="auto"/>
        <w:jc w:val="left"/>
        <w:rPr>
          <w:rFonts w:cs="宋体" w:asciiTheme="minorEastAsia" w:hAnsiTheme="minorEastAsia" w:eastAsiaTheme="minorEastAsia"/>
          <w:b/>
          <w:color w:val="000000"/>
          <w:kern w:val="0"/>
          <w:szCs w:val="21"/>
          <w:highlight w:val="none"/>
        </w:rPr>
      </w:pPr>
      <w:r>
        <w:rPr>
          <w:rFonts w:hint="eastAsia" w:cs="宋体" w:asciiTheme="minorEastAsia" w:hAnsiTheme="minorEastAsia" w:eastAsiaTheme="minorEastAsia"/>
          <w:b/>
          <w:color w:val="000000"/>
          <w:kern w:val="0"/>
          <w:szCs w:val="21"/>
          <w:highlight w:val="none"/>
        </w:rPr>
        <w:t>5</w:t>
      </w:r>
      <w:r>
        <w:rPr>
          <w:rFonts w:cs="宋体" w:asciiTheme="minorEastAsia" w:hAnsiTheme="minorEastAsia" w:eastAsiaTheme="minorEastAsia"/>
          <w:b/>
          <w:color w:val="000000"/>
          <w:kern w:val="0"/>
          <w:szCs w:val="21"/>
          <w:highlight w:val="none"/>
        </w:rPr>
        <w:t xml:space="preserve">  质检辅助业务（外检）的主要工作内容</w:t>
      </w:r>
    </w:p>
    <w:p>
      <w:pPr>
        <w:spacing w:line="360" w:lineRule="auto"/>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5</w:t>
      </w:r>
      <w:r>
        <w:rPr>
          <w:rFonts w:cs="宋体" w:asciiTheme="minorEastAsia" w:hAnsiTheme="minorEastAsia" w:eastAsiaTheme="minorEastAsia"/>
          <w:color w:val="000000"/>
          <w:kern w:val="0"/>
          <w:szCs w:val="21"/>
          <w:highlight w:val="none"/>
        </w:rPr>
        <w:t xml:space="preserve">.1 </w:t>
      </w:r>
      <w:r>
        <w:rPr>
          <w:rFonts w:hint="eastAsia" w:cs="宋体" w:asciiTheme="minorEastAsia" w:hAnsiTheme="minorEastAsia" w:eastAsiaTheme="minorEastAsia"/>
          <w:color w:val="000000"/>
          <w:kern w:val="0"/>
          <w:szCs w:val="21"/>
          <w:highlight w:val="none"/>
        </w:rPr>
        <w:t>负责</w:t>
      </w:r>
      <w:r>
        <w:rPr>
          <w:rFonts w:hint="eastAsia" w:asciiTheme="minorEastAsia" w:hAnsiTheme="minorEastAsia" w:eastAsiaTheme="minorEastAsia"/>
          <w:szCs w:val="21"/>
          <w:highlight w:val="none"/>
        </w:rPr>
        <w:t>按规定对每釜抽检一模成品测量尺寸，并认真填写成品抽查表；按规定抽检产品的粘连及顶层积料情况。</w:t>
      </w:r>
    </w:p>
    <w:p>
      <w:pPr>
        <w:spacing w:line="360" w:lineRule="auto"/>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5</w:t>
      </w:r>
      <w:r>
        <w:rPr>
          <w:rFonts w:cs="宋体" w:asciiTheme="minorEastAsia" w:hAnsiTheme="minorEastAsia" w:eastAsiaTheme="minorEastAsia"/>
          <w:color w:val="000000"/>
          <w:kern w:val="0"/>
          <w:szCs w:val="21"/>
          <w:highlight w:val="none"/>
        </w:rPr>
        <w:t xml:space="preserve">.2 </w:t>
      </w:r>
      <w:r>
        <w:rPr>
          <w:rFonts w:hint="eastAsia" w:cs="宋体" w:asciiTheme="minorEastAsia" w:hAnsiTheme="minorEastAsia" w:eastAsiaTheme="minorEastAsia"/>
          <w:color w:val="000000"/>
          <w:kern w:val="0"/>
          <w:szCs w:val="21"/>
          <w:highlight w:val="none"/>
        </w:rPr>
        <w:t>依</w:t>
      </w:r>
      <w:r>
        <w:rPr>
          <w:rFonts w:hint="eastAsia" w:asciiTheme="minorEastAsia" w:hAnsiTheme="minorEastAsia" w:eastAsiaTheme="minorEastAsia"/>
          <w:szCs w:val="21"/>
          <w:highlight w:val="none"/>
        </w:rPr>
        <w:t>据国标</w:t>
      </w:r>
      <w:r>
        <w:rPr>
          <w:rFonts w:asciiTheme="minorEastAsia" w:hAnsiTheme="minorEastAsia" w:eastAsiaTheme="minorEastAsia"/>
          <w:szCs w:val="21"/>
          <w:highlight w:val="none"/>
        </w:rPr>
        <w:t>GB11968—2006标准对产品的分拣进行监督管理，判明合格品、废次品并作标识，严把质量关。有异常情况及时向上报告。</w:t>
      </w:r>
    </w:p>
    <w:p>
      <w:pPr>
        <w:spacing w:line="360" w:lineRule="auto"/>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5</w:t>
      </w:r>
      <w:r>
        <w:rPr>
          <w:rFonts w:cs="宋体" w:asciiTheme="minorEastAsia" w:hAnsiTheme="minorEastAsia" w:eastAsiaTheme="minorEastAsia"/>
          <w:color w:val="000000"/>
          <w:kern w:val="0"/>
          <w:szCs w:val="21"/>
          <w:highlight w:val="none"/>
        </w:rPr>
        <w:t xml:space="preserve">.3 </w:t>
      </w:r>
      <w:r>
        <w:rPr>
          <w:rFonts w:hint="eastAsia" w:cs="宋体" w:asciiTheme="minorEastAsia" w:hAnsiTheme="minorEastAsia" w:eastAsiaTheme="minorEastAsia"/>
          <w:color w:val="000000"/>
          <w:kern w:val="0"/>
          <w:szCs w:val="21"/>
          <w:highlight w:val="none"/>
        </w:rPr>
        <w:t>负责监督木托板使用情况，负责</w:t>
      </w:r>
      <w:r>
        <w:rPr>
          <w:rFonts w:hint="eastAsia" w:asciiTheme="minorEastAsia" w:hAnsiTheme="minorEastAsia" w:eastAsiaTheme="minorEastAsia"/>
          <w:szCs w:val="21"/>
          <w:highlight w:val="none"/>
        </w:rPr>
        <w:t>喷码机的操作和使用，按规定进行保养及报修。</w:t>
      </w:r>
    </w:p>
    <w:p>
      <w:pPr>
        <w:spacing w:line="360" w:lineRule="auto"/>
        <w:ind w:firstLine="420" w:firstLineChars="200"/>
        <w:jc w:val="left"/>
        <w:rPr>
          <w:rFonts w:cs="宋体" w:asciiTheme="minorEastAsia" w:hAnsiTheme="minorEastAsia" w:eastAsiaTheme="minorEastAsia"/>
          <w:color w:val="000000"/>
          <w:kern w:val="0"/>
          <w:szCs w:val="21"/>
          <w:highlight w:val="none"/>
        </w:rPr>
      </w:pPr>
      <w:r>
        <w:rPr>
          <w:rFonts w:hint="eastAsia" w:asciiTheme="minorEastAsia" w:hAnsiTheme="minorEastAsia" w:eastAsiaTheme="minorEastAsia"/>
          <w:szCs w:val="21"/>
          <w:highlight w:val="none"/>
        </w:rPr>
        <w:t>5</w:t>
      </w:r>
      <w:r>
        <w:rPr>
          <w:rFonts w:asciiTheme="minorEastAsia" w:hAnsiTheme="minorEastAsia" w:eastAsiaTheme="minorEastAsia"/>
          <w:szCs w:val="21"/>
          <w:highlight w:val="none"/>
        </w:rPr>
        <w:t xml:space="preserve">.4 </w:t>
      </w:r>
      <w:r>
        <w:rPr>
          <w:rFonts w:hint="eastAsia" w:asciiTheme="minorEastAsia" w:hAnsiTheme="minorEastAsia" w:eastAsiaTheme="minorEastAsia"/>
          <w:szCs w:val="21"/>
          <w:highlight w:val="none"/>
        </w:rPr>
        <w:t>按甲方要求做好成品质量的记录统计工作，做好本业务范围的卫生及相关的记录工作。</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w:t>
      </w:r>
      <w:r>
        <w:rPr>
          <w:rFonts w:asciiTheme="minorEastAsia" w:hAnsiTheme="minorEastAsia" w:eastAsiaTheme="minorEastAsia"/>
          <w:szCs w:val="21"/>
          <w:highlight w:val="none"/>
        </w:rPr>
        <w:t xml:space="preserve">.5 </w:t>
      </w:r>
      <w:r>
        <w:rPr>
          <w:rFonts w:hint="eastAsia" w:asciiTheme="minorEastAsia" w:hAnsiTheme="minorEastAsia" w:eastAsiaTheme="minorEastAsia"/>
          <w:szCs w:val="21"/>
          <w:highlight w:val="none"/>
        </w:rPr>
        <w:t>每天需检查、监督分拣的成品约</w:t>
      </w:r>
      <w:r>
        <w:rPr>
          <w:rFonts w:asciiTheme="minorEastAsia" w:hAnsiTheme="minorEastAsia" w:eastAsiaTheme="minorEastAsia"/>
          <w:szCs w:val="21"/>
          <w:highlight w:val="none"/>
        </w:rPr>
        <w:t>800-1500方，建议本辅助业务人员至少2人以上。</w:t>
      </w:r>
    </w:p>
    <w:p>
      <w:pPr>
        <w:spacing w:line="360" w:lineRule="auto"/>
        <w:jc w:val="left"/>
        <w:rPr>
          <w:rFonts w:cs="宋体" w:asciiTheme="minorEastAsia" w:hAnsiTheme="minorEastAsia" w:eastAsiaTheme="minorEastAsia"/>
          <w:b/>
          <w:color w:val="000000"/>
          <w:kern w:val="0"/>
          <w:szCs w:val="21"/>
          <w:highlight w:val="none"/>
        </w:rPr>
      </w:pPr>
      <w:r>
        <w:rPr>
          <w:rFonts w:hint="eastAsia" w:cs="宋体" w:asciiTheme="minorEastAsia" w:hAnsiTheme="minorEastAsia" w:eastAsiaTheme="minorEastAsia"/>
          <w:b/>
          <w:color w:val="000000"/>
          <w:kern w:val="0"/>
          <w:szCs w:val="21"/>
          <w:highlight w:val="none"/>
        </w:rPr>
        <w:t>6锯场辅助业务的主要工作内容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6</w:t>
      </w:r>
      <w:r>
        <w:rPr>
          <w:rFonts w:cs="宋体" w:asciiTheme="minorEastAsia" w:hAnsiTheme="minorEastAsia" w:eastAsiaTheme="minorEastAsia"/>
          <w:color w:val="000000"/>
          <w:kern w:val="0"/>
          <w:szCs w:val="21"/>
          <w:highlight w:val="none"/>
        </w:rPr>
        <w:t xml:space="preserve">.1 </w:t>
      </w:r>
      <w:r>
        <w:rPr>
          <w:rFonts w:hint="eastAsia" w:asciiTheme="minorEastAsia" w:hAnsiTheme="minorEastAsia" w:eastAsiaTheme="minorEastAsia"/>
          <w:szCs w:val="21"/>
          <w:highlight w:val="none"/>
        </w:rPr>
        <w:t>负责按国际</w:t>
      </w:r>
      <w:r>
        <w:rPr>
          <w:rFonts w:asciiTheme="minorEastAsia" w:hAnsiTheme="minorEastAsia" w:eastAsiaTheme="minorEastAsia"/>
          <w:szCs w:val="21"/>
          <w:highlight w:val="none"/>
        </w:rPr>
        <w:t>GB/T 11969-2008要求取样、制作生产</w:t>
      </w:r>
      <w:r>
        <w:rPr>
          <w:rFonts w:hint="eastAsia" w:asciiTheme="minorEastAsia" w:hAnsiTheme="minorEastAsia" w:eastAsiaTheme="minorEastAsia"/>
          <w:szCs w:val="21"/>
          <w:highlight w:val="none"/>
        </w:rPr>
        <w:t>所</w:t>
      </w:r>
      <w:r>
        <w:rPr>
          <w:rFonts w:asciiTheme="minorEastAsia" w:hAnsiTheme="minorEastAsia" w:eastAsiaTheme="minorEastAsia"/>
          <w:szCs w:val="21"/>
          <w:highlight w:val="none"/>
        </w:rPr>
        <w:t>需试件</w:t>
      </w:r>
      <w:r>
        <w:rPr>
          <w:rFonts w:hint="eastAsia" w:asciiTheme="minorEastAsia" w:hAnsiTheme="minorEastAsia" w:eastAsiaTheme="minorEastAsia"/>
          <w:szCs w:val="21"/>
          <w:highlight w:val="none"/>
        </w:rPr>
        <w:t>，并送件到质检室。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w:t>
      </w:r>
      <w:r>
        <w:rPr>
          <w:rFonts w:asciiTheme="minorEastAsia" w:hAnsiTheme="minorEastAsia" w:eastAsiaTheme="minorEastAsia"/>
          <w:szCs w:val="21"/>
          <w:highlight w:val="none"/>
        </w:rPr>
        <w:t xml:space="preserve">.2 </w:t>
      </w:r>
      <w:r>
        <w:rPr>
          <w:rFonts w:hint="eastAsia" w:asciiTheme="minorEastAsia" w:hAnsiTheme="minorEastAsia" w:eastAsiaTheme="minorEastAsia"/>
          <w:szCs w:val="21"/>
          <w:highlight w:val="none"/>
        </w:rPr>
        <w:t>负责按国际</w:t>
      </w:r>
      <w:r>
        <w:rPr>
          <w:rFonts w:asciiTheme="minorEastAsia" w:hAnsiTheme="minorEastAsia" w:eastAsiaTheme="minorEastAsia"/>
          <w:szCs w:val="21"/>
          <w:highlight w:val="none"/>
        </w:rPr>
        <w:t>GB/T 11969-2008要求取样、制作</w:t>
      </w:r>
      <w:r>
        <w:rPr>
          <w:rFonts w:hint="eastAsia" w:asciiTheme="minorEastAsia" w:hAnsiTheme="minorEastAsia" w:eastAsiaTheme="minorEastAsia"/>
          <w:szCs w:val="21"/>
          <w:highlight w:val="none"/>
        </w:rPr>
        <w:t>销售用</w:t>
      </w:r>
      <w:r>
        <w:rPr>
          <w:rFonts w:asciiTheme="minorEastAsia" w:hAnsiTheme="minorEastAsia" w:eastAsiaTheme="minorEastAsia"/>
          <w:szCs w:val="21"/>
          <w:highlight w:val="none"/>
        </w:rPr>
        <w:t>试压件和导热系数</w:t>
      </w:r>
      <w:r>
        <w:rPr>
          <w:rFonts w:hint="eastAsia" w:asciiTheme="minorEastAsia" w:hAnsiTheme="minorEastAsia" w:eastAsiaTheme="minorEastAsia"/>
          <w:szCs w:val="21"/>
          <w:highlight w:val="none"/>
        </w:rPr>
        <w:t>，并送到质检室，满足业务需要最低库存量。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 xml:space="preserve">.3 </w:t>
      </w:r>
      <w:r>
        <w:rPr>
          <w:rFonts w:hint="eastAsia" w:asciiTheme="minorEastAsia" w:hAnsiTheme="minorEastAsia" w:eastAsiaTheme="minorEastAsia"/>
          <w:szCs w:val="21"/>
          <w:highlight w:val="none"/>
        </w:rPr>
        <w:t>负责</w:t>
      </w:r>
      <w:r>
        <w:rPr>
          <w:rFonts w:asciiTheme="minorEastAsia" w:hAnsiTheme="minorEastAsia" w:eastAsiaTheme="minorEastAsia"/>
          <w:szCs w:val="21"/>
          <w:highlight w:val="none"/>
        </w:rPr>
        <w:t>试压件</w:t>
      </w:r>
      <w:r>
        <w:rPr>
          <w:rFonts w:hint="eastAsia" w:asciiTheme="minorEastAsia" w:hAnsiTheme="minorEastAsia" w:eastAsiaTheme="minorEastAsia"/>
          <w:szCs w:val="21"/>
          <w:highlight w:val="none"/>
        </w:rPr>
        <w:t>的</w:t>
      </w:r>
      <w:r>
        <w:rPr>
          <w:rFonts w:asciiTheme="minorEastAsia" w:hAnsiTheme="minorEastAsia" w:eastAsiaTheme="minorEastAsia"/>
          <w:szCs w:val="21"/>
          <w:highlight w:val="none"/>
        </w:rPr>
        <w:t>成品管理</w:t>
      </w:r>
      <w:r>
        <w:rPr>
          <w:rFonts w:hint="eastAsia" w:asciiTheme="minorEastAsia" w:hAnsiTheme="minorEastAsia" w:eastAsiaTheme="minorEastAsia"/>
          <w:szCs w:val="21"/>
          <w:highlight w:val="none"/>
        </w:rPr>
        <w:t>工作</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做好标识，防雨措施，并受到</w:t>
      </w:r>
      <w:r>
        <w:rPr>
          <w:rFonts w:asciiTheme="minorEastAsia" w:hAnsiTheme="minorEastAsia" w:eastAsiaTheme="minorEastAsia"/>
          <w:szCs w:val="21"/>
          <w:highlight w:val="none"/>
        </w:rPr>
        <w:t>甲方监督</w:t>
      </w:r>
      <w:r>
        <w:rPr>
          <w:rFonts w:hint="eastAsia" w:asciiTheme="minorEastAsia" w:hAnsiTheme="minorEastAsia" w:eastAsiaTheme="minorEastAsia"/>
          <w:szCs w:val="21"/>
          <w:highlight w:val="none"/>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 xml:space="preserve">.4 </w:t>
      </w:r>
      <w:r>
        <w:rPr>
          <w:rFonts w:hint="eastAsia" w:asciiTheme="minorEastAsia" w:hAnsiTheme="minorEastAsia" w:eastAsiaTheme="minorEastAsia"/>
          <w:szCs w:val="21"/>
          <w:highlight w:val="none"/>
        </w:rPr>
        <w:t>负责</w:t>
      </w:r>
      <w:r>
        <w:rPr>
          <w:rFonts w:asciiTheme="minorEastAsia" w:hAnsiTheme="minorEastAsia" w:eastAsiaTheme="minorEastAsia"/>
          <w:szCs w:val="21"/>
          <w:highlight w:val="none"/>
        </w:rPr>
        <w:t>设备</w:t>
      </w:r>
      <w:r>
        <w:rPr>
          <w:rFonts w:hint="eastAsia" w:asciiTheme="minorEastAsia" w:hAnsiTheme="minorEastAsia" w:eastAsiaTheme="minorEastAsia"/>
          <w:szCs w:val="21"/>
          <w:highlight w:val="none"/>
        </w:rPr>
        <w:t>清洁保养及设备报障工作，并遵守甲方有关安健环的管理要求。</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 xml:space="preserve">.5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1人。</w:t>
      </w:r>
    </w:p>
    <w:p>
      <w:pPr>
        <w:spacing w:line="360" w:lineRule="auto"/>
        <w:ind w:firstLine="422" w:firstLineChars="200"/>
        <w:rPr>
          <w:rFonts w:ascii="宋体" w:hAnsi="宋体" w:cs="仿宋_GB2312"/>
          <w:b/>
          <w:bCs/>
          <w:szCs w:val="21"/>
          <w:highlight w:val="none"/>
        </w:rPr>
      </w:pPr>
      <w:r>
        <w:rPr>
          <w:rFonts w:hint="eastAsia" w:asciiTheme="minorEastAsia" w:hAnsiTheme="minorEastAsia" w:eastAsiaTheme="minorEastAsia"/>
          <w:b/>
          <w:szCs w:val="21"/>
          <w:highlight w:val="none"/>
        </w:rPr>
        <w:t>7</w:t>
      </w:r>
      <w:r>
        <w:rPr>
          <w:rFonts w:hint="eastAsia" w:ascii="宋体" w:hAnsi="宋体" w:cs="仿宋_GB2312"/>
          <w:b/>
          <w:bCs/>
          <w:szCs w:val="21"/>
          <w:highlight w:val="none"/>
        </w:rPr>
        <w:t>设备检修辅助业务</w:t>
      </w:r>
    </w:p>
    <w:p>
      <w:pPr>
        <w:spacing w:line="360" w:lineRule="auto"/>
        <w:ind w:firstLine="422" w:firstLineChars="200"/>
        <w:rPr>
          <w:rFonts w:ascii="Calibri" w:hAnsi="Calibri" w:cs="Calibri"/>
          <w:color w:val="000000"/>
          <w:kern w:val="0"/>
          <w:szCs w:val="21"/>
          <w:highlight w:val="none"/>
        </w:rPr>
      </w:pPr>
      <w:r>
        <w:rPr>
          <w:rFonts w:hint="eastAsia" w:ascii="宋体" w:hAnsi="宋体" w:cs="仿宋_GB2312"/>
          <w:b/>
          <w:bCs/>
          <w:szCs w:val="21"/>
          <w:highlight w:val="none"/>
        </w:rPr>
        <w:t>7</w:t>
      </w:r>
      <w:r>
        <w:rPr>
          <w:rFonts w:ascii="宋体" w:hAnsi="宋体" w:cs="仿宋_GB2312"/>
          <w:b/>
          <w:bCs/>
          <w:szCs w:val="21"/>
          <w:highlight w:val="none"/>
        </w:rPr>
        <w:t xml:space="preserve">.1 </w:t>
      </w:r>
      <w:r>
        <w:rPr>
          <w:rFonts w:hint="eastAsia" w:ascii="Calibri" w:hAnsi="Calibri" w:cs="Calibri"/>
          <w:color w:val="000000"/>
          <w:kern w:val="0"/>
          <w:szCs w:val="21"/>
          <w:highlight w:val="none"/>
        </w:rPr>
        <w:t>机务工作：与甲方人员一起执行加气生产线、脱硫系统、分选系统、恒益电厂灰库、排渣系统的机械维修（包括保养、日常检修、应急抢修、安全整改、停产检修）、技术改造工作。</w:t>
      </w:r>
    </w:p>
    <w:p>
      <w:pPr>
        <w:spacing w:line="360" w:lineRule="auto"/>
        <w:ind w:firstLine="420" w:firstLineChars="200"/>
        <w:rPr>
          <w:rFonts w:ascii="Calibri" w:hAnsi="Calibri" w:cs="Calibri"/>
          <w:color w:val="000000"/>
          <w:kern w:val="0"/>
          <w:szCs w:val="21"/>
          <w:highlight w:val="none"/>
        </w:rPr>
      </w:pPr>
      <w:r>
        <w:rPr>
          <w:rFonts w:hint="eastAsia" w:ascii="Calibri" w:hAnsi="Calibri" w:cs="Calibri"/>
          <w:color w:val="000000"/>
          <w:kern w:val="0"/>
          <w:szCs w:val="21"/>
          <w:highlight w:val="none"/>
        </w:rPr>
        <w:t>7</w:t>
      </w:r>
      <w:r>
        <w:rPr>
          <w:rFonts w:ascii="Calibri" w:hAnsi="Calibri" w:cs="Calibri"/>
          <w:color w:val="000000"/>
          <w:kern w:val="0"/>
          <w:szCs w:val="21"/>
          <w:highlight w:val="none"/>
        </w:rPr>
        <w:t xml:space="preserve">.2 </w:t>
      </w:r>
      <w:r>
        <w:rPr>
          <w:rFonts w:hint="eastAsia" w:ascii="Calibri" w:hAnsi="Calibri" w:cs="Calibri"/>
          <w:color w:val="000000"/>
          <w:kern w:val="0"/>
          <w:szCs w:val="21"/>
          <w:highlight w:val="none"/>
        </w:rPr>
        <w:t>电气工作：负责周一至周五</w:t>
      </w:r>
      <w:r>
        <w:rPr>
          <w:rFonts w:ascii="Calibri" w:hAnsi="Calibri" w:cs="Calibri"/>
          <w:color w:val="000000"/>
          <w:kern w:val="0"/>
          <w:szCs w:val="21"/>
          <w:highlight w:val="none"/>
        </w:rPr>
        <w:t>16</w:t>
      </w:r>
      <w:r>
        <w:rPr>
          <w:rFonts w:hint="eastAsia" w:ascii="Calibri" w:hAnsi="Calibri" w:cs="Calibri"/>
          <w:color w:val="000000"/>
          <w:kern w:val="0"/>
          <w:szCs w:val="21"/>
          <w:highlight w:val="none"/>
        </w:rPr>
        <w:t>：</w:t>
      </w:r>
      <w:r>
        <w:rPr>
          <w:rFonts w:ascii="Calibri" w:hAnsi="Calibri" w:cs="Calibri"/>
          <w:color w:val="000000"/>
          <w:kern w:val="0"/>
          <w:szCs w:val="21"/>
          <w:highlight w:val="none"/>
        </w:rPr>
        <w:t>30</w:t>
      </w:r>
      <w:r>
        <w:rPr>
          <w:rFonts w:hint="eastAsia" w:ascii="Calibri" w:hAnsi="Calibri" w:cs="Calibri"/>
          <w:color w:val="000000"/>
          <w:kern w:val="0"/>
          <w:szCs w:val="21"/>
          <w:highlight w:val="none"/>
        </w:rPr>
        <w:t>至第二天早上</w:t>
      </w:r>
      <w:r>
        <w:rPr>
          <w:rFonts w:ascii="Calibri" w:hAnsi="Calibri" w:cs="Calibri"/>
          <w:color w:val="000000"/>
          <w:kern w:val="0"/>
          <w:szCs w:val="21"/>
          <w:highlight w:val="none"/>
        </w:rPr>
        <w:t>8</w:t>
      </w:r>
      <w:r>
        <w:rPr>
          <w:rFonts w:hint="eastAsia" w:ascii="Calibri" w:hAnsi="Calibri" w:cs="Calibri"/>
          <w:color w:val="000000"/>
          <w:kern w:val="0"/>
          <w:szCs w:val="21"/>
          <w:highlight w:val="none"/>
        </w:rPr>
        <w:t>：</w:t>
      </w:r>
      <w:r>
        <w:rPr>
          <w:rFonts w:ascii="Calibri" w:hAnsi="Calibri" w:cs="Calibri"/>
          <w:color w:val="000000"/>
          <w:kern w:val="0"/>
          <w:szCs w:val="21"/>
          <w:highlight w:val="none"/>
        </w:rPr>
        <w:t>30</w:t>
      </w:r>
      <w:r>
        <w:rPr>
          <w:rFonts w:hint="eastAsia" w:ascii="Calibri" w:hAnsi="Calibri" w:cs="Calibri"/>
          <w:color w:val="000000"/>
          <w:kern w:val="0"/>
          <w:szCs w:val="21"/>
          <w:highlight w:val="none"/>
        </w:rPr>
        <w:t>；周六日及法定节假日</w:t>
      </w:r>
      <w:r>
        <w:rPr>
          <w:rFonts w:ascii="Calibri" w:hAnsi="Calibri" w:cs="Calibri"/>
          <w:color w:val="000000"/>
          <w:kern w:val="0"/>
          <w:szCs w:val="21"/>
          <w:highlight w:val="none"/>
        </w:rPr>
        <w:t>24</w:t>
      </w:r>
      <w:r>
        <w:rPr>
          <w:rFonts w:hint="eastAsia" w:ascii="Calibri" w:hAnsi="Calibri" w:cs="Calibri"/>
          <w:color w:val="000000"/>
          <w:kern w:val="0"/>
          <w:szCs w:val="21"/>
          <w:highlight w:val="none"/>
        </w:rPr>
        <w:t>小时值班；周一至周五</w:t>
      </w:r>
      <w:r>
        <w:rPr>
          <w:rFonts w:ascii="Calibri" w:hAnsi="Calibri" w:cs="Calibri"/>
          <w:color w:val="000000"/>
          <w:kern w:val="0"/>
          <w:szCs w:val="21"/>
          <w:highlight w:val="none"/>
        </w:rPr>
        <w:t>8</w:t>
      </w:r>
      <w:r>
        <w:rPr>
          <w:rFonts w:hint="eastAsia" w:ascii="Calibri" w:hAnsi="Calibri" w:cs="Calibri"/>
          <w:color w:val="000000"/>
          <w:kern w:val="0"/>
          <w:szCs w:val="21"/>
          <w:highlight w:val="none"/>
        </w:rPr>
        <w:t>：</w:t>
      </w:r>
      <w:r>
        <w:rPr>
          <w:rFonts w:ascii="Calibri" w:hAnsi="Calibri" w:cs="Calibri"/>
          <w:color w:val="000000"/>
          <w:kern w:val="0"/>
          <w:szCs w:val="21"/>
          <w:highlight w:val="none"/>
        </w:rPr>
        <w:t>30</w:t>
      </w:r>
      <w:r>
        <w:rPr>
          <w:rFonts w:hint="eastAsia" w:ascii="Calibri" w:hAnsi="Calibri" w:cs="Calibri"/>
          <w:color w:val="000000"/>
          <w:kern w:val="0"/>
          <w:szCs w:val="21"/>
          <w:highlight w:val="none"/>
        </w:rPr>
        <w:t>至</w:t>
      </w:r>
      <w:r>
        <w:rPr>
          <w:rFonts w:ascii="Calibri" w:hAnsi="Calibri" w:cs="Calibri"/>
          <w:color w:val="000000"/>
          <w:kern w:val="0"/>
          <w:szCs w:val="21"/>
          <w:highlight w:val="none"/>
        </w:rPr>
        <w:t>16</w:t>
      </w:r>
      <w:r>
        <w:rPr>
          <w:rFonts w:hint="eastAsia" w:ascii="Calibri" w:hAnsi="Calibri" w:cs="Calibri"/>
          <w:color w:val="000000"/>
          <w:kern w:val="0"/>
          <w:szCs w:val="21"/>
          <w:highlight w:val="none"/>
        </w:rPr>
        <w:t>：</w:t>
      </w:r>
      <w:r>
        <w:rPr>
          <w:rFonts w:ascii="Calibri" w:hAnsi="Calibri" w:cs="Calibri"/>
          <w:color w:val="000000"/>
          <w:kern w:val="0"/>
          <w:szCs w:val="21"/>
          <w:highlight w:val="none"/>
        </w:rPr>
        <w:t>30</w:t>
      </w:r>
      <w:r>
        <w:rPr>
          <w:rFonts w:hint="eastAsia" w:ascii="Calibri" w:hAnsi="Calibri" w:cs="Calibri"/>
          <w:color w:val="000000"/>
          <w:kern w:val="0"/>
          <w:szCs w:val="21"/>
          <w:highlight w:val="none"/>
        </w:rPr>
        <w:t>至少</w:t>
      </w:r>
      <w:r>
        <w:rPr>
          <w:rFonts w:ascii="Calibri" w:hAnsi="Calibri" w:cs="Calibri"/>
          <w:color w:val="000000"/>
          <w:kern w:val="0"/>
          <w:szCs w:val="21"/>
          <w:highlight w:val="none"/>
        </w:rPr>
        <w:t>1</w:t>
      </w:r>
      <w:r>
        <w:rPr>
          <w:rFonts w:hint="eastAsia" w:ascii="Calibri" w:hAnsi="Calibri" w:cs="Calibri"/>
          <w:color w:val="000000"/>
          <w:kern w:val="0"/>
          <w:szCs w:val="21"/>
          <w:highlight w:val="none"/>
        </w:rPr>
        <w:t>人协助甲方工作人员执行加气生产线、脱硫系统、分选系统、恒益电厂灰库、排渣系统的电气维修（包括保养、日常检修、应急抢修、安全整改、停产检修）、技术改造工作。</w:t>
      </w:r>
    </w:p>
    <w:p>
      <w:pPr>
        <w:spacing w:line="360" w:lineRule="auto"/>
        <w:ind w:firstLine="420" w:firstLineChars="200"/>
        <w:rPr>
          <w:rFonts w:asciiTheme="minorEastAsia" w:hAnsiTheme="minorEastAsia" w:eastAsiaTheme="minorEastAsia"/>
          <w:szCs w:val="21"/>
          <w:highlight w:val="none"/>
        </w:rPr>
      </w:pPr>
      <w:r>
        <w:rPr>
          <w:rFonts w:hint="eastAsia" w:cs="Calibri" w:asciiTheme="minorEastAsia" w:hAnsiTheme="minorEastAsia" w:eastAsiaTheme="minorEastAsia"/>
          <w:color w:val="000000"/>
          <w:kern w:val="0"/>
          <w:szCs w:val="21"/>
          <w:highlight w:val="none"/>
        </w:rPr>
        <w:t>7</w:t>
      </w:r>
      <w:r>
        <w:rPr>
          <w:rFonts w:cs="Calibri" w:asciiTheme="minorEastAsia" w:hAnsiTheme="minorEastAsia" w:eastAsiaTheme="minorEastAsia"/>
          <w:color w:val="000000"/>
          <w:kern w:val="0"/>
          <w:szCs w:val="21"/>
          <w:highlight w:val="none"/>
        </w:rPr>
        <w:t xml:space="preserve">.3 </w:t>
      </w:r>
      <w:r>
        <w:rPr>
          <w:rFonts w:hint="eastAsia" w:cs="Calibri" w:asciiTheme="minorEastAsia" w:hAnsiTheme="minorEastAsia" w:eastAsiaTheme="minorEastAsia"/>
          <w:color w:val="000000"/>
          <w:kern w:val="0"/>
          <w:szCs w:val="21"/>
          <w:highlight w:val="none"/>
        </w:rPr>
        <w:t>建议</w:t>
      </w:r>
      <w:r>
        <w:rPr>
          <w:rFonts w:hint="eastAsia" w:asciiTheme="minorEastAsia" w:hAnsiTheme="minorEastAsia" w:eastAsiaTheme="minorEastAsia"/>
          <w:szCs w:val="21"/>
          <w:highlight w:val="none"/>
        </w:rPr>
        <w:t>机务检修人员</w:t>
      </w:r>
      <w:r>
        <w:rPr>
          <w:rFonts w:asciiTheme="minorEastAsia" w:hAnsiTheme="minorEastAsia" w:eastAsiaTheme="minorEastAsia"/>
          <w:szCs w:val="21"/>
          <w:highlight w:val="none"/>
        </w:rPr>
        <w:t>2人，须具有2年以上设备维修经验且熟悉机务检修工作，其中持有效焊工证的不少于2人，焊工人员熟悉各种环境下作业，有一定焊接水平。45岁以下，男性，吃苦耐劳，身体健康，具备高空、高温作业的身体素质。</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w:t>
      </w: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建议</w:t>
      </w:r>
      <w:r>
        <w:rPr>
          <w:rFonts w:hint="eastAsia" w:cs="Calibri" w:asciiTheme="minorEastAsia" w:hAnsiTheme="minorEastAsia" w:eastAsiaTheme="minorEastAsia"/>
          <w:kern w:val="0"/>
          <w:szCs w:val="21"/>
          <w:highlight w:val="none"/>
        </w:rPr>
        <w:t>电气检修人员</w:t>
      </w:r>
      <w:r>
        <w:rPr>
          <w:rFonts w:cs="Calibri" w:asciiTheme="minorEastAsia" w:hAnsiTheme="minorEastAsia" w:eastAsiaTheme="minorEastAsia"/>
          <w:kern w:val="0"/>
          <w:szCs w:val="21"/>
          <w:highlight w:val="none"/>
        </w:rPr>
        <w:t>4</w:t>
      </w:r>
      <w:r>
        <w:rPr>
          <w:rFonts w:hint="eastAsia" w:cs="Calibri" w:asciiTheme="minorEastAsia" w:hAnsiTheme="minorEastAsia" w:eastAsiaTheme="minorEastAsia"/>
          <w:kern w:val="0"/>
          <w:szCs w:val="21"/>
          <w:highlight w:val="none"/>
        </w:rPr>
        <w:t>人，须</w:t>
      </w:r>
      <w:r>
        <w:rPr>
          <w:rFonts w:hint="eastAsia" w:asciiTheme="minorEastAsia" w:hAnsiTheme="minorEastAsia" w:eastAsiaTheme="minorEastAsia"/>
          <w:szCs w:val="21"/>
          <w:highlight w:val="none"/>
        </w:rPr>
        <w:t>具有</w:t>
      </w:r>
      <w:r>
        <w:rPr>
          <w:rFonts w:asciiTheme="minorEastAsia" w:hAnsiTheme="minorEastAsia" w:eastAsiaTheme="minorEastAsia"/>
          <w:szCs w:val="21"/>
          <w:highlight w:val="none"/>
        </w:rPr>
        <w:t>3年以上电气维修经验且熟悉电气检修工作，持电气维修</w:t>
      </w:r>
      <w:r>
        <w:rPr>
          <w:rFonts w:hint="eastAsia" w:asciiTheme="minorEastAsia" w:hAnsiTheme="minorEastAsia" w:eastAsiaTheme="minorEastAsia"/>
          <w:szCs w:val="21"/>
          <w:highlight w:val="none"/>
        </w:rPr>
        <w:t>作业上岗证，熟悉常规动力、照明设备维修；了解常用开关、仪表、</w:t>
      </w:r>
      <w:r>
        <w:rPr>
          <w:rFonts w:asciiTheme="minorEastAsia" w:hAnsiTheme="minorEastAsia" w:eastAsiaTheme="minorEastAsia"/>
          <w:szCs w:val="21"/>
          <w:highlight w:val="none"/>
        </w:rPr>
        <w:t>PLC、变频器工作原理。50岁以下，身体健康，具备高空、高温作业的身体素质。需要上夜班。</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7.5 除公司明确春节放假设备检修辅助业务人员可以减少配置外，其余时间机务检修人员在每天12小时内，不少于4人。</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7.6 因夜班抢修，影响第二天人员上班的，乙方需要采取增加人员或其他有效措施保证甲方正常生产。</w:t>
      </w: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rPr>
          <w:rFonts w:asciiTheme="minorEastAsia" w:hAnsiTheme="minorEastAsia" w:eastAsiaTheme="minorEastAsia"/>
          <w:szCs w:val="21"/>
          <w:highlight w:val="none"/>
        </w:rPr>
      </w:pPr>
    </w:p>
    <w:p>
      <w:pPr>
        <w:ind w:firstLine="3268" w:firstLineChars="1550"/>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辅助业务工作量估算表</w:t>
      </w:r>
    </w:p>
    <w:tbl>
      <w:tblPr>
        <w:tblStyle w:val="42"/>
        <w:tblW w:w="827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
        <w:gridCol w:w="3082"/>
        <w:gridCol w:w="1588"/>
        <w:gridCol w:w="2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trPr>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序号</w:t>
            </w:r>
          </w:p>
        </w:tc>
        <w:tc>
          <w:tcPr>
            <w:tcW w:w="3082" w:type="dxa"/>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辅助业务内容</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工作量</w:t>
            </w:r>
          </w:p>
        </w:tc>
        <w:tc>
          <w:tcPr>
            <w:tcW w:w="2831"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备注（建议至少配置人员）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发货辅助业务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2</w:t>
            </w:r>
          </w:p>
        </w:tc>
        <w:tc>
          <w:tcPr>
            <w:tcW w:w="3082"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叉运辅助业务</w:t>
            </w:r>
          </w:p>
        </w:tc>
        <w:tc>
          <w:tcPr>
            <w:tcW w:w="1588"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8人（负责叉车</w:t>
            </w:r>
            <w:r>
              <w:rPr>
                <w:rFonts w:hint="eastAsia" w:asciiTheme="minorEastAsia" w:hAnsiTheme="minorEastAsia" w:eastAsiaTheme="minorEastAsia"/>
                <w:szCs w:val="21"/>
                <w:highlight w:val="none"/>
              </w:rPr>
              <w:t>定期维护保养及维修工作。</w:t>
            </w:r>
            <w:r>
              <w:rPr>
                <w:rFonts w:asciiTheme="minorEastAsia" w:hAnsiTheme="minorEastAsia" w:eastAsiaTheme="minorEastAsia"/>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3</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质检辅助业务（内检）</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4</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质检辅助业务（外检）</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5</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锯场辅助业务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6</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磨房制浆辅助业务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6人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7</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铝粉制浆辅助业务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8</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静停辅助业务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9</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涂刷辅助业务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10</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翻转辅助业务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11</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切割辅助业务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12</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地翻台辅助业务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13</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蒸养辅助业务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14</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半成品翻转吊运辅助业务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15</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半成品切割辅助业务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16</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半成品堆垛及地翻辅助业务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17</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成品分垛及分掰辅助业务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18</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成品夹坯吊运辅助业务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宋体" w:hAnsi="宋体"/>
                <w:szCs w:val="21"/>
                <w:highlight w:val="none"/>
              </w:rPr>
              <w:t>19</w:t>
            </w:r>
          </w:p>
        </w:tc>
        <w:tc>
          <w:tcPr>
            <w:tcW w:w="3082" w:type="dxa"/>
          </w:tcPr>
          <w:p>
            <w:pPr>
              <w:jc w:val="left"/>
              <w:rPr>
                <w:rFonts w:asciiTheme="minorEastAsia" w:hAnsiTheme="minorEastAsia" w:eastAsiaTheme="minorEastAsia"/>
                <w:szCs w:val="21"/>
                <w:highlight w:val="none"/>
              </w:rPr>
            </w:pPr>
            <w:r>
              <w:rPr>
                <w:rFonts w:hint="eastAsia" w:ascii="宋体" w:hAnsi="宋体"/>
                <w:szCs w:val="21"/>
                <w:highlight w:val="none"/>
              </w:rPr>
              <w:t>产品套袋及手动打包辅助业务</w:t>
            </w:r>
          </w:p>
        </w:tc>
        <w:tc>
          <w:tcPr>
            <w:tcW w:w="1588" w:type="dxa"/>
          </w:tcPr>
          <w:p>
            <w:pPr>
              <w:jc w:val="left"/>
              <w:rPr>
                <w:rFonts w:asciiTheme="minorEastAsia" w:hAnsiTheme="minorEastAsia" w:eastAsiaTheme="minorEastAsia"/>
                <w:szCs w:val="21"/>
                <w:highlight w:val="none"/>
              </w:rPr>
            </w:pPr>
            <w:r>
              <w:rPr>
                <w:rFonts w:hint="eastAsia" w:ascii="宋体" w:hAnsi="宋体"/>
                <w:szCs w:val="21"/>
                <w:highlight w:val="none"/>
              </w:rPr>
              <w:t>一项</w:t>
            </w:r>
          </w:p>
        </w:tc>
        <w:tc>
          <w:tcPr>
            <w:tcW w:w="2831" w:type="dxa"/>
          </w:tcPr>
          <w:p>
            <w:pPr>
              <w:jc w:val="left"/>
              <w:rPr>
                <w:rFonts w:asciiTheme="minorEastAsia" w:hAnsiTheme="minorEastAsia" w:eastAsiaTheme="minorEastAsia"/>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宋体" w:hAnsi="宋体"/>
                <w:szCs w:val="21"/>
                <w:highlight w:val="none"/>
              </w:rPr>
              <w:t>20</w:t>
            </w:r>
          </w:p>
        </w:tc>
        <w:tc>
          <w:tcPr>
            <w:tcW w:w="3082" w:type="dxa"/>
          </w:tcPr>
          <w:p>
            <w:pPr>
              <w:jc w:val="left"/>
              <w:rPr>
                <w:rFonts w:asciiTheme="minorEastAsia" w:hAnsiTheme="minorEastAsia" w:eastAsiaTheme="minorEastAsia"/>
                <w:szCs w:val="21"/>
                <w:highlight w:val="none"/>
              </w:rPr>
            </w:pPr>
            <w:r>
              <w:rPr>
                <w:rFonts w:hint="eastAsia" w:ascii="宋体" w:hAnsi="宋体"/>
                <w:szCs w:val="21"/>
                <w:highlight w:val="none"/>
              </w:rPr>
              <w:t>生产原材料配料及周转辅助业务</w:t>
            </w:r>
          </w:p>
        </w:tc>
        <w:tc>
          <w:tcPr>
            <w:tcW w:w="1588" w:type="dxa"/>
          </w:tcPr>
          <w:p>
            <w:pPr>
              <w:jc w:val="left"/>
              <w:rPr>
                <w:rFonts w:asciiTheme="minorEastAsia" w:hAnsiTheme="minorEastAsia" w:eastAsiaTheme="minorEastAsia"/>
                <w:szCs w:val="21"/>
                <w:highlight w:val="none"/>
              </w:rPr>
            </w:pPr>
            <w:r>
              <w:rPr>
                <w:rFonts w:hint="eastAsia" w:ascii="宋体" w:hAnsi="宋体"/>
                <w:szCs w:val="21"/>
                <w:highlight w:val="none"/>
              </w:rPr>
              <w:t>一项</w:t>
            </w:r>
          </w:p>
        </w:tc>
        <w:tc>
          <w:tcPr>
            <w:tcW w:w="2831" w:type="dxa"/>
          </w:tcPr>
          <w:p>
            <w:pPr>
              <w:jc w:val="left"/>
              <w:rPr>
                <w:rFonts w:asciiTheme="minorEastAsia" w:hAnsiTheme="minorEastAsia" w:eastAsiaTheme="minorEastAsia"/>
                <w:szCs w:val="21"/>
                <w:highlight w:val="none"/>
              </w:rPr>
            </w:pPr>
            <w:r>
              <w:rPr>
                <w:rFonts w:hint="eastAsia" w:ascii="宋体" w:hAnsi="宋体"/>
                <w:szCs w:val="21"/>
                <w:highlight w:val="none"/>
              </w:rPr>
              <w:t>2人（自配备铲车一台）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宋体" w:hAnsi="宋体"/>
                <w:szCs w:val="21"/>
                <w:highlight w:val="none"/>
              </w:rPr>
              <w:t>21</w:t>
            </w:r>
          </w:p>
        </w:tc>
        <w:tc>
          <w:tcPr>
            <w:tcW w:w="3082" w:type="dxa"/>
          </w:tcPr>
          <w:p>
            <w:pPr>
              <w:jc w:val="left"/>
              <w:rPr>
                <w:rFonts w:asciiTheme="minorEastAsia" w:hAnsiTheme="minorEastAsia" w:eastAsiaTheme="minorEastAsia"/>
                <w:szCs w:val="21"/>
                <w:highlight w:val="none"/>
              </w:rPr>
            </w:pPr>
            <w:r>
              <w:rPr>
                <w:rFonts w:hint="eastAsia" w:ascii="宋体" w:hAnsi="宋体"/>
                <w:szCs w:val="21"/>
                <w:highlight w:val="none"/>
              </w:rPr>
              <w:t>设备操作机动人员</w:t>
            </w:r>
          </w:p>
        </w:tc>
        <w:tc>
          <w:tcPr>
            <w:tcW w:w="1588" w:type="dxa"/>
          </w:tcPr>
          <w:p>
            <w:pPr>
              <w:jc w:val="left"/>
              <w:rPr>
                <w:rFonts w:asciiTheme="minorEastAsia" w:hAnsiTheme="minorEastAsia" w:eastAsiaTheme="minorEastAsia"/>
                <w:szCs w:val="21"/>
                <w:highlight w:val="none"/>
              </w:rPr>
            </w:pPr>
            <w:r>
              <w:rPr>
                <w:rFonts w:hint="eastAsia" w:ascii="宋体" w:hAnsi="宋体"/>
                <w:szCs w:val="21"/>
                <w:highlight w:val="none"/>
              </w:rPr>
              <w:t>一项</w:t>
            </w:r>
          </w:p>
        </w:tc>
        <w:tc>
          <w:tcPr>
            <w:tcW w:w="2831" w:type="dxa"/>
          </w:tcPr>
          <w:p>
            <w:pPr>
              <w:jc w:val="left"/>
              <w:rPr>
                <w:rFonts w:asciiTheme="minorEastAsia" w:hAnsiTheme="minorEastAsia" w:eastAsiaTheme="minorEastAsia"/>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成品分拣辅助业务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8人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23</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现场管理业务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24</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其它辅助业务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宋体" w:hAnsi="宋体"/>
                <w:szCs w:val="21"/>
                <w:highlight w:val="none"/>
              </w:rPr>
              <w:t>25</w:t>
            </w:r>
          </w:p>
        </w:tc>
        <w:tc>
          <w:tcPr>
            <w:tcW w:w="3082" w:type="dxa"/>
          </w:tcPr>
          <w:p>
            <w:pPr>
              <w:jc w:val="left"/>
              <w:rPr>
                <w:rFonts w:asciiTheme="minorEastAsia" w:hAnsiTheme="minorEastAsia" w:eastAsiaTheme="minorEastAsia"/>
                <w:szCs w:val="21"/>
                <w:highlight w:val="none"/>
              </w:rPr>
            </w:pPr>
            <w:r>
              <w:rPr>
                <w:rFonts w:hint="eastAsia" w:ascii="宋体" w:hAnsi="宋体"/>
                <w:szCs w:val="21"/>
                <w:highlight w:val="none"/>
              </w:rPr>
              <w:t>车间、道路、货场卫生业务</w:t>
            </w:r>
          </w:p>
        </w:tc>
        <w:tc>
          <w:tcPr>
            <w:tcW w:w="1588" w:type="dxa"/>
          </w:tcPr>
          <w:p>
            <w:pPr>
              <w:jc w:val="left"/>
              <w:rPr>
                <w:rFonts w:asciiTheme="minorEastAsia" w:hAnsiTheme="minorEastAsia" w:eastAsiaTheme="minorEastAsia"/>
                <w:szCs w:val="21"/>
                <w:highlight w:val="none"/>
              </w:rPr>
            </w:pPr>
            <w:r>
              <w:rPr>
                <w:rFonts w:hint="eastAsia" w:ascii="宋体" w:hAnsi="宋体"/>
                <w:szCs w:val="21"/>
                <w:highlight w:val="none"/>
              </w:rPr>
              <w:t>一项</w:t>
            </w:r>
          </w:p>
        </w:tc>
        <w:tc>
          <w:tcPr>
            <w:tcW w:w="2831" w:type="dxa"/>
          </w:tcPr>
          <w:p>
            <w:pPr>
              <w:jc w:val="left"/>
              <w:rPr>
                <w:rFonts w:asciiTheme="minorEastAsia" w:hAnsiTheme="minorEastAsia" w:eastAsiaTheme="minorEastAsia"/>
                <w:szCs w:val="21"/>
                <w:highlight w:val="none"/>
              </w:rPr>
            </w:pPr>
            <w:r>
              <w:rPr>
                <w:rFonts w:hint="eastAsia" w:ascii="宋体" w:hAnsi="宋体"/>
                <w:szCs w:val="21"/>
                <w:highlight w:val="none"/>
              </w:rPr>
              <w:t>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3" w:hRule="atLeast"/>
        </w:trPr>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26</w:t>
            </w:r>
          </w:p>
        </w:tc>
        <w:tc>
          <w:tcPr>
            <w:tcW w:w="3082"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各业务区域卫生清洁及零星辅助业务</w:t>
            </w:r>
          </w:p>
        </w:tc>
        <w:tc>
          <w:tcPr>
            <w:tcW w:w="1588"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widowControl/>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配备工具等，自行安排（见各业务区域卫生清洁及零星辅助业务的主要内容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7</w:t>
            </w:r>
          </w:p>
        </w:tc>
        <w:tc>
          <w:tcPr>
            <w:tcW w:w="3082" w:type="dxa"/>
            <w:vAlign w:val="center"/>
          </w:tcPr>
          <w:p>
            <w:pPr>
              <w:rPr>
                <w:rFonts w:asciiTheme="minorEastAsia" w:hAnsiTheme="minorEastAsia" w:eastAsiaTheme="minorEastAsia"/>
                <w:szCs w:val="21"/>
                <w:highlight w:val="none"/>
              </w:rPr>
            </w:pPr>
            <w:r>
              <w:rPr>
                <w:rFonts w:asciiTheme="minorEastAsia" w:hAnsiTheme="minorEastAsia" w:eastAsiaTheme="minorEastAsia"/>
                <w:szCs w:val="21"/>
                <w:highlight w:val="none"/>
              </w:rPr>
              <w:t>炉渣、脱硫石膏</w:t>
            </w:r>
            <w:r>
              <w:rPr>
                <w:rFonts w:hint="eastAsia" w:asciiTheme="minorEastAsia" w:hAnsiTheme="minorEastAsia" w:eastAsiaTheme="minorEastAsia"/>
                <w:szCs w:val="21"/>
                <w:highlight w:val="none"/>
              </w:rPr>
              <w:t>业务</w:t>
            </w:r>
          </w:p>
        </w:tc>
        <w:tc>
          <w:tcPr>
            <w:tcW w:w="1588"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widowControl/>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每年约</w:t>
            </w:r>
            <w:r>
              <w:rPr>
                <w:rFonts w:asciiTheme="minorEastAsia" w:hAnsiTheme="minorEastAsia" w:eastAsiaTheme="minorEastAsia"/>
                <w:szCs w:val="21"/>
                <w:highlight w:val="none"/>
              </w:rPr>
              <w:t>1.65万吨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trPr>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28</w:t>
            </w:r>
          </w:p>
        </w:tc>
        <w:tc>
          <w:tcPr>
            <w:tcW w:w="3082" w:type="dxa"/>
            <w:vAlign w:val="center"/>
          </w:tcPr>
          <w:p>
            <w:pPr>
              <w:rPr>
                <w:rFonts w:asciiTheme="minorEastAsia" w:hAnsiTheme="minorEastAsia" w:eastAsiaTheme="minorEastAsia"/>
                <w:szCs w:val="21"/>
                <w:highlight w:val="none"/>
              </w:rPr>
            </w:pPr>
            <w:r>
              <w:rPr>
                <w:rFonts w:hint="eastAsia" w:ascii="宋体" w:hAnsi="宋体" w:cs="仿宋_GB2312"/>
                <w:bCs/>
                <w:szCs w:val="21"/>
                <w:highlight w:val="none"/>
              </w:rPr>
              <w:t>设备检修辅助业务</w:t>
            </w:r>
          </w:p>
        </w:tc>
        <w:tc>
          <w:tcPr>
            <w:tcW w:w="1588"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widowControl/>
              <w:rPr>
                <w:rFonts w:asciiTheme="minorEastAsia" w:hAnsiTheme="minorEastAsia" w:eastAsiaTheme="minorEastAsia"/>
                <w:szCs w:val="21"/>
                <w:highlight w:val="none"/>
              </w:rPr>
            </w:pPr>
            <w:r>
              <w:rPr>
                <w:rFonts w:asciiTheme="minorEastAsia" w:hAnsiTheme="minorEastAsia" w:eastAsiaTheme="minorEastAsia"/>
                <w:szCs w:val="21"/>
                <w:highlight w:val="none"/>
              </w:rPr>
              <w:t>6人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 w:hRule="atLeast"/>
        </w:trPr>
        <w:tc>
          <w:tcPr>
            <w:tcW w:w="771" w:type="dxa"/>
            <w:vAlign w:val="center"/>
          </w:tcPr>
          <w:p>
            <w:pPr>
              <w:jc w:val="center"/>
              <w:rPr>
                <w:rFonts w:asciiTheme="minorEastAsia" w:hAnsiTheme="minorEastAsia" w:eastAsiaTheme="minorEastAsia"/>
                <w:szCs w:val="21"/>
                <w:highlight w:val="none"/>
              </w:rPr>
            </w:pPr>
            <w:r>
              <w:rPr>
                <w:rFonts w:hint="eastAsia" w:ascii="宋体" w:hAnsi="宋体"/>
                <w:szCs w:val="21"/>
                <w:highlight w:val="none"/>
              </w:rPr>
              <w:t>39</w:t>
            </w:r>
          </w:p>
        </w:tc>
        <w:tc>
          <w:tcPr>
            <w:tcW w:w="3082" w:type="dxa"/>
            <w:vAlign w:val="center"/>
          </w:tcPr>
          <w:p>
            <w:pPr>
              <w:rPr>
                <w:rFonts w:ascii="宋体" w:hAnsi="宋体" w:cs="仿宋_GB2312"/>
                <w:bCs/>
                <w:szCs w:val="21"/>
                <w:highlight w:val="none"/>
              </w:rPr>
            </w:pPr>
            <w:r>
              <w:rPr>
                <w:rFonts w:hint="eastAsia" w:ascii="宋体" w:hAnsi="宋体"/>
                <w:szCs w:val="21"/>
                <w:highlight w:val="none"/>
              </w:rPr>
              <w:t>生产线机动工作</w:t>
            </w:r>
          </w:p>
        </w:tc>
        <w:tc>
          <w:tcPr>
            <w:tcW w:w="1588"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widowControl/>
              <w:rPr>
                <w:rFonts w:asciiTheme="minorEastAsia" w:hAnsiTheme="minorEastAsia" w:eastAsiaTheme="minorEastAsia"/>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3082" w:type="dxa"/>
            <w:vAlign w:val="center"/>
          </w:tcPr>
          <w:p>
            <w:pPr>
              <w:rPr>
                <w:rFonts w:asciiTheme="minorEastAsia" w:hAnsiTheme="minorEastAsia" w:eastAsiaTheme="minorEastAsia"/>
                <w:szCs w:val="21"/>
                <w:highlight w:val="none"/>
              </w:rPr>
            </w:pPr>
          </w:p>
        </w:tc>
        <w:tc>
          <w:tcPr>
            <w:tcW w:w="1588" w:type="dxa"/>
            <w:vAlign w:val="center"/>
          </w:tcPr>
          <w:p>
            <w:pPr>
              <w:rPr>
                <w:rFonts w:asciiTheme="minorEastAsia" w:hAnsiTheme="minorEastAsia" w:eastAsiaTheme="minorEastAsia"/>
                <w:szCs w:val="21"/>
                <w:highlight w:val="none"/>
              </w:rPr>
            </w:pPr>
          </w:p>
        </w:tc>
        <w:tc>
          <w:tcPr>
            <w:tcW w:w="2831"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62</w:t>
            </w:r>
            <w:r>
              <w:rPr>
                <w:rFonts w:asciiTheme="minorEastAsia" w:hAnsiTheme="minorEastAsia" w:eastAsiaTheme="minorEastAsia"/>
                <w:szCs w:val="21"/>
                <w:highlight w:val="none"/>
              </w:rPr>
              <w:t>人</w:t>
            </w:r>
          </w:p>
        </w:tc>
      </w:tr>
    </w:tbl>
    <w:p>
      <w:pPr>
        <w:widowControl/>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注：未明确强调具体人员配置数量的工作任务乙方可安排兼职人员，但必须按照甲方要求完成相关工作任务。</w:t>
      </w: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各业务区域卫生清洁及零星辅助业务的主要内容</w:t>
      </w:r>
    </w:p>
    <w:tbl>
      <w:tblPr>
        <w:tblStyle w:val="42"/>
        <w:tblW w:w="827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8"/>
        <w:gridCol w:w="1510"/>
        <w:gridCol w:w="6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blHeader/>
        </w:trPr>
        <w:tc>
          <w:tcPr>
            <w:tcW w:w="458"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
                <w:bCs/>
                <w:color w:val="000000"/>
                <w:kern w:val="0"/>
                <w:szCs w:val="21"/>
                <w:highlight w:val="none"/>
              </w:rPr>
              <w:t>序号</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
                <w:bCs/>
                <w:color w:val="000000"/>
                <w:kern w:val="0"/>
                <w:szCs w:val="21"/>
                <w:highlight w:val="none"/>
              </w:rPr>
              <w:t>名称</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
                <w:bCs/>
                <w:color w:val="000000"/>
                <w:kern w:val="0"/>
                <w:szCs w:val="21"/>
                <w:highlight w:val="none"/>
              </w:rPr>
              <w:t>卫生要求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磨机房</w:t>
            </w:r>
          </w:p>
        </w:tc>
        <w:tc>
          <w:tcPr>
            <w:tcW w:w="6304" w:type="dxa"/>
          </w:tcPr>
          <w:p>
            <w:pPr>
              <w:widowControl/>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磨机房内</w:t>
            </w:r>
            <w:r>
              <w:rPr>
                <w:rFonts w:cs="宋体" w:asciiTheme="minorEastAsia" w:hAnsiTheme="minorEastAsia" w:eastAsiaTheme="minorEastAsia"/>
                <w:color w:val="000000"/>
                <w:kern w:val="0"/>
                <w:szCs w:val="21"/>
                <w:highlight w:val="none"/>
              </w:rPr>
              <w:t>3台磨机、3套搅拌装置等所有设备、管阀及地面、墙壁、各层平台、楼梯、栏杆的</w:t>
            </w:r>
            <w:r>
              <w:rPr>
                <w:rFonts w:hint="eastAsia" w:cs="宋体" w:asciiTheme="minorEastAsia" w:hAnsiTheme="minorEastAsia" w:eastAsiaTheme="minorEastAsia"/>
                <w:color w:val="000000"/>
                <w:kern w:val="0"/>
                <w:szCs w:val="21"/>
                <w:highlight w:val="none"/>
              </w:rPr>
              <w:t>的油污、杂物、落料、积尘的每天清扫清洁；磨机出口筛余废料的收集、清运到厂内废料堆放区。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2</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砂皮带输送</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砂渣上料皮带输送设备及其地面、各层平台、楼梯、栏杆的油污、杂物、落料、积尘的每天清扫清洁。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3</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石膏库及搅拌装置清洁</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石膏库地面、墙壁，石膏搅拌装置、浆液输送管阀的油污、杂物、落料、积尘的每天清扫清洁。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4</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罐区（含粉煤灰制浆区域）清洁</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储罐、管阀、称量设备、地面、墙壁、各层平台、楼梯、栏杆的的油污、杂物、落料、积尘的每天清扫清洁。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5</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配料楼、辅助用房区域清洁</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储罐、输送设备、管阀、称量设备、地面、墙壁、各层平台、楼梯、栏杆的的油污、杂物、落料、积尘的每天清扫清洁。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49" w:hRule="atLeast"/>
        </w:trPr>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6</w:t>
            </w:r>
          </w:p>
        </w:tc>
        <w:tc>
          <w:tcPr>
            <w:tcW w:w="1510"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静停、切割区清洁</w:t>
            </w:r>
          </w:p>
        </w:tc>
        <w:tc>
          <w:tcPr>
            <w:tcW w:w="6304" w:type="dxa"/>
          </w:tcPr>
          <w:p>
            <w:pPr>
              <w:widowControl/>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浇注地坑冲扫清洁、静停区模箱漏浆清理、合模前侧板及空模箱内结料清理、切割区地坑外落料清理、地翻台落料清理，保持本区域地面清洁；浇注搅拌机、输送轨道、翻转吊具、切割机组、地翻台、刷灰机等设备的油污、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7</w:t>
            </w:r>
          </w:p>
        </w:tc>
        <w:tc>
          <w:tcPr>
            <w:tcW w:w="1510"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半成品、成品段清洁</w:t>
            </w:r>
          </w:p>
        </w:tc>
        <w:tc>
          <w:tcPr>
            <w:tcW w:w="6304" w:type="dxa"/>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半成品堆垛吊机、半成品输送轨道、釜前吊具、搭桥装置、蒸压釜、成品输送轨道、釜前摆渡车、成品分垛吊机、掰板机等。</w:t>
            </w:r>
          </w:p>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设备及其所在区域的油污、杂物、落料、积尘的每天清扫清洁。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8</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涂脱模剂</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模箱堵漏、涂脱模剂，防止脱模剂洒漏污染地面，保持工作区域的清洁。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9</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釜区清洁</w:t>
            </w:r>
          </w:p>
        </w:tc>
        <w:tc>
          <w:tcPr>
            <w:tcW w:w="6304" w:type="dxa"/>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釜前区设备、地面、墙壁、楼梯、栏杆的油污、杂物、落料、积尘的每天清扫清洁。</w:t>
            </w:r>
          </w:p>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釜体区设备、地面、墙壁、楼梯、栏杆的油污、杂物、落料、积尘的</w:t>
            </w:r>
            <w:r>
              <w:rPr>
                <w:rFonts w:hint="eastAsia" w:ascii="宋体" w:hAnsi="宋体" w:cs="宋体"/>
                <w:color w:val="000000"/>
                <w:kern w:val="0"/>
                <w:szCs w:val="21"/>
                <w:highlight w:val="none"/>
              </w:rPr>
              <w:t>至少</w:t>
            </w:r>
            <w:r>
              <w:rPr>
                <w:rFonts w:hint="eastAsia" w:cs="宋体" w:asciiTheme="minorEastAsia" w:hAnsiTheme="minorEastAsia" w:eastAsiaTheme="minorEastAsia"/>
                <w:color w:val="000000"/>
                <w:kern w:val="0"/>
                <w:szCs w:val="21"/>
                <w:highlight w:val="none"/>
              </w:rPr>
              <w:t>每月清扫清洁</w:t>
            </w:r>
            <w:r>
              <w:rPr>
                <w:rFonts w:hint="eastAsia" w:ascii="宋体" w:hAnsi="宋体" w:cs="宋体"/>
                <w:color w:val="000000"/>
                <w:kern w:val="0"/>
                <w:szCs w:val="21"/>
                <w:highlight w:val="none"/>
              </w:rPr>
              <w:t>1次</w:t>
            </w:r>
            <w:r>
              <w:rPr>
                <w:rFonts w:hint="eastAsia" w:cs="宋体" w:asciiTheme="minorEastAsia" w:hAnsiTheme="minorEastAsia" w:eastAsiaTheme="minorEastAsia"/>
                <w:color w:val="000000"/>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9" w:hRule="atLeast"/>
        </w:trPr>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10</w:t>
            </w:r>
          </w:p>
        </w:tc>
        <w:tc>
          <w:tcPr>
            <w:tcW w:w="1510"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室外罐顶、天面设备、管道、地面、阀门、楼梯、栏杆等</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根据需要清洁。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11</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环厂道路卫生</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环厂道路路面每天按要求清洁。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12</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定期、非定期项目</w:t>
            </w:r>
          </w:p>
        </w:tc>
        <w:tc>
          <w:tcPr>
            <w:tcW w:w="6304" w:type="dxa"/>
          </w:tcPr>
          <w:p>
            <w:pPr>
              <w:widowControl/>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磨前料浆罐</w:t>
            </w:r>
            <w:r>
              <w:rPr>
                <w:rFonts w:cs="宋体" w:asciiTheme="minorEastAsia" w:hAnsiTheme="minorEastAsia" w:eastAsiaTheme="minorEastAsia"/>
                <w:color w:val="000000"/>
                <w:kern w:val="0"/>
                <w:szCs w:val="21"/>
                <w:highlight w:val="none"/>
              </w:rPr>
              <w:t>3个、磨机入口3个、磨机出口3个、</w:t>
            </w:r>
            <w:r>
              <w:rPr>
                <w:rFonts w:hint="eastAsia" w:cs="宋体" w:asciiTheme="minorEastAsia" w:hAnsiTheme="minorEastAsia" w:eastAsiaTheme="minorEastAsia"/>
                <w:color w:val="000000"/>
                <w:kern w:val="0"/>
                <w:szCs w:val="21"/>
                <w:highlight w:val="none"/>
              </w:rPr>
              <w:t>磨后罐</w:t>
            </w:r>
            <w:r>
              <w:rPr>
                <w:rFonts w:cs="宋体" w:asciiTheme="minorEastAsia" w:hAnsiTheme="minorEastAsia" w:eastAsiaTheme="minorEastAsia"/>
                <w:color w:val="000000"/>
                <w:kern w:val="0"/>
                <w:szCs w:val="21"/>
                <w:highlight w:val="none"/>
              </w:rPr>
              <w:t>3个</w:t>
            </w:r>
            <w:r>
              <w:rPr>
                <w:rFonts w:hint="eastAsia" w:cs="宋体" w:asciiTheme="minorEastAsia" w:hAnsiTheme="minorEastAsia" w:eastAsiaTheme="minorEastAsia"/>
                <w:color w:val="000000"/>
                <w:kern w:val="0"/>
                <w:szCs w:val="21"/>
                <w:highlight w:val="none"/>
              </w:rPr>
              <w:t>；粉煤灰制浆罐</w:t>
            </w:r>
            <w:r>
              <w:rPr>
                <w:rFonts w:cs="宋体" w:asciiTheme="minorEastAsia" w:hAnsiTheme="minorEastAsia" w:eastAsiaTheme="minorEastAsia"/>
                <w:color w:val="000000"/>
                <w:kern w:val="0"/>
                <w:szCs w:val="21"/>
                <w:highlight w:val="none"/>
              </w:rPr>
              <w:t xml:space="preserve">2个、罐区料浆罐8个、地坑三个，石膏打浆机1台； </w:t>
            </w:r>
            <w:r>
              <w:rPr>
                <w:rFonts w:hint="eastAsia" w:cs="宋体" w:asciiTheme="minorEastAsia" w:hAnsiTheme="minorEastAsia" w:eastAsiaTheme="minorEastAsia"/>
                <w:color w:val="000000"/>
                <w:kern w:val="0"/>
                <w:szCs w:val="21"/>
                <w:highlight w:val="none"/>
              </w:rPr>
              <w:t>配料楼料浆罐</w:t>
            </w:r>
            <w:r>
              <w:rPr>
                <w:rFonts w:cs="宋体" w:asciiTheme="minorEastAsia" w:hAnsiTheme="minorEastAsia" w:eastAsiaTheme="minorEastAsia"/>
                <w:color w:val="000000"/>
                <w:kern w:val="0"/>
                <w:szCs w:val="21"/>
                <w:highlight w:val="none"/>
              </w:rPr>
              <w:t>2个，料浆计量称1台、浇注搅拌机1台,浇注地坑1个；切割地沟、切割地坑1个； 8条蒸压</w:t>
            </w:r>
            <w:r>
              <w:rPr>
                <w:rFonts w:hint="eastAsia" w:cs="宋体" w:asciiTheme="minorEastAsia" w:hAnsiTheme="minorEastAsia" w:eastAsiaTheme="minorEastAsia"/>
                <w:color w:val="000000"/>
                <w:kern w:val="0"/>
                <w:szCs w:val="21"/>
                <w:highlight w:val="none"/>
              </w:rPr>
              <w:t>釜排污口及基座等各处结料的清理；负责蒸压釜内废料的清理；高温水池、中温水池、低温水池每年</w:t>
            </w:r>
            <w:r>
              <w:rPr>
                <w:rFonts w:cs="宋体" w:asciiTheme="minorEastAsia" w:hAnsiTheme="minorEastAsia" w:eastAsiaTheme="minorEastAsia"/>
                <w:color w:val="000000"/>
                <w:kern w:val="0"/>
                <w:szCs w:val="21"/>
                <w:highlight w:val="none"/>
              </w:rPr>
              <w:t>1次的底部沉淀物清理</w:t>
            </w:r>
            <w:r>
              <w:rPr>
                <w:rFonts w:hint="eastAsia" w:ascii="宋体" w:hAnsi="宋体" w:cs="宋体"/>
                <w:color w:val="000000"/>
                <w:kern w:val="0"/>
                <w:szCs w:val="21"/>
                <w:highlight w:val="none"/>
              </w:rPr>
              <w:t>；其余生产原材料地坑、罐内积料清理。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13</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Cs/>
                <w:kern w:val="0"/>
                <w:szCs w:val="21"/>
                <w:highlight w:val="none"/>
              </w:rPr>
              <w:t>临时辅助检修清洁</w:t>
            </w:r>
          </w:p>
        </w:tc>
        <w:tc>
          <w:tcPr>
            <w:tcW w:w="6304"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日常检修时，按检修要求清洁设备及设备周边积料。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14</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Cs/>
                <w:kern w:val="0"/>
                <w:szCs w:val="21"/>
                <w:highlight w:val="none"/>
              </w:rPr>
              <w:t>模框清洁</w:t>
            </w:r>
          </w:p>
        </w:tc>
        <w:tc>
          <w:tcPr>
            <w:tcW w:w="6304"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模框表面卫生每周清洁一个循环</w:t>
            </w:r>
            <w:r>
              <w:rPr>
                <w:rFonts w:hint="eastAsia" w:ascii="宋体" w:hAnsi="宋体" w:cs="宋体"/>
                <w:color w:val="000000"/>
                <w:kern w:val="0"/>
                <w:szCs w:val="21"/>
                <w:highlight w:val="none"/>
              </w:rPr>
              <w:t>，保持模具清洁，表面无油污、积料</w:t>
            </w:r>
            <w:r>
              <w:rPr>
                <w:rFonts w:hint="eastAsia" w:cs="宋体" w:asciiTheme="minorEastAsia" w:hAnsiTheme="minorEastAsia" w:eastAsiaTheme="minorEastAsia"/>
                <w:color w:val="000000"/>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15</w:t>
            </w:r>
          </w:p>
        </w:tc>
        <w:tc>
          <w:tcPr>
            <w:tcW w:w="1510" w:type="dxa"/>
            <w:vAlign w:val="center"/>
          </w:tcPr>
          <w:p>
            <w:pPr>
              <w:jc w:val="left"/>
              <w:rPr>
                <w:rFonts w:asciiTheme="minorEastAsia" w:hAnsiTheme="minorEastAsia" w:eastAsiaTheme="minorEastAsia"/>
                <w:szCs w:val="21"/>
                <w:highlight w:val="none"/>
              </w:rPr>
            </w:pPr>
            <w:r>
              <w:rPr>
                <w:rFonts w:hint="eastAsia" w:ascii="宋体" w:hAnsi="宋体" w:cs="宋体"/>
                <w:bCs/>
                <w:kern w:val="0"/>
                <w:szCs w:val="21"/>
                <w:highlight w:val="none"/>
              </w:rPr>
              <w:t>侧板</w:t>
            </w:r>
            <w:r>
              <w:rPr>
                <w:rFonts w:hint="eastAsia" w:cs="宋体" w:asciiTheme="minorEastAsia" w:hAnsiTheme="minorEastAsia" w:eastAsiaTheme="minorEastAsia"/>
                <w:bCs/>
                <w:kern w:val="0"/>
                <w:szCs w:val="21"/>
                <w:highlight w:val="none"/>
              </w:rPr>
              <w:t>清洁</w:t>
            </w:r>
          </w:p>
        </w:tc>
        <w:tc>
          <w:tcPr>
            <w:tcW w:w="6304"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全厂所有</w:t>
            </w:r>
            <w:r>
              <w:rPr>
                <w:rFonts w:hint="eastAsia" w:ascii="宋体" w:hAnsi="宋体" w:cs="宋体"/>
                <w:color w:val="000000"/>
                <w:kern w:val="0"/>
                <w:szCs w:val="21"/>
                <w:highlight w:val="none"/>
              </w:rPr>
              <w:t>侧板需要时</w:t>
            </w:r>
            <w:r>
              <w:rPr>
                <w:rFonts w:cs="宋体" w:asciiTheme="minorEastAsia" w:hAnsiTheme="minorEastAsia" w:eastAsiaTheme="minorEastAsia"/>
                <w:color w:val="000000"/>
                <w:kern w:val="0"/>
                <w:szCs w:val="21"/>
                <w:highlight w:val="none"/>
              </w:rPr>
              <w:t>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16</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Cs/>
                <w:kern w:val="0"/>
                <w:szCs w:val="21"/>
                <w:highlight w:val="none"/>
              </w:rPr>
              <w:t>清洁卫生工具</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所有清洁工具（包括不限于斗车、铁铲、风镐等等）均由乙方自行负责配置及维护。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5" w:hRule="atLeast"/>
        </w:trPr>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17</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Cs/>
                <w:kern w:val="0"/>
                <w:szCs w:val="21"/>
                <w:highlight w:val="none"/>
              </w:rPr>
              <w:t>辅助项目</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甲方计划停产时间段，需安排</w:t>
            </w:r>
            <w:r>
              <w:rPr>
                <w:rFonts w:cs="宋体" w:asciiTheme="minorEastAsia" w:hAnsiTheme="minorEastAsia" w:eastAsiaTheme="minorEastAsia"/>
                <w:color w:val="000000"/>
                <w:kern w:val="0"/>
                <w:szCs w:val="21"/>
                <w:highlight w:val="none"/>
              </w:rPr>
              <w:t>6人协助检修。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atLeast"/>
        </w:trPr>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kern w:val="0"/>
                <w:szCs w:val="21"/>
                <w:highlight w:val="none"/>
              </w:rPr>
              <w:t>18</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Cs/>
                <w:kern w:val="0"/>
                <w:szCs w:val="21"/>
                <w:highlight w:val="none"/>
              </w:rPr>
              <w:t>原料归堆上料</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负责使用铲车（乙方提供）将生产用原材料（砂、渣及石膏等）的推堆上料</w:t>
            </w:r>
            <w:r>
              <w:rPr>
                <w:rFonts w:hint="eastAsia" w:ascii="宋体" w:hAnsi="宋体" w:cs="宋体"/>
                <w:kern w:val="0"/>
                <w:szCs w:val="21"/>
                <w:highlight w:val="none"/>
              </w:rPr>
              <w:t>及料堆覆盖</w:t>
            </w:r>
            <w:r>
              <w:rPr>
                <w:rFonts w:hint="eastAsia" w:cs="宋体" w:asciiTheme="minorEastAsia" w:hAnsiTheme="minorEastAsia" w:eastAsiaTheme="minorEastAsia"/>
                <w:kern w:val="0"/>
                <w:szCs w:val="21"/>
                <w:highlight w:val="none"/>
              </w:rPr>
              <w:t>。</w:t>
            </w:r>
          </w:p>
        </w:tc>
      </w:tr>
    </w:tbl>
    <w:p>
      <w:pPr>
        <w:spacing w:line="440" w:lineRule="exact"/>
        <w:ind w:left="422" w:hanging="422" w:hangingChars="200"/>
        <w:jc w:val="center"/>
        <w:rPr>
          <w:rFonts w:asciiTheme="minorEastAsia" w:hAnsiTheme="minorEastAsia" w:eastAsiaTheme="minorEastAsia"/>
          <w:b/>
          <w:szCs w:val="21"/>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jc w:val="center"/>
        <w:outlineLvl w:val="0"/>
        <w:rPr>
          <w:rFonts w:asciiTheme="minorEastAsia" w:hAnsiTheme="minorEastAsia" w:eastAsiaTheme="minorEastAsia"/>
          <w:b/>
          <w:sz w:val="30"/>
          <w:szCs w:val="30"/>
          <w:highlight w:val="none"/>
        </w:rPr>
      </w:pPr>
      <w:bookmarkStart w:id="394" w:name="_Toc14263"/>
      <w:r>
        <w:rPr>
          <w:rFonts w:hint="eastAsia" w:asciiTheme="minorEastAsia" w:hAnsiTheme="minorEastAsia" w:eastAsiaTheme="minorEastAsia"/>
          <w:b/>
          <w:sz w:val="30"/>
          <w:szCs w:val="30"/>
          <w:highlight w:val="none"/>
        </w:rPr>
        <w:t>第五章 合同条款</w:t>
      </w:r>
      <w:bookmarkEnd w:id="394"/>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602" w:hanging="602" w:hangingChars="200"/>
        <w:jc w:val="center"/>
        <w:rPr>
          <w:rFonts w:asciiTheme="minorEastAsia" w:hAnsiTheme="minorEastAsia" w:eastAsiaTheme="minorEastAsia"/>
          <w:b/>
          <w:sz w:val="30"/>
          <w:szCs w:val="30"/>
          <w:highlight w:val="none"/>
        </w:rPr>
      </w:pPr>
    </w:p>
    <w:p>
      <w:pPr>
        <w:spacing w:line="440" w:lineRule="exact"/>
        <w:ind w:left="883" w:hanging="883" w:hangingChars="200"/>
        <w:jc w:val="center"/>
        <w:rPr>
          <w:rFonts w:ascii="宋体" w:hAnsi="宋体"/>
          <w:b/>
          <w:bCs/>
          <w:sz w:val="44"/>
          <w:szCs w:val="44"/>
          <w:highlight w:val="none"/>
        </w:rPr>
      </w:pPr>
      <w:bookmarkStart w:id="395" w:name="_Toc34822242"/>
      <w:bookmarkStart w:id="396" w:name="_Toc103673638"/>
      <w:bookmarkStart w:id="397" w:name="_Toc34779088"/>
      <w:bookmarkStart w:id="398" w:name="_Toc35957199"/>
      <w:bookmarkStart w:id="399" w:name="_Toc38039643"/>
      <w:bookmarkStart w:id="400" w:name="_Toc34779151"/>
      <w:bookmarkStart w:id="401" w:name="_Toc5503"/>
      <w:bookmarkStart w:id="402" w:name="_Toc292434269"/>
      <w:bookmarkStart w:id="403" w:name="_Toc34779197"/>
      <w:r>
        <w:rPr>
          <w:rFonts w:hint="eastAsia" w:ascii="宋体" w:hAnsi="宋体"/>
          <w:b/>
          <w:bCs/>
          <w:sz w:val="44"/>
          <w:szCs w:val="44"/>
          <w:highlight w:val="none"/>
        </w:rPr>
        <w:t>【</w:t>
      </w:r>
      <w:r>
        <w:rPr>
          <w:rFonts w:hint="eastAsia" w:ascii="宋体" w:hAnsi="宋体" w:cs="宋体"/>
          <w:color w:val="000000"/>
          <w:kern w:val="0"/>
          <w:sz w:val="32"/>
          <w:szCs w:val="32"/>
          <w:highlight w:val="none"/>
        </w:rPr>
        <w:t>佛山市恒益环保建材有限公司加气砌块生产辅助业务外委项目</w:t>
      </w:r>
      <w:r>
        <w:rPr>
          <w:rFonts w:hint="eastAsia" w:ascii="宋体" w:hAnsi="宋体"/>
          <w:b/>
          <w:bCs/>
          <w:sz w:val="44"/>
          <w:szCs w:val="44"/>
          <w:highlight w:val="none"/>
        </w:rPr>
        <w:t>】</w:t>
      </w:r>
    </w:p>
    <w:p>
      <w:pPr>
        <w:spacing w:line="440" w:lineRule="exact"/>
        <w:ind w:left="883" w:hanging="883" w:hangingChars="200"/>
        <w:jc w:val="center"/>
        <w:rPr>
          <w:rFonts w:ascii="宋体" w:hAnsi="宋体"/>
          <w:b/>
          <w:bCs/>
          <w:sz w:val="44"/>
          <w:szCs w:val="44"/>
          <w:highlight w:val="none"/>
        </w:rPr>
      </w:pPr>
    </w:p>
    <w:p>
      <w:pPr>
        <w:spacing w:line="440" w:lineRule="exact"/>
        <w:jc w:val="center"/>
        <w:rPr>
          <w:sz w:val="24"/>
          <w:highlight w:val="none"/>
        </w:rPr>
      </w:pPr>
      <w:r>
        <w:rPr>
          <w:rStyle w:val="50"/>
          <w:rFonts w:hint="eastAsia" w:ascii="宋体" w:hAnsi="宋体"/>
          <w:b/>
          <w:bCs/>
          <w:color w:val="auto"/>
          <w:sz w:val="36"/>
          <w:szCs w:val="36"/>
          <w:highlight w:val="none"/>
        </w:rPr>
        <w:t>承包合同</w:t>
      </w:r>
    </w:p>
    <w:p>
      <w:pPr>
        <w:spacing w:line="440" w:lineRule="exact"/>
        <w:rPr>
          <w:sz w:val="24"/>
          <w:highlight w:val="none"/>
        </w:rPr>
      </w:pPr>
    </w:p>
    <w:p>
      <w:pPr>
        <w:spacing w:line="440" w:lineRule="exact"/>
        <w:rPr>
          <w:sz w:val="24"/>
          <w:highlight w:val="none"/>
        </w:rPr>
      </w:pPr>
    </w:p>
    <w:p>
      <w:pPr>
        <w:spacing w:line="440" w:lineRule="exact"/>
        <w:ind w:left="723" w:hanging="723" w:hangingChars="200"/>
        <w:jc w:val="center"/>
        <w:rPr>
          <w:rFonts w:ascii="宋体" w:hAnsi="宋体"/>
          <w:b/>
          <w:bCs/>
          <w:sz w:val="36"/>
          <w:szCs w:val="36"/>
          <w:highlight w:val="none"/>
        </w:rPr>
      </w:pPr>
    </w:p>
    <w:p>
      <w:pPr>
        <w:spacing w:line="440" w:lineRule="exact"/>
        <w:rPr>
          <w:sz w:val="24"/>
          <w:highlight w:val="none"/>
        </w:rPr>
      </w:pPr>
    </w:p>
    <w:p>
      <w:pPr>
        <w:spacing w:line="440" w:lineRule="exact"/>
        <w:rPr>
          <w:sz w:val="24"/>
          <w:highlight w:val="none"/>
        </w:rPr>
      </w:pPr>
    </w:p>
    <w:p>
      <w:pPr>
        <w:spacing w:line="440" w:lineRule="exact"/>
        <w:rPr>
          <w:sz w:val="24"/>
          <w:highlight w:val="none"/>
        </w:rPr>
      </w:pPr>
    </w:p>
    <w:p>
      <w:pPr>
        <w:spacing w:line="440" w:lineRule="exact"/>
        <w:jc w:val="center"/>
        <w:rPr>
          <w:b/>
          <w:sz w:val="32"/>
          <w:szCs w:val="32"/>
          <w:highlight w:val="none"/>
        </w:rPr>
      </w:pPr>
    </w:p>
    <w:p>
      <w:pPr>
        <w:spacing w:line="440" w:lineRule="exact"/>
        <w:rPr>
          <w:sz w:val="24"/>
          <w:highlight w:val="none"/>
        </w:rPr>
      </w:pPr>
    </w:p>
    <w:p>
      <w:pPr>
        <w:spacing w:line="440" w:lineRule="exact"/>
        <w:rPr>
          <w:sz w:val="24"/>
          <w:highlight w:val="none"/>
        </w:rPr>
      </w:pPr>
    </w:p>
    <w:p>
      <w:pPr>
        <w:spacing w:line="440" w:lineRule="exact"/>
        <w:rPr>
          <w:sz w:val="24"/>
          <w:highlight w:val="none"/>
        </w:rPr>
      </w:pPr>
    </w:p>
    <w:p>
      <w:pPr>
        <w:spacing w:line="440" w:lineRule="exact"/>
        <w:rPr>
          <w:sz w:val="24"/>
          <w:highlight w:val="none"/>
        </w:rPr>
      </w:pPr>
    </w:p>
    <w:p>
      <w:pPr>
        <w:spacing w:line="440" w:lineRule="exact"/>
        <w:rPr>
          <w:sz w:val="24"/>
          <w:highlight w:val="none"/>
        </w:rPr>
      </w:pPr>
    </w:p>
    <w:p>
      <w:pPr>
        <w:spacing w:line="440" w:lineRule="exact"/>
        <w:rPr>
          <w:rFonts w:ascii="宋体" w:hAnsi="宋体"/>
          <w:b/>
          <w:sz w:val="32"/>
          <w:szCs w:val="32"/>
          <w:highlight w:val="none"/>
        </w:rPr>
      </w:pPr>
      <w:r>
        <w:rPr>
          <w:rFonts w:hint="eastAsia" w:ascii="宋体" w:hAnsi="宋体"/>
          <w:b/>
          <w:sz w:val="32"/>
          <w:szCs w:val="32"/>
          <w:highlight w:val="none"/>
        </w:rPr>
        <w:t xml:space="preserve">     甲方（发包人）：【</w:t>
      </w:r>
      <w:r>
        <w:rPr>
          <w:rStyle w:val="50"/>
          <w:rFonts w:hint="eastAsia" w:ascii="宋体" w:hAnsi="宋体"/>
          <w:b/>
          <w:bCs/>
          <w:color w:val="auto"/>
          <w:sz w:val="36"/>
          <w:szCs w:val="36"/>
          <w:highlight w:val="none"/>
        </w:rPr>
        <w:t>佛山市恒益环保建材有限公司</w:t>
      </w:r>
      <w:r>
        <w:rPr>
          <w:rFonts w:hint="eastAsia" w:ascii="宋体" w:hAnsi="宋体"/>
          <w:b/>
          <w:sz w:val="32"/>
          <w:szCs w:val="32"/>
          <w:highlight w:val="none"/>
        </w:rPr>
        <w:t>】</w:t>
      </w:r>
    </w:p>
    <w:p>
      <w:pPr>
        <w:spacing w:line="440" w:lineRule="exact"/>
        <w:rPr>
          <w:rFonts w:ascii="宋体" w:hAnsi="宋体"/>
          <w:b/>
          <w:sz w:val="32"/>
          <w:szCs w:val="32"/>
          <w:highlight w:val="none"/>
        </w:rPr>
      </w:pPr>
      <w:r>
        <w:rPr>
          <w:rFonts w:hint="eastAsia" w:ascii="宋体" w:hAnsi="宋体"/>
          <w:b/>
          <w:sz w:val="32"/>
          <w:szCs w:val="32"/>
          <w:highlight w:val="none"/>
        </w:rPr>
        <w:t xml:space="preserve">     乙方（承包人）：【】</w:t>
      </w:r>
    </w:p>
    <w:p>
      <w:pPr>
        <w:spacing w:line="440" w:lineRule="exact"/>
        <w:rPr>
          <w:sz w:val="24"/>
          <w:highlight w:val="none"/>
        </w:rPr>
      </w:pPr>
    </w:p>
    <w:p>
      <w:pPr>
        <w:spacing w:line="440" w:lineRule="exact"/>
        <w:rPr>
          <w:sz w:val="24"/>
          <w:highlight w:val="none"/>
        </w:rPr>
      </w:pPr>
    </w:p>
    <w:p>
      <w:pPr>
        <w:spacing w:line="440" w:lineRule="exact"/>
        <w:jc w:val="center"/>
        <w:rPr>
          <w:b/>
          <w:bCs/>
          <w:sz w:val="24"/>
          <w:highlight w:val="none"/>
        </w:rPr>
      </w:pPr>
      <w:r>
        <w:rPr>
          <w:rFonts w:hint="eastAsia"/>
          <w:b/>
          <w:bCs/>
          <w:sz w:val="24"/>
          <w:highlight w:val="none"/>
        </w:rPr>
        <w:t>年     月佛    山</w:t>
      </w:r>
    </w:p>
    <w:p>
      <w:pPr>
        <w:rPr>
          <w:szCs w:val="21"/>
          <w:highlight w:val="none"/>
          <w:u w:val="single"/>
        </w:rPr>
      </w:pPr>
      <w:r>
        <w:rPr>
          <w:sz w:val="24"/>
          <w:highlight w:val="none"/>
        </w:rPr>
        <w:br w:type="page"/>
      </w:r>
      <w:r>
        <w:rPr>
          <w:rFonts w:hint="eastAsia" w:ascii="宋体" w:hAnsi="宋体"/>
          <w:szCs w:val="21"/>
          <w:highlight w:val="none"/>
        </w:rPr>
        <w:t>甲方（发包单位）：</w:t>
      </w:r>
      <w:r>
        <w:rPr>
          <w:rFonts w:hint="eastAsia" w:ascii="宋体" w:hAnsi="宋体"/>
          <w:color w:val="000000"/>
          <w:szCs w:val="21"/>
          <w:highlight w:val="none"/>
        </w:rPr>
        <w:t>佛山市恒益环保建材有限公司</w:t>
      </w:r>
    </w:p>
    <w:p>
      <w:pPr>
        <w:spacing w:line="560" w:lineRule="exact"/>
        <w:rPr>
          <w:szCs w:val="21"/>
          <w:highlight w:val="none"/>
          <w:u w:val="single"/>
        </w:rPr>
      </w:pPr>
      <w:r>
        <w:rPr>
          <w:rFonts w:hint="eastAsia" w:ascii="宋体" w:hAnsi="宋体"/>
          <w:szCs w:val="21"/>
          <w:highlight w:val="none"/>
        </w:rPr>
        <w:t>地址：佛山市三水区白坭镇临江工业城2号</w:t>
      </w:r>
    </w:p>
    <w:p>
      <w:pPr>
        <w:spacing w:line="560" w:lineRule="exact"/>
        <w:rPr>
          <w:szCs w:val="21"/>
          <w:highlight w:val="none"/>
          <w:u w:val="single"/>
        </w:rPr>
      </w:pPr>
      <w:r>
        <w:rPr>
          <w:rFonts w:hint="eastAsia" w:ascii="宋体" w:hAnsi="宋体"/>
          <w:szCs w:val="21"/>
          <w:highlight w:val="none"/>
        </w:rPr>
        <w:t>联系人：</w:t>
      </w:r>
    </w:p>
    <w:p>
      <w:pPr>
        <w:spacing w:line="560" w:lineRule="exact"/>
        <w:rPr>
          <w:szCs w:val="21"/>
          <w:highlight w:val="none"/>
          <w:u w:val="single"/>
        </w:rPr>
      </w:pPr>
      <w:r>
        <w:rPr>
          <w:rFonts w:hint="eastAsia" w:ascii="宋体" w:hAnsi="宋体"/>
          <w:szCs w:val="21"/>
          <w:highlight w:val="none"/>
        </w:rPr>
        <w:t>电话：</w:t>
      </w:r>
    </w:p>
    <w:p>
      <w:pPr>
        <w:spacing w:line="560" w:lineRule="exact"/>
        <w:rPr>
          <w:szCs w:val="21"/>
          <w:highlight w:val="none"/>
        </w:rPr>
      </w:pPr>
    </w:p>
    <w:p>
      <w:pPr>
        <w:spacing w:line="560" w:lineRule="exact"/>
        <w:rPr>
          <w:szCs w:val="21"/>
          <w:highlight w:val="none"/>
          <w:u w:val="single"/>
        </w:rPr>
      </w:pPr>
      <w:r>
        <w:rPr>
          <w:rFonts w:hint="eastAsia" w:ascii="宋体" w:hAnsi="宋体"/>
          <w:szCs w:val="21"/>
          <w:highlight w:val="none"/>
        </w:rPr>
        <w:t>乙方（承包单位）：</w:t>
      </w:r>
    </w:p>
    <w:p>
      <w:pPr>
        <w:spacing w:line="560" w:lineRule="exact"/>
        <w:rPr>
          <w:szCs w:val="21"/>
          <w:highlight w:val="none"/>
          <w:u w:val="single"/>
        </w:rPr>
      </w:pPr>
      <w:r>
        <w:rPr>
          <w:rFonts w:hint="eastAsia" w:ascii="宋体" w:hAnsi="宋体"/>
          <w:szCs w:val="21"/>
          <w:highlight w:val="none"/>
        </w:rPr>
        <w:t>地址：</w:t>
      </w:r>
    </w:p>
    <w:p>
      <w:pPr>
        <w:spacing w:line="560" w:lineRule="exact"/>
        <w:rPr>
          <w:szCs w:val="21"/>
          <w:highlight w:val="none"/>
          <w:u w:val="single"/>
        </w:rPr>
      </w:pPr>
      <w:r>
        <w:rPr>
          <w:rFonts w:hint="eastAsia" w:ascii="宋体" w:hAnsi="宋体"/>
          <w:szCs w:val="21"/>
          <w:highlight w:val="none"/>
        </w:rPr>
        <w:t>联系人：</w:t>
      </w:r>
    </w:p>
    <w:p>
      <w:pPr>
        <w:spacing w:line="560" w:lineRule="exact"/>
        <w:rPr>
          <w:szCs w:val="21"/>
          <w:highlight w:val="none"/>
          <w:u w:val="single"/>
        </w:rPr>
      </w:pPr>
      <w:r>
        <w:rPr>
          <w:rFonts w:hint="eastAsia" w:ascii="宋体" w:hAnsi="宋体"/>
          <w:szCs w:val="21"/>
          <w:highlight w:val="none"/>
        </w:rPr>
        <w:t>电话：</w:t>
      </w:r>
    </w:p>
    <w:p>
      <w:pPr>
        <w:rPr>
          <w:szCs w:val="21"/>
          <w:highlight w:val="none"/>
        </w:rPr>
      </w:pPr>
    </w:p>
    <w:p>
      <w:pPr>
        <w:spacing w:line="560" w:lineRule="exact"/>
        <w:ind w:firstLine="420" w:firstLineChars="200"/>
        <w:rPr>
          <w:rFonts w:ascii="宋体" w:hAnsi="宋体"/>
          <w:szCs w:val="21"/>
          <w:highlight w:val="none"/>
        </w:rPr>
      </w:pPr>
      <w:r>
        <w:rPr>
          <w:rFonts w:hint="eastAsia" w:ascii="宋体" w:hAnsi="宋体"/>
          <w:szCs w:val="21"/>
          <w:highlight w:val="none"/>
        </w:rPr>
        <w:t>根据《中华人民共和国合同法》及相关法律法规，甲乙双方经平等、自愿、友好协商，就甲方委托乙方承包【佛山市恒益环保建材有限公司加气砌块生产辅助业务外委项目】等相关事宜达成如下条款：</w:t>
      </w:r>
    </w:p>
    <w:p>
      <w:pPr>
        <w:spacing w:line="560" w:lineRule="exact"/>
        <w:ind w:firstLine="413" w:firstLineChars="196"/>
        <w:outlineLvl w:val="0"/>
        <w:rPr>
          <w:rFonts w:ascii="宋体" w:hAnsi="宋体" w:cs="仿宋_GB2312"/>
          <w:b/>
          <w:szCs w:val="21"/>
          <w:highlight w:val="none"/>
        </w:rPr>
      </w:pPr>
      <w:bookmarkStart w:id="404" w:name="_Toc23758"/>
      <w:bookmarkStart w:id="405" w:name="_Toc415668820"/>
      <w:bookmarkStart w:id="406" w:name="_Toc489255301"/>
      <w:bookmarkStart w:id="407" w:name="_Toc30921"/>
      <w:bookmarkStart w:id="408" w:name="_Toc24712"/>
      <w:bookmarkStart w:id="409" w:name="_Toc23339"/>
      <w:r>
        <w:rPr>
          <w:rFonts w:hint="eastAsia" w:ascii="宋体" w:hAnsi="宋体" w:cs="仿宋_GB2312"/>
          <w:b/>
          <w:szCs w:val="21"/>
          <w:highlight w:val="none"/>
        </w:rPr>
        <w:t>一、 业务外包的内容及要求</w:t>
      </w:r>
      <w:bookmarkEnd w:id="404"/>
      <w:bookmarkEnd w:id="405"/>
      <w:bookmarkEnd w:id="406"/>
      <w:bookmarkEnd w:id="407"/>
      <w:bookmarkEnd w:id="408"/>
      <w:bookmarkEnd w:id="409"/>
    </w:p>
    <w:p>
      <w:pPr>
        <w:widowControl/>
        <w:spacing w:line="360" w:lineRule="auto"/>
        <w:ind w:firstLine="522" w:firstLineChars="249"/>
        <w:rPr>
          <w:rFonts w:ascii="宋体" w:hAnsi="宋体"/>
          <w:b/>
          <w:szCs w:val="21"/>
          <w:highlight w:val="none"/>
        </w:rPr>
      </w:pPr>
      <w:r>
        <w:rPr>
          <w:rFonts w:hint="eastAsia" w:ascii="宋体" w:hAnsi="宋体"/>
          <w:szCs w:val="21"/>
          <w:highlight w:val="none"/>
        </w:rPr>
        <w:t>1.生产辅助业务外委</w:t>
      </w:r>
      <w:r>
        <w:rPr>
          <w:rFonts w:ascii="宋体" w:hAnsi="宋体"/>
          <w:szCs w:val="21"/>
          <w:highlight w:val="none"/>
        </w:rPr>
        <w:t>承包内容：</w:t>
      </w:r>
      <w:r>
        <w:rPr>
          <w:rFonts w:hint="eastAsia" w:ascii="宋体" w:hAnsi="宋体"/>
          <w:szCs w:val="21"/>
          <w:highlight w:val="none"/>
        </w:rPr>
        <w:t>生产线辅助业务部分、发货辅助业务、叉运辅助业务、</w:t>
      </w:r>
      <w:r>
        <w:rPr>
          <w:rFonts w:hint="eastAsia" w:ascii="宋体" w:hAnsi="宋体" w:cs="宋体"/>
          <w:color w:val="000000"/>
          <w:kern w:val="0"/>
          <w:szCs w:val="21"/>
          <w:highlight w:val="none"/>
        </w:rPr>
        <w:t>质检辅助业务（内检）</w:t>
      </w:r>
      <w:r>
        <w:rPr>
          <w:rFonts w:hint="eastAsia" w:ascii="宋体" w:hAnsi="宋体"/>
          <w:szCs w:val="21"/>
          <w:highlight w:val="none"/>
        </w:rPr>
        <w:t>、</w:t>
      </w:r>
      <w:r>
        <w:rPr>
          <w:rFonts w:hint="eastAsia" w:ascii="宋体" w:hAnsi="宋体" w:cs="宋体"/>
          <w:color w:val="000000"/>
          <w:kern w:val="0"/>
          <w:szCs w:val="21"/>
          <w:highlight w:val="none"/>
        </w:rPr>
        <w:t>质检辅助业务（外检）、锯场辅助业务、设备检修辅助业务、</w:t>
      </w:r>
      <w:r>
        <w:rPr>
          <w:rFonts w:hint="eastAsia" w:ascii="宋体" w:hAnsi="宋体"/>
          <w:szCs w:val="21"/>
          <w:highlight w:val="none"/>
        </w:rPr>
        <w:t>各业务区域卫生清洁及零星辅助业务（详见附件1业务承包具体工作细则）。</w:t>
      </w:r>
    </w:p>
    <w:p>
      <w:pPr>
        <w:pStyle w:val="210"/>
        <w:spacing w:line="384" w:lineRule="auto"/>
        <w:ind w:firstLine="606" w:firstLineChars="300"/>
        <w:rPr>
          <w:rFonts w:ascii="宋体" w:hAnsi="宋体"/>
          <w:spacing w:val="-4"/>
          <w:szCs w:val="21"/>
          <w:highlight w:val="none"/>
        </w:rPr>
      </w:pPr>
      <w:r>
        <w:rPr>
          <w:rFonts w:hint="eastAsia" w:ascii="宋体" w:hAnsi="宋体"/>
          <w:spacing w:val="-4"/>
          <w:szCs w:val="21"/>
          <w:highlight w:val="none"/>
        </w:rPr>
        <w:t>2.乙方同意承包甲方的生产物料转运等业务，并按照本合同的约定和甲方的要求完成承包的各项业务，</w:t>
      </w:r>
      <w:r>
        <w:rPr>
          <w:rFonts w:ascii="宋体" w:hAnsi="宋体"/>
          <w:spacing w:val="-4"/>
          <w:szCs w:val="21"/>
          <w:highlight w:val="none"/>
        </w:rPr>
        <w:t>除合同另有规定外，</w:t>
      </w:r>
      <w:r>
        <w:rPr>
          <w:rFonts w:hint="eastAsia" w:ascii="宋体" w:hAnsi="宋体"/>
          <w:spacing w:val="-4"/>
          <w:szCs w:val="21"/>
          <w:highlight w:val="none"/>
        </w:rPr>
        <w:t>合同</w:t>
      </w:r>
      <w:r>
        <w:rPr>
          <w:rFonts w:ascii="宋体" w:hAnsi="宋体"/>
          <w:spacing w:val="-4"/>
          <w:szCs w:val="21"/>
          <w:highlight w:val="none"/>
        </w:rPr>
        <w:t>价格在合同实施期间不因市场、材料、人工和政策变化因素而变动</w:t>
      </w:r>
      <w:r>
        <w:rPr>
          <w:rFonts w:hint="eastAsia" w:ascii="宋体" w:hAnsi="宋体"/>
          <w:spacing w:val="-4"/>
          <w:szCs w:val="21"/>
          <w:highlight w:val="none"/>
        </w:rPr>
        <w:t>。</w:t>
      </w:r>
    </w:p>
    <w:p>
      <w:pPr>
        <w:spacing w:line="360" w:lineRule="auto"/>
        <w:ind w:firstLine="457" w:firstLineChars="218"/>
        <w:rPr>
          <w:rFonts w:ascii="宋体" w:hAnsi="宋体" w:cs="仿宋_GB2312"/>
          <w:b/>
          <w:szCs w:val="21"/>
          <w:highlight w:val="none"/>
        </w:rPr>
      </w:pPr>
      <w:r>
        <w:rPr>
          <w:rFonts w:hint="eastAsia" w:ascii="宋体" w:hAnsi="宋体"/>
          <w:szCs w:val="21"/>
          <w:highlight w:val="none"/>
        </w:rPr>
        <w:t>3.本合同为业务承包合同，乙方自行安排人员完成其承包的工作任务，充分履行用人单位职责，乙方人员工资报酬、加班费、社保、工伤等及其他非因甲方原因受到的伤害等均由乙方承担。乙方及其人员之间发生劳动争议或者其他纠纷严重影响本合同承包任务的完成，甲方可解除本合同并要求乙方赔偿因此造成的一切损失。</w:t>
      </w:r>
    </w:p>
    <w:p>
      <w:pPr>
        <w:spacing w:line="360" w:lineRule="auto"/>
        <w:ind w:firstLine="413" w:firstLineChars="196"/>
        <w:outlineLvl w:val="0"/>
        <w:rPr>
          <w:rFonts w:ascii="宋体" w:hAnsi="宋体"/>
          <w:szCs w:val="21"/>
          <w:highlight w:val="none"/>
        </w:rPr>
      </w:pPr>
      <w:bookmarkStart w:id="410" w:name="_Toc415668821"/>
      <w:bookmarkStart w:id="411" w:name="_Toc5270"/>
      <w:bookmarkStart w:id="412" w:name="_Toc489255302"/>
      <w:bookmarkStart w:id="413" w:name="_Toc11399"/>
      <w:bookmarkStart w:id="414" w:name="_Toc5645"/>
      <w:bookmarkStart w:id="415" w:name="_Toc21429"/>
      <w:r>
        <w:rPr>
          <w:rFonts w:hint="eastAsia" w:ascii="宋体" w:hAnsi="宋体" w:cs="仿宋_GB2312"/>
          <w:b/>
          <w:szCs w:val="21"/>
          <w:highlight w:val="none"/>
        </w:rPr>
        <w:t>二、甲方的权利义务</w:t>
      </w:r>
      <w:bookmarkEnd w:id="410"/>
      <w:bookmarkEnd w:id="411"/>
      <w:bookmarkEnd w:id="412"/>
      <w:bookmarkEnd w:id="413"/>
      <w:bookmarkEnd w:id="414"/>
      <w:bookmarkEnd w:id="415"/>
    </w:p>
    <w:p>
      <w:pPr>
        <w:spacing w:line="360" w:lineRule="auto"/>
        <w:ind w:firstLine="411" w:firstLineChars="196"/>
        <w:rPr>
          <w:rFonts w:ascii="宋体" w:hAnsi="宋体"/>
          <w:szCs w:val="21"/>
          <w:highlight w:val="none"/>
        </w:rPr>
      </w:pPr>
      <w:r>
        <w:rPr>
          <w:rFonts w:hint="eastAsia" w:ascii="宋体" w:hAnsi="宋体"/>
          <w:szCs w:val="21"/>
          <w:highlight w:val="none"/>
        </w:rPr>
        <w:t>1.甲方有权对乙方的承包工作进行监督、检查及考核。</w:t>
      </w:r>
      <w:r>
        <w:rPr>
          <w:rFonts w:ascii="宋体" w:hAnsi="宋体"/>
          <w:szCs w:val="21"/>
          <w:highlight w:val="none"/>
        </w:rPr>
        <w:t>具体考核标准见</w:t>
      </w:r>
      <w:r>
        <w:rPr>
          <w:rFonts w:hint="eastAsia" w:ascii="宋体" w:hAnsi="宋体"/>
          <w:szCs w:val="21"/>
          <w:highlight w:val="none"/>
        </w:rPr>
        <w:t>本合同第八条</w:t>
      </w:r>
      <w:r>
        <w:rPr>
          <w:rFonts w:ascii="宋体" w:hAnsi="宋体"/>
          <w:szCs w:val="21"/>
          <w:highlight w:val="none"/>
        </w:rPr>
        <w:t>考核办法。</w:t>
      </w:r>
    </w:p>
    <w:p>
      <w:pPr>
        <w:spacing w:line="360" w:lineRule="auto"/>
        <w:ind w:firstLine="411" w:firstLineChars="196"/>
        <w:rPr>
          <w:rFonts w:ascii="宋体" w:hAnsi="宋体"/>
          <w:szCs w:val="21"/>
          <w:highlight w:val="none"/>
        </w:rPr>
      </w:pPr>
      <w:r>
        <w:rPr>
          <w:rFonts w:hint="eastAsia" w:ascii="宋体" w:hAnsi="宋体"/>
          <w:szCs w:val="21"/>
          <w:highlight w:val="none"/>
        </w:rPr>
        <w:t>2.甲方对不能按本合同要求开展工作的乙方服务人员，有权向乙方提出更换，乙方应当配合。</w:t>
      </w:r>
    </w:p>
    <w:p>
      <w:pPr>
        <w:spacing w:line="360" w:lineRule="auto"/>
        <w:ind w:firstLine="411" w:firstLineChars="196"/>
        <w:rPr>
          <w:rFonts w:ascii="宋体" w:hAnsi="宋体"/>
          <w:spacing w:val="-4"/>
          <w:szCs w:val="21"/>
          <w:highlight w:val="none"/>
        </w:rPr>
      </w:pPr>
      <w:r>
        <w:rPr>
          <w:rFonts w:hint="eastAsia" w:ascii="宋体" w:hAnsi="宋体"/>
          <w:szCs w:val="21"/>
          <w:highlight w:val="none"/>
        </w:rPr>
        <w:t>3.</w:t>
      </w:r>
      <w:r>
        <w:rPr>
          <w:rFonts w:hint="eastAsia" w:ascii="宋体" w:hAnsi="宋体"/>
          <w:spacing w:val="-4"/>
          <w:szCs w:val="21"/>
          <w:highlight w:val="none"/>
        </w:rPr>
        <w:t>乙方依约履行本合同并完成承包业务的，甲方向乙方支付相应的承包费用。</w:t>
      </w:r>
      <w:r>
        <w:rPr>
          <w:rFonts w:ascii="宋体" w:hAnsi="宋体"/>
          <w:spacing w:val="-4"/>
          <w:szCs w:val="21"/>
          <w:highlight w:val="none"/>
        </w:rPr>
        <w:t>除非有明示，否则甲方不负责提供任何业务承包所需设备及物资等。</w:t>
      </w:r>
    </w:p>
    <w:p>
      <w:pPr>
        <w:spacing w:line="360" w:lineRule="auto"/>
        <w:ind w:firstLine="395" w:firstLineChars="196"/>
        <w:rPr>
          <w:rFonts w:ascii="宋体" w:hAnsi="宋体"/>
          <w:szCs w:val="21"/>
          <w:highlight w:val="none"/>
        </w:rPr>
      </w:pPr>
      <w:r>
        <w:rPr>
          <w:rFonts w:hint="eastAsia" w:ascii="宋体" w:hAnsi="宋体"/>
          <w:spacing w:val="-4"/>
          <w:szCs w:val="21"/>
          <w:highlight w:val="none"/>
        </w:rPr>
        <w:t>4.</w:t>
      </w:r>
      <w:r>
        <w:rPr>
          <w:rFonts w:ascii="宋体" w:hAnsi="宋体"/>
          <w:szCs w:val="21"/>
          <w:highlight w:val="none"/>
        </w:rPr>
        <w:t>虽然甲方没有义务提供</w:t>
      </w:r>
      <w:r>
        <w:rPr>
          <w:rFonts w:hint="eastAsia" w:ascii="宋体" w:hAnsi="宋体"/>
          <w:szCs w:val="21"/>
          <w:highlight w:val="none"/>
        </w:rPr>
        <w:t>承包</w:t>
      </w:r>
      <w:r>
        <w:rPr>
          <w:rFonts w:ascii="宋体" w:hAnsi="宋体"/>
          <w:szCs w:val="21"/>
          <w:highlight w:val="none"/>
        </w:rPr>
        <w:t>业务所需设备及物资等，但当乙方在业务承包中使用到甲方的生产设备、生产设施、工具和场地时，甲方有权要求乙方按照相关的安全操作规程及使用手册进行操作和使用，并对乙方人员的上述行为予以指导、监督和检查。且相应的生产设施、设备、工具等的维修、保养需由乙方自行负责，因乙方原因造成损害、遗失的，甲方有权要求赔偿。</w:t>
      </w:r>
    </w:p>
    <w:p>
      <w:pPr>
        <w:spacing w:line="360" w:lineRule="auto"/>
        <w:ind w:firstLine="413" w:firstLineChars="196"/>
        <w:outlineLvl w:val="0"/>
        <w:rPr>
          <w:rFonts w:ascii="宋体" w:hAnsi="宋体"/>
          <w:b/>
          <w:szCs w:val="21"/>
          <w:highlight w:val="none"/>
        </w:rPr>
      </w:pPr>
      <w:bookmarkStart w:id="416" w:name="_Toc25557"/>
      <w:bookmarkStart w:id="417" w:name="_Toc19851"/>
      <w:bookmarkStart w:id="418" w:name="_Toc489255303"/>
      <w:bookmarkStart w:id="419" w:name="_Toc12080"/>
      <w:bookmarkStart w:id="420" w:name="_Toc415668822"/>
      <w:bookmarkStart w:id="421" w:name="_Toc5939"/>
      <w:r>
        <w:rPr>
          <w:rFonts w:hint="eastAsia" w:ascii="宋体" w:hAnsi="宋体"/>
          <w:b/>
          <w:szCs w:val="21"/>
          <w:highlight w:val="none"/>
        </w:rPr>
        <w:t>三、乙方的权利义务</w:t>
      </w:r>
      <w:bookmarkEnd w:id="416"/>
      <w:bookmarkEnd w:id="417"/>
      <w:bookmarkEnd w:id="418"/>
      <w:bookmarkEnd w:id="419"/>
      <w:bookmarkEnd w:id="420"/>
      <w:bookmarkEnd w:id="421"/>
    </w:p>
    <w:p>
      <w:pPr>
        <w:pStyle w:val="210"/>
        <w:numPr>
          <w:ilvl w:val="0"/>
          <w:numId w:val="8"/>
        </w:numPr>
        <w:tabs>
          <w:tab w:val="left" w:pos="0"/>
        </w:tabs>
        <w:spacing w:line="360" w:lineRule="auto"/>
        <w:ind w:left="0" w:firstLine="567" w:firstLineChars="0"/>
        <w:rPr>
          <w:rFonts w:ascii="宋体" w:hAnsi="宋体"/>
          <w:szCs w:val="21"/>
          <w:highlight w:val="none"/>
        </w:rPr>
      </w:pPr>
      <w:r>
        <w:rPr>
          <w:rFonts w:hint="eastAsia" w:ascii="宋体" w:hAnsi="宋体"/>
          <w:szCs w:val="21"/>
          <w:highlight w:val="none"/>
        </w:rPr>
        <w:t>乙方有权根据自己完成的工作量和甲方的考核意见要求甲方支付相应的承包费用。</w:t>
      </w:r>
    </w:p>
    <w:p>
      <w:pPr>
        <w:pStyle w:val="210"/>
        <w:numPr>
          <w:ilvl w:val="0"/>
          <w:numId w:val="8"/>
        </w:numPr>
        <w:tabs>
          <w:tab w:val="left" w:pos="0"/>
        </w:tabs>
        <w:spacing w:line="348" w:lineRule="auto"/>
        <w:ind w:left="0" w:firstLine="567" w:firstLineChars="0"/>
        <w:rPr>
          <w:rFonts w:ascii="宋体" w:hAnsi="宋体"/>
          <w:szCs w:val="21"/>
          <w:highlight w:val="none"/>
        </w:rPr>
      </w:pPr>
      <w:r>
        <w:rPr>
          <w:rFonts w:ascii="宋体" w:hAnsi="宋体"/>
          <w:szCs w:val="21"/>
          <w:highlight w:val="none"/>
        </w:rPr>
        <w:t>乙方及其工作人员违反有关法律法规或承包业务的有关工作要求及操作规范，对甲方正常生产经营活动造成不利影响或者其他经济损失的，甲方有权要求乙方及时纠正并承担相应的赔偿责任；对存在上述行为的乙方人员，甲方有权要求乙方不得安排其参与所承包的业务，乙方也必须按照甲方的要求办理。</w:t>
      </w:r>
    </w:p>
    <w:p>
      <w:pPr>
        <w:pStyle w:val="210"/>
        <w:numPr>
          <w:ilvl w:val="0"/>
          <w:numId w:val="8"/>
        </w:numPr>
        <w:spacing w:line="348" w:lineRule="auto"/>
        <w:ind w:left="0" w:firstLine="567" w:firstLineChars="0"/>
        <w:rPr>
          <w:rFonts w:ascii="宋体" w:hAnsi="宋体"/>
          <w:szCs w:val="21"/>
          <w:highlight w:val="none"/>
        </w:rPr>
      </w:pPr>
      <w:r>
        <w:rPr>
          <w:rFonts w:hint="eastAsia" w:ascii="宋体" w:hAnsi="宋体"/>
          <w:szCs w:val="21"/>
          <w:highlight w:val="none"/>
        </w:rPr>
        <w:t>乙方须按甲方的要求完成各项承包业务，如因乙方原因未能按时足额地完成任务，并影响甲方的正常运营，因此引起的经济损失由乙方负责赔偿。</w:t>
      </w:r>
    </w:p>
    <w:p>
      <w:pPr>
        <w:pStyle w:val="210"/>
        <w:numPr>
          <w:ilvl w:val="0"/>
          <w:numId w:val="8"/>
        </w:numPr>
        <w:spacing w:line="348" w:lineRule="auto"/>
        <w:ind w:left="0" w:firstLine="567" w:firstLineChars="0"/>
        <w:rPr>
          <w:rFonts w:ascii="宋体" w:hAnsi="宋体"/>
          <w:szCs w:val="21"/>
          <w:highlight w:val="none"/>
        </w:rPr>
      </w:pPr>
      <w:r>
        <w:rPr>
          <w:rFonts w:ascii="宋体" w:hAnsi="宋体"/>
          <w:szCs w:val="21"/>
          <w:highlight w:val="none"/>
        </w:rPr>
        <w:t>乙方须按甲方制定的使用规程和要求使用承包范围内属于甲方的设备、设施、工具和场地。乙方必须遵守甲方与承包业务有关的规章制度，乙方人员进入工作现场后不得擅自动用与其岗位工作无关的设备、设施和工具。因违反有关管理规定而造成甲方设备、设施、工具、场地等破坏、损坏或遗失的，乙方须承担赔偿责任。</w:t>
      </w:r>
    </w:p>
    <w:p>
      <w:pPr>
        <w:pStyle w:val="210"/>
        <w:numPr>
          <w:ilvl w:val="0"/>
          <w:numId w:val="8"/>
        </w:numPr>
        <w:spacing w:line="348" w:lineRule="auto"/>
        <w:ind w:left="0" w:firstLine="567" w:firstLineChars="0"/>
        <w:rPr>
          <w:rFonts w:ascii="宋体" w:hAnsi="宋体"/>
          <w:szCs w:val="21"/>
          <w:highlight w:val="none"/>
        </w:rPr>
      </w:pPr>
      <w:r>
        <w:rPr>
          <w:rFonts w:ascii="宋体" w:hAnsi="宋体"/>
          <w:szCs w:val="21"/>
          <w:highlight w:val="none"/>
        </w:rPr>
        <w:t>乙方安排足够的人员并能够胜任所承包的业务；特殊岗位对工作人员有相应资质要求的，乙方安排的员工必须具备相应的资质；如乙方的</w:t>
      </w:r>
      <w:r>
        <w:rPr>
          <w:rFonts w:hint="eastAsia" w:ascii="宋体" w:hAnsi="宋体"/>
          <w:szCs w:val="21"/>
          <w:highlight w:val="none"/>
        </w:rPr>
        <w:t>工作</w:t>
      </w:r>
      <w:r>
        <w:rPr>
          <w:rFonts w:ascii="宋体" w:hAnsi="宋体"/>
          <w:szCs w:val="21"/>
          <w:highlight w:val="none"/>
        </w:rPr>
        <w:t>人员不能按甲方的要求开展工作，经甲方提出，乙方应及时更换合适的</w:t>
      </w:r>
      <w:r>
        <w:rPr>
          <w:rFonts w:hint="eastAsia" w:ascii="宋体" w:hAnsi="宋体"/>
          <w:szCs w:val="21"/>
          <w:highlight w:val="none"/>
        </w:rPr>
        <w:t>工作</w:t>
      </w:r>
      <w:r>
        <w:rPr>
          <w:rFonts w:ascii="宋体" w:hAnsi="宋体"/>
          <w:szCs w:val="21"/>
          <w:highlight w:val="none"/>
        </w:rPr>
        <w:t>人员</w:t>
      </w:r>
      <w:r>
        <w:rPr>
          <w:rFonts w:hint="eastAsia" w:ascii="宋体" w:hAnsi="宋体"/>
          <w:szCs w:val="21"/>
          <w:highlight w:val="none"/>
        </w:rPr>
        <w:t>。</w:t>
      </w:r>
    </w:p>
    <w:p>
      <w:pPr>
        <w:pStyle w:val="210"/>
        <w:numPr>
          <w:ilvl w:val="0"/>
          <w:numId w:val="8"/>
        </w:numPr>
        <w:spacing w:line="348" w:lineRule="auto"/>
        <w:ind w:left="0" w:firstLine="567" w:firstLineChars="0"/>
        <w:rPr>
          <w:rFonts w:ascii="宋体" w:hAnsi="宋体"/>
          <w:szCs w:val="21"/>
          <w:highlight w:val="none"/>
        </w:rPr>
      </w:pPr>
      <w:r>
        <w:rPr>
          <w:rFonts w:ascii="宋体" w:hAnsi="宋体"/>
          <w:szCs w:val="21"/>
          <w:highlight w:val="none"/>
        </w:rPr>
        <w:t>乙方必须保质保量地完成承包业务，配备足够的业务管理人员负责对所承包的业务进行日常管理。</w:t>
      </w:r>
    </w:p>
    <w:p>
      <w:pPr>
        <w:pStyle w:val="210"/>
        <w:numPr>
          <w:ilvl w:val="0"/>
          <w:numId w:val="8"/>
        </w:numPr>
        <w:spacing w:line="348" w:lineRule="auto"/>
        <w:ind w:left="0" w:firstLine="567" w:firstLineChars="0"/>
        <w:rPr>
          <w:rFonts w:ascii="宋体" w:hAnsi="宋体"/>
          <w:szCs w:val="21"/>
          <w:highlight w:val="none"/>
        </w:rPr>
      </w:pPr>
      <w:r>
        <w:rPr>
          <w:rFonts w:ascii="宋体" w:hAnsi="宋体"/>
          <w:szCs w:val="21"/>
          <w:highlight w:val="none"/>
        </w:rPr>
        <w:t>乙方须遵守国家法律法规，建立完善的内部管理制度。乙方保证自身具备履行本合同义务的合法资质和能力，并保证其在本合同项下的履约行为均在中国法律允许的范围内，不侵犯第三方的合法权益。</w:t>
      </w:r>
    </w:p>
    <w:p>
      <w:pPr>
        <w:pStyle w:val="210"/>
        <w:numPr>
          <w:ilvl w:val="0"/>
          <w:numId w:val="8"/>
        </w:numPr>
        <w:spacing w:line="348" w:lineRule="auto"/>
        <w:ind w:hanging="137" w:firstLineChars="0"/>
        <w:rPr>
          <w:rFonts w:ascii="宋体" w:hAnsi="宋体"/>
          <w:szCs w:val="21"/>
          <w:highlight w:val="none"/>
        </w:rPr>
      </w:pPr>
      <w:r>
        <w:rPr>
          <w:rFonts w:ascii="宋体" w:hAnsi="宋体"/>
          <w:szCs w:val="21"/>
          <w:highlight w:val="none"/>
        </w:rPr>
        <w:t>乙方在完成承包业务过程中，应承担安全生产义务具体见安健环协议。</w:t>
      </w:r>
    </w:p>
    <w:p>
      <w:pPr>
        <w:pStyle w:val="210"/>
        <w:numPr>
          <w:ilvl w:val="0"/>
          <w:numId w:val="8"/>
        </w:numPr>
        <w:spacing w:line="348" w:lineRule="auto"/>
        <w:ind w:left="0" w:firstLine="567" w:firstLineChars="0"/>
        <w:rPr>
          <w:rFonts w:ascii="宋体" w:hAnsi="宋体"/>
          <w:szCs w:val="21"/>
          <w:highlight w:val="none"/>
        </w:rPr>
      </w:pPr>
      <w:r>
        <w:rPr>
          <w:rFonts w:ascii="宋体" w:hAnsi="宋体"/>
          <w:szCs w:val="21"/>
          <w:highlight w:val="none"/>
        </w:rPr>
        <w:t>乙方须依法建立完善的内部劳动用工制度，乙方应与其工作人员签署劳动合同，按照劳动合同和法律法规的要求，按标准按时对工作人员发放劳动报酬、支付加班费、按期组织体检、履行用人单位的所有义务，并接受甲方监督。</w:t>
      </w:r>
    </w:p>
    <w:p>
      <w:pPr>
        <w:spacing w:line="348" w:lineRule="auto"/>
        <w:ind w:firstLine="420" w:firstLineChars="200"/>
        <w:rPr>
          <w:rFonts w:ascii="宋体" w:hAnsi="宋体"/>
          <w:szCs w:val="21"/>
          <w:highlight w:val="none"/>
        </w:rPr>
      </w:pPr>
      <w:r>
        <w:rPr>
          <w:rFonts w:hint="eastAsia" w:ascii="宋体" w:hAnsi="宋体"/>
          <w:color w:val="000000"/>
          <w:kern w:val="0"/>
          <w:szCs w:val="21"/>
          <w:highlight w:val="none"/>
        </w:rPr>
        <w:t>10. 如因乙方或乙方服务人员的原因造成甲方或任何第三方遭受人身、财产或名誉损失的，乙方应承担全部责任，并保证甲方免受一切权利主张。</w:t>
      </w:r>
    </w:p>
    <w:p>
      <w:pPr>
        <w:spacing w:line="348" w:lineRule="auto"/>
        <w:ind w:firstLine="420" w:firstLineChars="200"/>
        <w:rPr>
          <w:rFonts w:ascii="宋体" w:hAnsi="宋体"/>
          <w:szCs w:val="21"/>
          <w:highlight w:val="none"/>
        </w:rPr>
      </w:pPr>
      <w:r>
        <w:rPr>
          <w:rFonts w:hint="eastAsia" w:ascii="宋体" w:hAnsi="宋体"/>
          <w:color w:val="000000"/>
          <w:kern w:val="0"/>
          <w:szCs w:val="21"/>
          <w:highlight w:val="none"/>
        </w:rPr>
        <w:t>11. 未经甲方事先书面同意，乙方不得以任何形式将本合同项下全部或部分服务工作转由第三方承担。</w:t>
      </w:r>
    </w:p>
    <w:p>
      <w:pPr>
        <w:tabs>
          <w:tab w:val="left" w:pos="851"/>
        </w:tabs>
        <w:spacing w:line="360" w:lineRule="auto"/>
        <w:ind w:firstLine="420" w:firstLineChars="200"/>
        <w:rPr>
          <w:rFonts w:ascii="宋体" w:hAnsi="宋体"/>
          <w:szCs w:val="21"/>
          <w:highlight w:val="none"/>
        </w:rPr>
      </w:pPr>
      <w:r>
        <w:rPr>
          <w:rFonts w:hint="eastAsia" w:ascii="宋体" w:hAnsi="宋体"/>
          <w:szCs w:val="21"/>
          <w:highlight w:val="none"/>
        </w:rPr>
        <w:t>12. 乙方在完成承包业务过程中，应承担如下的安全生产义务：</w:t>
      </w:r>
    </w:p>
    <w:p>
      <w:pPr>
        <w:tabs>
          <w:tab w:val="left" w:pos="1134"/>
        </w:tabs>
        <w:spacing w:line="360" w:lineRule="auto"/>
        <w:ind w:firstLine="420" w:firstLineChars="200"/>
        <w:rPr>
          <w:rFonts w:ascii="宋体" w:hAnsi="宋体"/>
          <w:szCs w:val="21"/>
          <w:highlight w:val="none"/>
        </w:rPr>
      </w:pPr>
      <w:r>
        <w:rPr>
          <w:rFonts w:hint="eastAsia" w:ascii="宋体" w:hAnsi="宋体"/>
          <w:szCs w:val="21"/>
          <w:highlight w:val="none"/>
        </w:rPr>
        <w:t>12.1 乙方应建立健全承包业务的各项安健环管理制度，定期对工作人员进行安全生产、职业卫生方面的教育和培训，增强员工的安全和健康意识，不定期对工作人员的安全作业情况进行检查。乙方应遵守国家和地区有关劳动保护法律法规，做好职业健康管理工作，对于身体健康状况不适宜承担相应工作的人员，乙方不得安排其在相应岗位工作。</w:t>
      </w:r>
    </w:p>
    <w:p>
      <w:pPr>
        <w:tabs>
          <w:tab w:val="left" w:pos="1134"/>
        </w:tabs>
        <w:spacing w:line="360" w:lineRule="auto"/>
        <w:ind w:firstLine="420" w:firstLineChars="200"/>
        <w:rPr>
          <w:rFonts w:ascii="宋体" w:hAnsi="宋体"/>
          <w:szCs w:val="21"/>
          <w:highlight w:val="none"/>
        </w:rPr>
      </w:pPr>
      <w:r>
        <w:rPr>
          <w:rFonts w:hint="eastAsia" w:ascii="宋体" w:hAnsi="宋体"/>
          <w:szCs w:val="21"/>
          <w:highlight w:val="none"/>
        </w:rPr>
        <w:t>12.2 乙方工作人员在工作中应严格遵守有关安全生产法律法规及甲方、乙方有关安全生产、文明生产规定。如因乙方及其工作人员违反有关安全生产的各种规定而引发安全事故的，由乙方负责，给甲方造成损失的，乙方应予以赔偿。乙方人员因与承包工作有关的各种工伤、非工伤的各种伤亡均与甲方无关，由此而产生一切损害赔偿责任全部由乙方承担。</w:t>
      </w:r>
    </w:p>
    <w:p>
      <w:pPr>
        <w:tabs>
          <w:tab w:val="left" w:pos="1134"/>
        </w:tabs>
        <w:spacing w:line="360" w:lineRule="auto"/>
        <w:ind w:firstLine="420" w:firstLineChars="200"/>
        <w:rPr>
          <w:rFonts w:ascii="宋体" w:hAnsi="宋体"/>
          <w:szCs w:val="21"/>
          <w:highlight w:val="none"/>
        </w:rPr>
      </w:pPr>
      <w:r>
        <w:rPr>
          <w:rFonts w:hint="eastAsia" w:ascii="宋体" w:hAnsi="宋体"/>
          <w:szCs w:val="21"/>
          <w:highlight w:val="none"/>
        </w:rPr>
        <w:t>12.3 乙方应按有关劳动保护的规定为工作人员配备安全及劳动防护用品，并对其佩戴及使用情况予以监督，采取有效措施防止职业病及安全生产事故的发生。乙方工作人员患职业病的，一概由乙方负责解决，若甲方因此遭受损失的，乙方负责赔偿甲方的全部损失。乙方在安排工作人员进场前及退场前，应对其派出的工作人员进行职业病安全检查，并将检查结果交甲方查阅，未及时提交或提供虚假资料的，甲方有权迟延付款，情况严重的，有权单方解除本合同。</w:t>
      </w:r>
    </w:p>
    <w:p>
      <w:pPr>
        <w:tabs>
          <w:tab w:val="left" w:pos="567"/>
          <w:tab w:val="left" w:pos="1134"/>
        </w:tabs>
        <w:spacing w:line="360" w:lineRule="auto"/>
        <w:ind w:firstLine="420" w:firstLineChars="200"/>
        <w:rPr>
          <w:rFonts w:ascii="宋体" w:hAnsi="宋体"/>
          <w:szCs w:val="21"/>
          <w:highlight w:val="none"/>
        </w:rPr>
      </w:pPr>
      <w:r>
        <w:rPr>
          <w:rFonts w:hint="eastAsia" w:ascii="宋体" w:hAnsi="宋体"/>
          <w:szCs w:val="21"/>
          <w:highlight w:val="none"/>
        </w:rPr>
        <w:t>12.4乙方不得指使其工作人员违章作业、冒险作业，并应对其安全生产情况进行监督和检查，发现问题应及时予以纠正。甲方对乙方违反有关安全生产规定的情况有权向乙方提出，乙方应予接受并及时整改。</w:t>
      </w:r>
    </w:p>
    <w:p>
      <w:pPr>
        <w:tabs>
          <w:tab w:val="left" w:pos="1134"/>
        </w:tabs>
        <w:spacing w:line="360" w:lineRule="auto"/>
        <w:ind w:firstLine="420" w:firstLineChars="200"/>
        <w:rPr>
          <w:rFonts w:ascii="宋体" w:hAnsi="宋体"/>
          <w:szCs w:val="21"/>
          <w:highlight w:val="none"/>
        </w:rPr>
      </w:pPr>
      <w:r>
        <w:rPr>
          <w:rFonts w:hint="eastAsia" w:ascii="宋体" w:hAnsi="宋体"/>
          <w:szCs w:val="21"/>
          <w:highlight w:val="none"/>
        </w:rPr>
        <w:t>12.5乙方及其工作人员须遵守甲方有关厂区道路安全制度的管理规定，不得在厂区内驾驶车辆时使用通讯工具及从事其他妨碍安全驾驶的行为。</w:t>
      </w:r>
    </w:p>
    <w:p>
      <w:pPr>
        <w:spacing w:line="348" w:lineRule="auto"/>
        <w:ind w:firstLine="420" w:firstLineChars="200"/>
        <w:rPr>
          <w:rFonts w:ascii="宋体" w:hAnsi="宋体"/>
          <w:szCs w:val="21"/>
          <w:highlight w:val="none"/>
        </w:rPr>
      </w:pPr>
      <w:r>
        <w:rPr>
          <w:rFonts w:hint="eastAsia" w:ascii="宋体" w:hAnsi="宋体"/>
          <w:szCs w:val="21"/>
          <w:highlight w:val="none"/>
        </w:rPr>
        <w:t>13. 乙方应当向甲方提供拟参加本项目人员名单，并经所有拟参加人员的签名确认。人员名单（格式见附件四）中应当包括所有人员的姓名、身份证号码、劳动期限、有效联系方式等内容。</w:t>
      </w:r>
    </w:p>
    <w:p>
      <w:pPr>
        <w:spacing w:line="348" w:lineRule="auto"/>
        <w:ind w:firstLine="420" w:firstLineChars="200"/>
        <w:rPr>
          <w:rFonts w:ascii="宋体" w:hAnsi="宋体"/>
          <w:szCs w:val="21"/>
          <w:highlight w:val="none"/>
        </w:rPr>
      </w:pPr>
      <w:r>
        <w:rPr>
          <w:rFonts w:hint="eastAsia" w:ascii="宋体" w:hAnsi="宋体"/>
          <w:szCs w:val="21"/>
          <w:highlight w:val="none"/>
        </w:rPr>
        <w:t>14. 乙方应当向甲方提供所有拟参加人员与乙方签署的合法有效的劳动合同复印件，不能提供劳动合同复印件的，甲方有权拒绝其参与承包项目。</w:t>
      </w:r>
    </w:p>
    <w:p>
      <w:pPr>
        <w:spacing w:line="348" w:lineRule="auto"/>
        <w:ind w:firstLine="396" w:firstLineChars="200"/>
        <w:rPr>
          <w:rFonts w:ascii="宋体" w:hAnsi="宋体"/>
          <w:spacing w:val="-6"/>
          <w:szCs w:val="21"/>
          <w:highlight w:val="none"/>
        </w:rPr>
      </w:pPr>
      <w:r>
        <w:rPr>
          <w:rFonts w:hint="eastAsia" w:ascii="宋体" w:hAnsi="宋体"/>
          <w:spacing w:val="-6"/>
          <w:szCs w:val="21"/>
          <w:highlight w:val="none"/>
        </w:rPr>
        <w:t>15. 乙方工作人员进场工作时应当签署承包方未曾拖欠其劳动报酬等内容的声明（格式见附件三）。乙方工作人员不按照上述要求签署声明的，甲方有权拒绝其参与承包项目。</w:t>
      </w:r>
    </w:p>
    <w:p>
      <w:pPr>
        <w:spacing w:line="348" w:lineRule="auto"/>
        <w:ind w:firstLine="420" w:firstLineChars="200"/>
        <w:rPr>
          <w:rFonts w:ascii="宋体" w:hAnsi="宋体"/>
          <w:szCs w:val="21"/>
          <w:highlight w:val="none"/>
        </w:rPr>
      </w:pPr>
      <w:r>
        <w:rPr>
          <w:rFonts w:hint="eastAsia" w:ascii="宋体" w:hAnsi="宋体"/>
          <w:szCs w:val="21"/>
          <w:highlight w:val="none"/>
        </w:rPr>
        <w:t>16. 乙方应委派专人负责乙方工作人员的管理。乙方工作人员的劳动合同期限等内容的变动应及时通知甲方，乙方与其工作人员的劳动合同终止的，乙方应及时替换为其他工作人员。乙方工作人员数量和岗位的变动，应当事先取得甲方认可。</w:t>
      </w:r>
    </w:p>
    <w:p>
      <w:pPr>
        <w:spacing w:line="360" w:lineRule="auto"/>
        <w:ind w:firstLine="420" w:firstLineChars="200"/>
        <w:rPr>
          <w:rFonts w:ascii="宋体" w:hAnsi="宋体"/>
          <w:szCs w:val="21"/>
          <w:highlight w:val="none"/>
        </w:rPr>
      </w:pPr>
      <w:r>
        <w:rPr>
          <w:rFonts w:hint="eastAsia" w:ascii="宋体" w:hAnsi="宋体"/>
          <w:szCs w:val="21"/>
          <w:highlight w:val="none"/>
        </w:rPr>
        <w:t>17. 乙方应当每月按时向甲方报送其已为所有工作人员支付劳动报酬、缴纳各项社会保险的证明。</w:t>
      </w:r>
    </w:p>
    <w:p>
      <w:pPr>
        <w:spacing w:line="360" w:lineRule="auto"/>
        <w:ind w:firstLine="420" w:firstLineChars="200"/>
        <w:rPr>
          <w:rFonts w:ascii="宋体" w:hAnsi="宋体"/>
          <w:szCs w:val="21"/>
          <w:highlight w:val="none"/>
        </w:rPr>
      </w:pPr>
      <w:r>
        <w:rPr>
          <w:rFonts w:hint="eastAsia" w:ascii="宋体" w:hAnsi="宋体"/>
          <w:szCs w:val="21"/>
          <w:highlight w:val="none"/>
        </w:rPr>
        <w:t>18. 乙方每个季度应向甲方提交项目承包工作小结，内容应包括项目承包期间的安全运行状况；如遇影响正常生产的紧急情况须立即向甲方报告。</w:t>
      </w:r>
    </w:p>
    <w:p>
      <w:pPr>
        <w:spacing w:line="360" w:lineRule="auto"/>
        <w:ind w:firstLine="413" w:firstLineChars="196"/>
        <w:rPr>
          <w:rFonts w:ascii="宋体" w:hAnsi="宋体" w:cs="仿宋_GB2312"/>
          <w:b/>
          <w:szCs w:val="21"/>
          <w:highlight w:val="none"/>
        </w:rPr>
      </w:pPr>
      <w:r>
        <w:rPr>
          <w:rFonts w:hint="eastAsia" w:ascii="宋体" w:hAnsi="宋体" w:cs="仿宋_GB2312"/>
          <w:b/>
          <w:szCs w:val="21"/>
          <w:highlight w:val="none"/>
        </w:rPr>
        <w:t>四、合同款项及结算方式</w:t>
      </w:r>
    </w:p>
    <w:p>
      <w:pPr>
        <w:pStyle w:val="210"/>
        <w:numPr>
          <w:ilvl w:val="0"/>
          <w:numId w:val="9"/>
        </w:numPr>
        <w:spacing w:line="384" w:lineRule="auto"/>
        <w:ind w:left="709" w:hanging="283" w:firstLineChars="0"/>
        <w:rPr>
          <w:rFonts w:ascii="宋体" w:hAnsi="宋体"/>
          <w:szCs w:val="21"/>
          <w:highlight w:val="none"/>
        </w:rPr>
      </w:pPr>
      <w:r>
        <w:rPr>
          <w:rFonts w:ascii="宋体" w:hAnsi="宋体"/>
          <w:szCs w:val="21"/>
          <w:highlight w:val="none"/>
        </w:rPr>
        <w:t>承包数量</w:t>
      </w:r>
      <w:r>
        <w:rPr>
          <w:rFonts w:hint="eastAsia" w:ascii="宋体" w:hAnsi="宋体"/>
          <w:szCs w:val="21"/>
          <w:highlight w:val="none"/>
        </w:rPr>
        <w:t>及</w:t>
      </w:r>
      <w:r>
        <w:rPr>
          <w:rFonts w:ascii="宋体" w:hAnsi="宋体"/>
          <w:szCs w:val="21"/>
          <w:highlight w:val="none"/>
        </w:rPr>
        <w:t>价格：</w:t>
      </w:r>
    </w:p>
    <w:p>
      <w:pPr>
        <w:pStyle w:val="210"/>
        <w:numPr>
          <w:ilvl w:val="255"/>
          <w:numId w:val="0"/>
        </w:numPr>
        <w:tabs>
          <w:tab w:val="left" w:pos="851"/>
        </w:tabs>
        <w:spacing w:line="384" w:lineRule="auto"/>
        <w:ind w:firstLine="420" w:firstLineChars="200"/>
        <w:rPr>
          <w:rFonts w:ascii="宋体" w:hAnsi="宋体"/>
          <w:szCs w:val="21"/>
          <w:highlight w:val="none"/>
        </w:rPr>
      </w:pPr>
      <w:r>
        <w:rPr>
          <w:rFonts w:hint="eastAsia" w:ascii="宋体" w:hAnsi="宋体"/>
          <w:szCs w:val="21"/>
          <w:highlight w:val="none"/>
        </w:rPr>
        <w:t>1.1物料转运数量约</w:t>
      </w:r>
      <w:r>
        <w:rPr>
          <w:rFonts w:ascii="宋体" w:hAnsi="宋体"/>
          <w:bCs/>
          <w:szCs w:val="21"/>
          <w:highlight w:val="none"/>
          <w:lang w:val="zh-CN"/>
        </w:rPr>
        <w:t>1.65万吨／年</w:t>
      </w:r>
      <w:r>
        <w:rPr>
          <w:rFonts w:hint="eastAsia" w:ascii="宋体" w:hAnsi="宋体"/>
          <w:bCs/>
          <w:szCs w:val="21"/>
          <w:highlight w:val="none"/>
          <w:lang w:val="zh-CN"/>
        </w:rPr>
        <w:t>（其中</w:t>
      </w:r>
      <w:r>
        <w:rPr>
          <w:rFonts w:hint="eastAsia" w:ascii="宋体" w:hAnsi="宋体"/>
          <w:bCs/>
          <w:spacing w:val="-6"/>
          <w:szCs w:val="21"/>
          <w:highlight w:val="none"/>
          <w:lang w:val="zh-CN"/>
        </w:rPr>
        <w:t>转运脱硫石膏</w:t>
      </w:r>
      <w:r>
        <w:rPr>
          <w:rFonts w:ascii="宋体" w:hAnsi="宋体"/>
          <w:bCs/>
          <w:spacing w:val="-6"/>
          <w:szCs w:val="21"/>
          <w:highlight w:val="none"/>
          <w:lang w:val="zh-CN"/>
        </w:rPr>
        <w:t>1.1万吨</w:t>
      </w:r>
      <w:r>
        <w:rPr>
          <w:rFonts w:hint="eastAsia" w:ascii="宋体" w:hAnsi="宋体"/>
          <w:bCs/>
          <w:szCs w:val="21"/>
          <w:highlight w:val="none"/>
          <w:lang w:val="zh-CN"/>
        </w:rPr>
        <w:t>／年</w:t>
      </w:r>
      <w:r>
        <w:rPr>
          <w:rFonts w:hint="eastAsia" w:ascii="宋体" w:hAnsi="宋体"/>
          <w:bCs/>
          <w:spacing w:val="-6"/>
          <w:szCs w:val="21"/>
          <w:highlight w:val="none"/>
          <w:lang w:val="zh-CN"/>
        </w:rPr>
        <w:t>、炉渣</w:t>
      </w:r>
      <w:r>
        <w:rPr>
          <w:rFonts w:ascii="宋体" w:hAnsi="宋体"/>
          <w:bCs/>
          <w:spacing w:val="-6"/>
          <w:szCs w:val="21"/>
          <w:highlight w:val="none"/>
          <w:lang w:val="zh-CN"/>
        </w:rPr>
        <w:t>0.55万吨</w:t>
      </w:r>
      <w:r>
        <w:rPr>
          <w:rFonts w:hint="eastAsia" w:ascii="宋体" w:hAnsi="宋体"/>
          <w:bCs/>
          <w:szCs w:val="21"/>
          <w:highlight w:val="none"/>
          <w:lang w:val="zh-CN"/>
        </w:rPr>
        <w:t>／年），</w:t>
      </w:r>
      <w:r>
        <w:rPr>
          <w:rFonts w:hint="eastAsia" w:ascii="宋体" w:hAnsi="宋体"/>
          <w:szCs w:val="21"/>
          <w:highlight w:val="none"/>
        </w:rPr>
        <w:t>费用按甲方地磅过磅单实际重量结算，含税单价为元/吨，2年预估总金额为     万元。</w:t>
      </w:r>
    </w:p>
    <w:p>
      <w:pPr>
        <w:pStyle w:val="210"/>
        <w:numPr>
          <w:ilvl w:val="255"/>
          <w:numId w:val="0"/>
        </w:numPr>
        <w:tabs>
          <w:tab w:val="left" w:pos="851"/>
        </w:tabs>
        <w:spacing w:line="384" w:lineRule="auto"/>
        <w:ind w:firstLine="420" w:firstLineChars="200"/>
        <w:rPr>
          <w:rFonts w:ascii="宋体" w:hAnsi="宋体"/>
          <w:szCs w:val="21"/>
          <w:highlight w:val="none"/>
        </w:rPr>
      </w:pPr>
      <w:r>
        <w:rPr>
          <w:rFonts w:hint="eastAsia" w:ascii="宋体" w:hAnsi="宋体"/>
          <w:szCs w:val="21"/>
          <w:highlight w:val="none"/>
        </w:rPr>
        <w:t>1.2业务外委数量约</w:t>
      </w:r>
      <w:r>
        <w:rPr>
          <w:rFonts w:ascii="宋体" w:hAnsi="宋体"/>
          <w:bCs/>
          <w:szCs w:val="21"/>
          <w:highlight w:val="none"/>
          <w:lang w:val="zh-CN"/>
        </w:rPr>
        <w:t>30万立方／年</w:t>
      </w:r>
      <w:r>
        <w:rPr>
          <w:rFonts w:hint="eastAsia" w:ascii="宋体" w:hAnsi="宋体"/>
          <w:bCs/>
          <w:szCs w:val="21"/>
          <w:highlight w:val="none"/>
          <w:lang w:val="zh-CN"/>
        </w:rPr>
        <w:t>，</w:t>
      </w:r>
      <w:r>
        <w:rPr>
          <w:rFonts w:hint="eastAsia" w:ascii="宋体" w:hAnsi="宋体"/>
          <w:szCs w:val="21"/>
          <w:highlight w:val="none"/>
        </w:rPr>
        <w:t>费用</w:t>
      </w:r>
      <w:r>
        <w:rPr>
          <w:rFonts w:ascii="宋体" w:hAnsi="宋体"/>
          <w:szCs w:val="21"/>
          <w:highlight w:val="none"/>
        </w:rPr>
        <w:t>按甲方</w:t>
      </w:r>
      <w:r>
        <w:rPr>
          <w:rFonts w:hint="eastAsia" w:ascii="宋体" w:hAnsi="宋体"/>
          <w:szCs w:val="21"/>
          <w:highlight w:val="none"/>
        </w:rPr>
        <w:t>加气</w:t>
      </w:r>
      <w:r>
        <w:rPr>
          <w:rFonts w:ascii="宋体" w:hAnsi="宋体"/>
          <w:szCs w:val="21"/>
          <w:highlight w:val="none"/>
        </w:rPr>
        <w:t>砌块每月实际入库</w:t>
      </w:r>
      <w:r>
        <w:rPr>
          <w:rFonts w:hint="eastAsia" w:ascii="宋体" w:hAnsi="宋体"/>
          <w:szCs w:val="21"/>
          <w:highlight w:val="none"/>
        </w:rPr>
        <w:t>合格品</w:t>
      </w:r>
      <w:r>
        <w:rPr>
          <w:rFonts w:ascii="宋体" w:hAnsi="宋体"/>
          <w:szCs w:val="21"/>
          <w:highlight w:val="none"/>
        </w:rPr>
        <w:t>量计价，</w:t>
      </w:r>
      <w:r>
        <w:rPr>
          <w:rFonts w:hint="eastAsia" w:ascii="宋体" w:hAnsi="宋体"/>
          <w:szCs w:val="21"/>
          <w:highlight w:val="none"/>
        </w:rPr>
        <w:t>含税</w:t>
      </w:r>
      <w:r>
        <w:rPr>
          <w:rFonts w:ascii="宋体" w:hAnsi="宋体"/>
          <w:szCs w:val="21"/>
          <w:highlight w:val="none"/>
        </w:rPr>
        <w:t>单价为元/立方</w:t>
      </w:r>
      <w:r>
        <w:rPr>
          <w:rFonts w:hint="eastAsia" w:ascii="宋体" w:hAnsi="宋体"/>
          <w:szCs w:val="21"/>
          <w:highlight w:val="none"/>
        </w:rPr>
        <w:t>；2年预估总金额为     万元。</w:t>
      </w:r>
      <w:r>
        <w:rPr>
          <w:rFonts w:ascii="宋体" w:hAnsi="宋体"/>
          <w:szCs w:val="21"/>
          <w:highlight w:val="none"/>
        </w:rPr>
        <w:t>每月实际入库</w:t>
      </w:r>
      <w:r>
        <w:rPr>
          <w:rFonts w:hint="eastAsia" w:ascii="宋体" w:hAnsi="宋体"/>
          <w:szCs w:val="21"/>
          <w:highlight w:val="none"/>
        </w:rPr>
        <w:t>次品量按合格品结算单价的</w:t>
      </w:r>
      <w:r>
        <w:rPr>
          <w:rFonts w:ascii="宋体" w:hAnsi="宋体"/>
          <w:szCs w:val="21"/>
          <w:highlight w:val="none"/>
        </w:rPr>
        <w:t>50%</w:t>
      </w:r>
      <w:r>
        <w:rPr>
          <w:rFonts w:hint="eastAsia" w:ascii="宋体" w:hAnsi="宋体"/>
          <w:szCs w:val="21"/>
          <w:highlight w:val="none"/>
        </w:rPr>
        <w:t>计价。</w:t>
      </w:r>
    </w:p>
    <w:p>
      <w:pPr>
        <w:pStyle w:val="210"/>
        <w:numPr>
          <w:ilvl w:val="255"/>
          <w:numId w:val="0"/>
        </w:numPr>
        <w:tabs>
          <w:tab w:val="left" w:pos="851"/>
        </w:tabs>
        <w:spacing w:line="384" w:lineRule="auto"/>
        <w:ind w:firstLine="420" w:firstLineChars="200"/>
        <w:rPr>
          <w:rFonts w:ascii="宋体" w:hAnsi="宋体"/>
          <w:szCs w:val="21"/>
          <w:highlight w:val="none"/>
        </w:rPr>
      </w:pPr>
      <w:r>
        <w:rPr>
          <w:rFonts w:hint="eastAsia" w:ascii="宋体" w:hAnsi="宋体"/>
          <w:szCs w:val="21"/>
          <w:highlight w:val="none"/>
        </w:rPr>
        <w:t>1.3 如遇国家调整增值税税率，按不含税价款不变的原则调整含税价款，调价公式为：原含税价/（1+原税率）*（1+新税率））。（如乙方不能开具增值税发票，则取消该条款）</w:t>
      </w:r>
    </w:p>
    <w:p>
      <w:pPr>
        <w:pStyle w:val="210"/>
        <w:numPr>
          <w:ilvl w:val="0"/>
          <w:numId w:val="9"/>
        </w:numPr>
        <w:tabs>
          <w:tab w:val="left" w:pos="709"/>
        </w:tabs>
        <w:spacing w:line="384" w:lineRule="auto"/>
        <w:ind w:hanging="278" w:firstLineChars="0"/>
        <w:rPr>
          <w:rFonts w:ascii="宋体" w:hAnsi="宋体"/>
          <w:szCs w:val="21"/>
          <w:highlight w:val="none"/>
        </w:rPr>
      </w:pPr>
      <w:r>
        <w:rPr>
          <w:rFonts w:ascii="宋体" w:hAnsi="宋体"/>
          <w:szCs w:val="21"/>
          <w:highlight w:val="none"/>
        </w:rPr>
        <w:t>结算方式：</w:t>
      </w:r>
    </w:p>
    <w:p>
      <w:pPr>
        <w:pStyle w:val="210"/>
        <w:numPr>
          <w:ilvl w:val="1"/>
          <w:numId w:val="9"/>
        </w:numPr>
        <w:tabs>
          <w:tab w:val="left" w:pos="0"/>
        </w:tabs>
        <w:spacing w:line="384" w:lineRule="auto"/>
        <w:ind w:left="2" w:firstLine="367" w:firstLineChars="175"/>
        <w:rPr>
          <w:rFonts w:ascii="宋体" w:hAnsi="宋体"/>
          <w:szCs w:val="21"/>
          <w:highlight w:val="none"/>
        </w:rPr>
      </w:pPr>
      <w:r>
        <w:rPr>
          <w:rFonts w:ascii="宋体" w:hAnsi="宋体"/>
          <w:szCs w:val="21"/>
          <w:highlight w:val="none"/>
        </w:rPr>
        <w:t>每月26日8时为月度结算点，在结算点后甲方对乙方当月完成业务的情况进行考核，并根据考核意见和实际入库成品量及计费标准进行结算，双方确认结算</w:t>
      </w:r>
      <w:r>
        <w:rPr>
          <w:rFonts w:hint="eastAsia" w:ascii="宋体" w:hAnsi="宋体"/>
          <w:szCs w:val="21"/>
          <w:highlight w:val="none"/>
        </w:rPr>
        <w:t>数量和</w:t>
      </w:r>
      <w:r>
        <w:rPr>
          <w:rFonts w:ascii="宋体" w:hAnsi="宋体"/>
          <w:szCs w:val="21"/>
          <w:highlight w:val="none"/>
        </w:rPr>
        <w:t>金额，乙方开具</w:t>
      </w:r>
      <w:r>
        <w:rPr>
          <w:rFonts w:hint="eastAsia" w:ascii="宋体" w:hAnsi="宋体"/>
          <w:szCs w:val="21"/>
          <w:highlight w:val="none"/>
        </w:rPr>
        <w:t>合法有效发票</w:t>
      </w:r>
      <w:r>
        <w:rPr>
          <w:rFonts w:ascii="宋体" w:hAnsi="宋体"/>
          <w:szCs w:val="21"/>
          <w:highlight w:val="none"/>
        </w:rPr>
        <w:t>给</w:t>
      </w:r>
      <w:r>
        <w:rPr>
          <w:rFonts w:hint="eastAsia" w:ascii="宋体" w:hAnsi="宋体"/>
          <w:szCs w:val="21"/>
          <w:highlight w:val="none"/>
        </w:rPr>
        <w:t>甲</w:t>
      </w:r>
      <w:r>
        <w:rPr>
          <w:rFonts w:ascii="宋体" w:hAnsi="宋体"/>
          <w:szCs w:val="21"/>
          <w:highlight w:val="none"/>
        </w:rPr>
        <w:t>方，</w:t>
      </w:r>
      <w:r>
        <w:rPr>
          <w:rFonts w:hint="eastAsia" w:ascii="宋体" w:hAnsi="宋体"/>
          <w:szCs w:val="21"/>
          <w:highlight w:val="none"/>
        </w:rPr>
        <w:t>甲</w:t>
      </w:r>
      <w:r>
        <w:rPr>
          <w:rFonts w:ascii="宋体" w:hAnsi="宋体"/>
          <w:szCs w:val="21"/>
          <w:highlight w:val="none"/>
        </w:rPr>
        <w:t>方</w:t>
      </w:r>
      <w:r>
        <w:rPr>
          <w:rFonts w:hint="eastAsia" w:ascii="宋体" w:hAnsi="宋体"/>
          <w:szCs w:val="21"/>
          <w:highlight w:val="none"/>
        </w:rPr>
        <w:t>收到发票并</w:t>
      </w:r>
      <w:r>
        <w:rPr>
          <w:rFonts w:ascii="宋体" w:hAnsi="宋体"/>
          <w:szCs w:val="21"/>
          <w:highlight w:val="none"/>
        </w:rPr>
        <w:t>确认结算金额后结清上月</w:t>
      </w:r>
      <w:r>
        <w:rPr>
          <w:rFonts w:hint="eastAsia" w:ascii="宋体" w:hAnsi="宋体"/>
          <w:szCs w:val="21"/>
          <w:highlight w:val="none"/>
        </w:rPr>
        <w:t>款项</w:t>
      </w:r>
      <w:r>
        <w:rPr>
          <w:rFonts w:ascii="宋体" w:hAnsi="宋体"/>
          <w:szCs w:val="21"/>
          <w:highlight w:val="none"/>
        </w:rPr>
        <w:t>，逾期应负违约责任</w:t>
      </w:r>
      <w:r>
        <w:rPr>
          <w:rFonts w:hint="eastAsia" w:ascii="宋体" w:hAnsi="宋体"/>
          <w:szCs w:val="21"/>
          <w:highlight w:val="none"/>
        </w:rPr>
        <w:t>。</w:t>
      </w:r>
    </w:p>
    <w:p>
      <w:pPr>
        <w:pStyle w:val="210"/>
        <w:numPr>
          <w:ilvl w:val="1"/>
          <w:numId w:val="9"/>
        </w:numPr>
        <w:tabs>
          <w:tab w:val="left" w:pos="851"/>
        </w:tabs>
        <w:spacing w:line="384" w:lineRule="auto"/>
        <w:ind w:left="-2" w:leftChars="-1" w:firstLine="371" w:firstLineChars="177"/>
        <w:rPr>
          <w:rFonts w:ascii="宋体" w:hAnsi="宋体"/>
          <w:szCs w:val="21"/>
          <w:highlight w:val="none"/>
        </w:rPr>
      </w:pPr>
      <w:r>
        <w:rPr>
          <w:rFonts w:ascii="宋体" w:hAnsi="宋体"/>
          <w:szCs w:val="21"/>
          <w:highlight w:val="none"/>
        </w:rPr>
        <w:t>若乙方存在违约行为且未处理完毕的，甲方有权暂停支付承包费。</w:t>
      </w:r>
    </w:p>
    <w:p>
      <w:pPr>
        <w:pStyle w:val="210"/>
        <w:numPr>
          <w:ilvl w:val="1"/>
          <w:numId w:val="9"/>
        </w:numPr>
        <w:tabs>
          <w:tab w:val="left" w:pos="851"/>
        </w:tabs>
        <w:spacing w:line="384" w:lineRule="auto"/>
        <w:ind w:left="0" w:firstLine="371" w:firstLineChars="177"/>
        <w:rPr>
          <w:rFonts w:ascii="宋体" w:hAnsi="宋体"/>
          <w:szCs w:val="21"/>
          <w:highlight w:val="none"/>
        </w:rPr>
      </w:pPr>
      <w:r>
        <w:rPr>
          <w:rFonts w:ascii="宋体" w:hAnsi="宋体"/>
          <w:szCs w:val="21"/>
          <w:highlight w:val="none"/>
        </w:rPr>
        <w:t>在乙方无违法违约的情况下，甲方收到乙方开具的等额合法税务发票后，在10个工作日内向乙方支付本合同约定的承包费用。如因乙方未能准时、准确提供发票而造成付款延误，不属甲方违约。</w:t>
      </w:r>
    </w:p>
    <w:p>
      <w:pPr>
        <w:pStyle w:val="210"/>
        <w:numPr>
          <w:ilvl w:val="1"/>
          <w:numId w:val="9"/>
        </w:numPr>
        <w:tabs>
          <w:tab w:val="left" w:pos="851"/>
        </w:tabs>
        <w:spacing w:line="384" w:lineRule="auto"/>
        <w:ind w:left="-2" w:leftChars="-1" w:firstLine="371" w:firstLineChars="177"/>
        <w:rPr>
          <w:rFonts w:ascii="宋体" w:hAnsi="宋体"/>
          <w:szCs w:val="21"/>
          <w:highlight w:val="none"/>
        </w:rPr>
      </w:pPr>
      <w:r>
        <w:rPr>
          <w:rFonts w:hint="eastAsia" w:ascii="宋体" w:hAnsi="宋体"/>
          <w:szCs w:val="21"/>
          <w:highlight w:val="none"/>
        </w:rPr>
        <w:t>除此之外就本合同甲方无需支付其他任何费用。</w:t>
      </w:r>
    </w:p>
    <w:p>
      <w:pPr>
        <w:pStyle w:val="210"/>
        <w:numPr>
          <w:ilvl w:val="0"/>
          <w:numId w:val="9"/>
        </w:numPr>
        <w:tabs>
          <w:tab w:val="left" w:pos="709"/>
        </w:tabs>
        <w:spacing w:line="384" w:lineRule="auto"/>
        <w:ind w:hanging="278" w:firstLineChars="0"/>
        <w:rPr>
          <w:rFonts w:ascii="宋体" w:hAnsi="宋体"/>
          <w:szCs w:val="21"/>
          <w:highlight w:val="none"/>
        </w:rPr>
      </w:pPr>
      <w:r>
        <w:rPr>
          <w:rFonts w:ascii="宋体" w:hAnsi="宋体"/>
          <w:szCs w:val="21"/>
          <w:highlight w:val="none"/>
        </w:rPr>
        <w:t>甲方支付乙方的费用均通过银行转账方式汇入乙方指定的如下账户：</w:t>
      </w:r>
    </w:p>
    <w:p>
      <w:pPr>
        <w:pStyle w:val="226"/>
        <w:spacing w:line="360" w:lineRule="auto"/>
        <w:ind w:firstLine="420" w:firstLineChars="200"/>
        <w:rPr>
          <w:rFonts w:ascii="宋体" w:hAnsi="宋体" w:eastAsia="宋体" w:cs="Times New Roman"/>
          <w:sz w:val="21"/>
          <w:szCs w:val="21"/>
          <w:highlight w:val="none"/>
        </w:rPr>
      </w:pPr>
      <w:r>
        <w:rPr>
          <w:rFonts w:ascii="宋体" w:hAnsi="宋体" w:eastAsia="宋体" w:cs="Times New Roman"/>
          <w:sz w:val="21"/>
          <w:szCs w:val="21"/>
          <w:highlight w:val="none"/>
        </w:rPr>
        <w:t>收款人：</w:t>
      </w:r>
    </w:p>
    <w:p>
      <w:pPr>
        <w:pStyle w:val="226"/>
        <w:spacing w:line="360" w:lineRule="auto"/>
        <w:ind w:firstLine="420" w:firstLineChars="200"/>
        <w:rPr>
          <w:rFonts w:ascii="宋体" w:hAnsi="宋体" w:eastAsia="宋体" w:cs="Times New Roman"/>
          <w:sz w:val="21"/>
          <w:szCs w:val="21"/>
          <w:highlight w:val="none"/>
          <w:u w:val="single"/>
        </w:rPr>
      </w:pPr>
      <w:r>
        <w:rPr>
          <w:rFonts w:ascii="宋体" w:hAnsi="宋体" w:eastAsia="宋体" w:cs="Times New Roman"/>
          <w:sz w:val="21"/>
          <w:szCs w:val="21"/>
          <w:highlight w:val="none"/>
        </w:rPr>
        <w:t>开户行：</w:t>
      </w:r>
    </w:p>
    <w:p>
      <w:pPr>
        <w:pStyle w:val="226"/>
        <w:spacing w:line="360" w:lineRule="auto"/>
        <w:ind w:firstLine="420" w:firstLineChars="200"/>
        <w:rPr>
          <w:rFonts w:ascii="宋体" w:hAnsi="宋体" w:eastAsia="宋体" w:cs="Times New Roman"/>
          <w:sz w:val="21"/>
          <w:szCs w:val="21"/>
          <w:highlight w:val="none"/>
        </w:rPr>
      </w:pPr>
      <w:r>
        <w:rPr>
          <w:rFonts w:ascii="宋体" w:hAnsi="宋体" w:eastAsia="宋体" w:cs="Times New Roman"/>
          <w:sz w:val="21"/>
          <w:szCs w:val="21"/>
          <w:highlight w:val="none"/>
        </w:rPr>
        <w:t>账号：</w:t>
      </w:r>
    </w:p>
    <w:p>
      <w:pPr>
        <w:pStyle w:val="226"/>
        <w:tabs>
          <w:tab w:val="left" w:pos="709"/>
        </w:tabs>
        <w:spacing w:line="360" w:lineRule="auto"/>
        <w:ind w:firstLine="404" w:firstLineChars="200"/>
        <w:rPr>
          <w:rFonts w:ascii="宋体" w:hAnsi="宋体" w:eastAsia="宋体" w:cs="Times New Roman"/>
          <w:spacing w:val="-4"/>
          <w:sz w:val="21"/>
          <w:szCs w:val="21"/>
          <w:highlight w:val="none"/>
        </w:rPr>
      </w:pPr>
      <w:r>
        <w:rPr>
          <w:rFonts w:ascii="宋体" w:hAnsi="宋体" w:eastAsia="宋体" w:cs="Times New Roman"/>
          <w:spacing w:val="-4"/>
          <w:sz w:val="21"/>
          <w:szCs w:val="21"/>
          <w:highlight w:val="none"/>
        </w:rPr>
        <w:t xml:space="preserve">甲方向上述账户汇出款项即为已经向乙方履行本合同约定的付款义务，如因乙方账户被查封、冻结、注销等非甲方原因导致乙方未能收到款项的，责任由乙方自行承担。 </w:t>
      </w:r>
    </w:p>
    <w:p>
      <w:pPr>
        <w:spacing w:line="360" w:lineRule="auto"/>
        <w:ind w:firstLine="457" w:firstLineChars="218"/>
        <w:rPr>
          <w:highlight w:val="none"/>
        </w:rPr>
      </w:pPr>
      <w:r>
        <w:rPr>
          <w:rFonts w:ascii="宋体" w:hAnsi="宋体"/>
          <w:color w:val="333333"/>
          <w:szCs w:val="21"/>
          <w:highlight w:val="none"/>
        </w:rPr>
        <w:t>甲方有权要求乙方每月将人员工资总数如实上报至甲方。</w:t>
      </w:r>
    </w:p>
    <w:p>
      <w:pPr>
        <w:tabs>
          <w:tab w:val="left" w:pos="720"/>
        </w:tabs>
        <w:spacing w:line="360" w:lineRule="auto"/>
        <w:ind w:firstLine="460" w:firstLineChars="218"/>
        <w:rPr>
          <w:rFonts w:ascii="宋体" w:hAnsi="宋体"/>
          <w:b/>
          <w:szCs w:val="21"/>
          <w:highlight w:val="none"/>
        </w:rPr>
      </w:pPr>
      <w:r>
        <w:rPr>
          <w:rFonts w:hint="eastAsia" w:ascii="宋体" w:hAnsi="宋体"/>
          <w:b/>
          <w:szCs w:val="21"/>
          <w:highlight w:val="none"/>
        </w:rPr>
        <w:t>五、合同关系</w:t>
      </w:r>
    </w:p>
    <w:p>
      <w:pPr>
        <w:tabs>
          <w:tab w:val="left" w:pos="720"/>
        </w:tabs>
        <w:spacing w:line="360" w:lineRule="auto"/>
        <w:ind w:firstLine="457" w:firstLineChars="218"/>
        <w:rPr>
          <w:rFonts w:ascii="宋体" w:hAnsi="宋体"/>
          <w:szCs w:val="21"/>
          <w:highlight w:val="none"/>
        </w:rPr>
      </w:pPr>
      <w:r>
        <w:rPr>
          <w:rFonts w:hint="eastAsia" w:ascii="宋体" w:hAnsi="宋体"/>
          <w:szCs w:val="21"/>
          <w:highlight w:val="none"/>
        </w:rPr>
        <w:t>1. 甲乙双方之间属于业务外包合作关系，而非任何代理、合伙、雇佣、劳务派遣或其他关系。</w:t>
      </w:r>
    </w:p>
    <w:p>
      <w:pPr>
        <w:tabs>
          <w:tab w:val="left" w:pos="720"/>
        </w:tabs>
        <w:spacing w:line="360" w:lineRule="auto"/>
        <w:ind w:firstLine="457" w:firstLineChars="218"/>
        <w:rPr>
          <w:rFonts w:ascii="宋体" w:hAnsi="宋体"/>
          <w:szCs w:val="21"/>
          <w:highlight w:val="none"/>
        </w:rPr>
      </w:pPr>
      <w:r>
        <w:rPr>
          <w:rFonts w:hint="eastAsia" w:ascii="宋体" w:hAnsi="宋体"/>
          <w:szCs w:val="21"/>
          <w:highlight w:val="none"/>
        </w:rPr>
        <w:t>2. 乙方应当将甲乙双方之间的业务外包合作关系提前告知服务人员，要求服务人员签署确认函，确认本项目的服务人员与甲方不存在任何劳动、雇佣、用工关系，并将该确认函原件一份交甲方保管，否则视为乙方违约。</w:t>
      </w:r>
    </w:p>
    <w:p>
      <w:pPr>
        <w:tabs>
          <w:tab w:val="left" w:pos="720"/>
        </w:tabs>
        <w:spacing w:line="360" w:lineRule="auto"/>
        <w:ind w:firstLine="457" w:firstLineChars="218"/>
        <w:rPr>
          <w:rFonts w:ascii="宋体" w:hAnsi="宋体"/>
          <w:szCs w:val="21"/>
          <w:highlight w:val="none"/>
        </w:rPr>
      </w:pPr>
      <w:r>
        <w:rPr>
          <w:rFonts w:hint="eastAsia" w:ascii="宋体" w:hAnsi="宋体"/>
          <w:szCs w:val="21"/>
          <w:highlight w:val="none"/>
        </w:rPr>
        <w:t>3. 乙方应在本合同约定服务开始前【3】个工作日，将其与作业人员签订的劳动合同原件一份交甲方存档备查，劳动合同中应告知作业人员将要工作的场所可能存在着盐酸、硫酸、氨、联氨、氢氧化钠、工频电场、噪声、粉尘、高温等职业病危害因素及其他职业危害因素。如防护不当，可能对他们的健康造成损害，并请他们履行以下义务：</w:t>
      </w:r>
    </w:p>
    <w:p>
      <w:pPr>
        <w:tabs>
          <w:tab w:val="left" w:pos="720"/>
        </w:tabs>
        <w:spacing w:line="360" w:lineRule="auto"/>
        <w:ind w:firstLine="457" w:firstLineChars="218"/>
        <w:rPr>
          <w:rFonts w:ascii="宋体" w:hAnsi="宋体"/>
          <w:szCs w:val="21"/>
          <w:highlight w:val="none"/>
        </w:rPr>
      </w:pPr>
      <w:r>
        <w:rPr>
          <w:rFonts w:hint="eastAsia" w:ascii="宋体" w:hAnsi="宋体"/>
          <w:szCs w:val="21"/>
          <w:highlight w:val="none"/>
        </w:rPr>
        <w:t>(1)、严格遵守工作场所的管理制度和操作规程；</w:t>
      </w:r>
    </w:p>
    <w:p>
      <w:pPr>
        <w:tabs>
          <w:tab w:val="left" w:pos="720"/>
        </w:tabs>
        <w:spacing w:line="360" w:lineRule="auto"/>
        <w:ind w:firstLine="457" w:firstLineChars="218"/>
        <w:rPr>
          <w:rFonts w:ascii="宋体" w:hAnsi="宋体"/>
          <w:szCs w:val="21"/>
          <w:highlight w:val="none"/>
        </w:rPr>
      </w:pPr>
      <w:r>
        <w:rPr>
          <w:rFonts w:hint="eastAsia" w:ascii="宋体" w:hAnsi="宋体"/>
          <w:szCs w:val="21"/>
          <w:highlight w:val="none"/>
        </w:rPr>
        <w:t>(2)、正确使用维护职业病防护设施和个人职业病防护用品；</w:t>
      </w:r>
    </w:p>
    <w:p>
      <w:pPr>
        <w:tabs>
          <w:tab w:val="left" w:pos="720"/>
        </w:tabs>
        <w:spacing w:line="360" w:lineRule="auto"/>
        <w:ind w:firstLine="457" w:firstLineChars="218"/>
        <w:rPr>
          <w:rFonts w:ascii="宋体" w:hAnsi="宋体"/>
          <w:szCs w:val="21"/>
          <w:highlight w:val="none"/>
        </w:rPr>
      </w:pPr>
      <w:r>
        <w:rPr>
          <w:rFonts w:hint="eastAsia" w:ascii="宋体" w:hAnsi="宋体"/>
          <w:szCs w:val="21"/>
          <w:highlight w:val="none"/>
        </w:rPr>
        <w:t>(3)、积极参加职业卫生知识培训；</w:t>
      </w:r>
    </w:p>
    <w:p>
      <w:pPr>
        <w:tabs>
          <w:tab w:val="left" w:pos="720"/>
        </w:tabs>
        <w:spacing w:line="360" w:lineRule="auto"/>
        <w:ind w:firstLine="457" w:firstLineChars="218"/>
        <w:rPr>
          <w:rFonts w:ascii="宋体" w:hAnsi="宋体"/>
          <w:szCs w:val="21"/>
          <w:highlight w:val="none"/>
        </w:rPr>
      </w:pPr>
      <w:r>
        <w:rPr>
          <w:rFonts w:hint="eastAsia" w:ascii="宋体" w:hAnsi="宋体"/>
          <w:szCs w:val="21"/>
          <w:highlight w:val="none"/>
        </w:rPr>
        <w:t>(4)、定期参加职业性健康体检，并按要求完成所有项目的检查。</w:t>
      </w:r>
    </w:p>
    <w:p>
      <w:pPr>
        <w:tabs>
          <w:tab w:val="left" w:pos="720"/>
        </w:tabs>
        <w:spacing w:line="360" w:lineRule="auto"/>
        <w:ind w:firstLine="457" w:firstLineChars="218"/>
        <w:rPr>
          <w:rFonts w:ascii="宋体" w:hAnsi="宋体"/>
          <w:szCs w:val="21"/>
          <w:highlight w:val="none"/>
        </w:rPr>
      </w:pPr>
      <w:r>
        <w:rPr>
          <w:rFonts w:hint="eastAsia" w:ascii="宋体" w:hAnsi="宋体"/>
          <w:szCs w:val="21"/>
          <w:highlight w:val="none"/>
        </w:rPr>
        <w:t>同时，乙方应在每个月【5】日前，将其上个月为服务人员参加社保、工伤保险、公积金（如有）的缴费记录和证明文件复印件交甲方存档备查，否则视为乙方违约。</w:t>
      </w:r>
    </w:p>
    <w:p>
      <w:pPr>
        <w:tabs>
          <w:tab w:val="left" w:pos="720"/>
        </w:tabs>
        <w:spacing w:line="360" w:lineRule="auto"/>
        <w:ind w:firstLine="457" w:firstLineChars="218"/>
        <w:rPr>
          <w:rFonts w:ascii="宋体" w:hAnsi="宋体"/>
          <w:szCs w:val="21"/>
          <w:highlight w:val="none"/>
        </w:rPr>
      </w:pPr>
      <w:r>
        <w:rPr>
          <w:rFonts w:hint="eastAsia" w:ascii="宋体" w:hAnsi="宋体" w:cs="仿宋_GB2312"/>
          <w:bCs/>
          <w:color w:val="000000"/>
          <w:kern w:val="0"/>
          <w:highlight w:val="none"/>
        </w:rPr>
        <w:t>4. 乙方承诺其供应的产品或技术或服务等不受任何第三方的知识产权等权利主张，若出现第三方主张权利的，由乙方负责处理并承担一切责任，甲方有权根据情况解除本合同并要求乙方赔偿造成的一切损失（包括但不限于第三方赔偿，律师费、诉讼费及调查费用等）。</w:t>
      </w:r>
    </w:p>
    <w:p>
      <w:pPr>
        <w:tabs>
          <w:tab w:val="left" w:pos="720"/>
        </w:tabs>
        <w:spacing w:line="360" w:lineRule="auto"/>
        <w:ind w:firstLine="460" w:firstLineChars="218"/>
        <w:rPr>
          <w:rFonts w:ascii="宋体" w:hAnsi="宋体"/>
          <w:b/>
          <w:szCs w:val="21"/>
          <w:highlight w:val="none"/>
        </w:rPr>
      </w:pPr>
      <w:r>
        <w:rPr>
          <w:rFonts w:hint="eastAsia" w:ascii="宋体" w:hAnsi="宋体"/>
          <w:b/>
          <w:szCs w:val="21"/>
          <w:highlight w:val="none"/>
        </w:rPr>
        <w:t>六、违约责任</w:t>
      </w:r>
    </w:p>
    <w:p>
      <w:pPr>
        <w:pStyle w:val="210"/>
        <w:numPr>
          <w:ilvl w:val="0"/>
          <w:numId w:val="10"/>
        </w:numPr>
        <w:spacing w:line="348" w:lineRule="auto"/>
        <w:ind w:left="0" w:firstLine="567" w:firstLineChars="0"/>
        <w:rPr>
          <w:rFonts w:ascii="宋体" w:hAnsi="宋体"/>
          <w:szCs w:val="21"/>
          <w:highlight w:val="none"/>
        </w:rPr>
      </w:pPr>
      <w:r>
        <w:rPr>
          <w:rFonts w:ascii="宋体" w:hAnsi="宋体"/>
          <w:szCs w:val="21"/>
          <w:highlight w:val="none"/>
        </w:rPr>
        <w:t>甲方有权对乙方的承包业务进行检查、考核。</w:t>
      </w:r>
      <w:r>
        <w:rPr>
          <w:rFonts w:hint="eastAsia" w:ascii="宋体" w:hAnsi="宋体"/>
          <w:szCs w:val="21"/>
          <w:highlight w:val="none"/>
        </w:rPr>
        <w:t>具体考核标准见甲方相关考核办法。</w:t>
      </w:r>
      <w:r>
        <w:rPr>
          <w:rFonts w:ascii="宋体" w:hAnsi="宋体"/>
          <w:szCs w:val="21"/>
          <w:highlight w:val="none"/>
        </w:rPr>
        <w:t>当乙方累计应扣减的承包费用已经或预计超过其应得的承包费用时，甲方有权单方解除本合同，并按本合同扣减承包费用。</w:t>
      </w:r>
      <w:r>
        <w:rPr>
          <w:rFonts w:hint="eastAsia" w:ascii="宋体" w:hAnsi="宋体"/>
          <w:szCs w:val="21"/>
          <w:highlight w:val="none"/>
        </w:rPr>
        <w:t>如发生扣除乙方履约保证金事项、或履约保证金未及时补回足额的、或履约保证金被扣除完的，甲方有权单方面解除合同。</w:t>
      </w:r>
    </w:p>
    <w:p>
      <w:pPr>
        <w:pStyle w:val="210"/>
        <w:numPr>
          <w:ilvl w:val="0"/>
          <w:numId w:val="10"/>
        </w:numPr>
        <w:spacing w:line="348" w:lineRule="auto"/>
        <w:ind w:left="0" w:firstLine="492" w:firstLineChars="244"/>
        <w:rPr>
          <w:rFonts w:ascii="宋体" w:hAnsi="宋体"/>
          <w:spacing w:val="-4"/>
          <w:szCs w:val="21"/>
          <w:highlight w:val="none"/>
        </w:rPr>
      </w:pPr>
      <w:r>
        <w:rPr>
          <w:rFonts w:ascii="宋体" w:hAnsi="宋体"/>
          <w:spacing w:val="-4"/>
          <w:szCs w:val="21"/>
          <w:highlight w:val="none"/>
        </w:rPr>
        <w:t>乙方因违反有关规定给甲方造成重大财产损失或者因不能顺利完成所承包的业务而影响甲方正常生产经营活动的，甲方有权单方面解除本合同并向乙方主张相应赔偿。</w:t>
      </w:r>
    </w:p>
    <w:p>
      <w:pPr>
        <w:pStyle w:val="210"/>
        <w:numPr>
          <w:ilvl w:val="0"/>
          <w:numId w:val="10"/>
        </w:numPr>
        <w:spacing w:line="348" w:lineRule="auto"/>
        <w:ind w:left="-2" w:leftChars="-1" w:firstLine="451" w:firstLineChars="215"/>
        <w:rPr>
          <w:rFonts w:ascii="宋体" w:hAnsi="宋体"/>
          <w:szCs w:val="21"/>
          <w:highlight w:val="none"/>
        </w:rPr>
      </w:pPr>
      <w:r>
        <w:rPr>
          <w:rFonts w:ascii="宋体" w:hAnsi="宋体"/>
          <w:szCs w:val="21"/>
          <w:highlight w:val="none"/>
        </w:rPr>
        <w:t>因乙方原因</w:t>
      </w:r>
      <w:r>
        <w:rPr>
          <w:rFonts w:hint="eastAsia" w:ascii="宋体" w:hAnsi="宋体"/>
          <w:szCs w:val="21"/>
          <w:highlight w:val="none"/>
        </w:rPr>
        <w:t>未与工人签订劳动合同、</w:t>
      </w:r>
      <w:r>
        <w:rPr>
          <w:rFonts w:ascii="宋体" w:hAnsi="宋体"/>
          <w:szCs w:val="21"/>
          <w:highlight w:val="none"/>
        </w:rPr>
        <w:t>拖欠工人劳动报酬、未缴纳社保等，甲方一经发现，有权立即解除本合同，由此造成的一切经济损失由乙方承担。</w:t>
      </w:r>
    </w:p>
    <w:p>
      <w:pPr>
        <w:pStyle w:val="210"/>
        <w:numPr>
          <w:ilvl w:val="0"/>
          <w:numId w:val="10"/>
        </w:numPr>
        <w:spacing w:line="348" w:lineRule="auto"/>
        <w:ind w:left="-2" w:leftChars="-1" w:firstLine="450" w:firstLineChars="223"/>
        <w:rPr>
          <w:rFonts w:ascii="宋体" w:hAnsi="宋体"/>
          <w:spacing w:val="-4"/>
          <w:szCs w:val="21"/>
          <w:highlight w:val="none"/>
        </w:rPr>
      </w:pPr>
      <w:r>
        <w:rPr>
          <w:rFonts w:ascii="宋体" w:hAnsi="宋体"/>
          <w:spacing w:val="-4"/>
          <w:szCs w:val="21"/>
          <w:highlight w:val="none"/>
        </w:rPr>
        <w:t>甲方有权对乙方进行业务</w:t>
      </w:r>
      <w:r>
        <w:rPr>
          <w:rFonts w:hint="eastAsia" w:ascii="宋体" w:hAnsi="宋体"/>
          <w:spacing w:val="-4"/>
          <w:szCs w:val="21"/>
          <w:highlight w:val="none"/>
        </w:rPr>
        <w:t>承包</w:t>
      </w:r>
      <w:r>
        <w:rPr>
          <w:rFonts w:ascii="宋体" w:hAnsi="宋体"/>
          <w:spacing w:val="-4"/>
          <w:szCs w:val="21"/>
          <w:highlight w:val="none"/>
        </w:rPr>
        <w:t>时的安全、环保状况进行检查、考核。</w:t>
      </w:r>
    </w:p>
    <w:p>
      <w:pPr>
        <w:pStyle w:val="210"/>
        <w:numPr>
          <w:ilvl w:val="0"/>
          <w:numId w:val="10"/>
        </w:numPr>
        <w:spacing w:line="348" w:lineRule="auto"/>
        <w:ind w:left="1" w:firstLine="451" w:firstLineChars="215"/>
        <w:rPr>
          <w:rFonts w:ascii="宋体" w:hAnsi="宋体"/>
          <w:szCs w:val="21"/>
          <w:highlight w:val="none"/>
        </w:rPr>
      </w:pPr>
      <w:r>
        <w:rPr>
          <w:rFonts w:ascii="宋体" w:hAnsi="宋体"/>
          <w:szCs w:val="21"/>
          <w:highlight w:val="none"/>
        </w:rPr>
        <w:t>甲方应</w:t>
      </w:r>
      <w:r>
        <w:rPr>
          <w:rFonts w:hint="eastAsia" w:ascii="宋体" w:hAnsi="宋体"/>
          <w:szCs w:val="21"/>
          <w:highlight w:val="none"/>
        </w:rPr>
        <w:t>按</w:t>
      </w:r>
      <w:r>
        <w:rPr>
          <w:rFonts w:ascii="宋体" w:hAnsi="宋体"/>
          <w:szCs w:val="21"/>
          <w:highlight w:val="none"/>
        </w:rPr>
        <w:t>合同约定向乙方支付承包费用，逾期未支付的，按应付未付款项的银行同期存款利率向乙方计付违约金。</w:t>
      </w:r>
    </w:p>
    <w:p>
      <w:pPr>
        <w:pStyle w:val="210"/>
        <w:numPr>
          <w:ilvl w:val="0"/>
          <w:numId w:val="10"/>
        </w:numPr>
        <w:spacing w:line="348" w:lineRule="auto"/>
        <w:ind w:left="1" w:firstLine="451" w:firstLineChars="215"/>
        <w:rPr>
          <w:rFonts w:ascii="宋体" w:hAnsi="宋体"/>
          <w:szCs w:val="21"/>
          <w:highlight w:val="none"/>
        </w:rPr>
      </w:pPr>
      <w:r>
        <w:rPr>
          <w:rFonts w:ascii="宋体" w:hAnsi="宋体"/>
          <w:color w:val="000000"/>
          <w:szCs w:val="21"/>
          <w:highlight w:val="none"/>
        </w:rPr>
        <w:t>如遇自然灾害等</w:t>
      </w:r>
      <w:r>
        <w:rPr>
          <w:rFonts w:hint="eastAsia" w:ascii="宋体" w:hAnsi="宋体"/>
          <w:color w:val="000000"/>
          <w:szCs w:val="21"/>
          <w:highlight w:val="none"/>
        </w:rPr>
        <w:t>不可抗力</w:t>
      </w:r>
      <w:r>
        <w:rPr>
          <w:rFonts w:ascii="宋体" w:hAnsi="宋体"/>
          <w:color w:val="000000"/>
          <w:szCs w:val="21"/>
          <w:highlight w:val="none"/>
        </w:rPr>
        <w:t>因素</w:t>
      </w:r>
      <w:r>
        <w:rPr>
          <w:rFonts w:hint="eastAsia" w:ascii="宋体" w:hAnsi="宋体"/>
          <w:color w:val="000000"/>
          <w:szCs w:val="21"/>
          <w:highlight w:val="none"/>
        </w:rPr>
        <w:t>及</w:t>
      </w:r>
      <w:r>
        <w:rPr>
          <w:rFonts w:ascii="宋体" w:hAnsi="宋体"/>
          <w:color w:val="000000"/>
          <w:szCs w:val="21"/>
          <w:highlight w:val="none"/>
        </w:rPr>
        <w:t>国家相关政策调整、</w:t>
      </w:r>
      <w:r>
        <w:rPr>
          <w:rFonts w:hint="eastAsia" w:ascii="宋体" w:hAnsi="宋体"/>
          <w:color w:val="000000"/>
          <w:szCs w:val="21"/>
          <w:highlight w:val="none"/>
        </w:rPr>
        <w:t>甲方运营的实际需要等</w:t>
      </w:r>
      <w:r>
        <w:rPr>
          <w:rFonts w:ascii="宋体" w:hAnsi="宋体"/>
          <w:color w:val="000000"/>
          <w:szCs w:val="21"/>
          <w:highlight w:val="none"/>
        </w:rPr>
        <w:t>而导致本合同无法继续履行的，则</w:t>
      </w:r>
      <w:r>
        <w:rPr>
          <w:rFonts w:hint="eastAsia" w:ascii="宋体" w:hAnsi="宋体"/>
          <w:color w:val="000000"/>
          <w:szCs w:val="21"/>
          <w:highlight w:val="none"/>
        </w:rPr>
        <w:t>甲方可单方解除</w:t>
      </w:r>
      <w:r>
        <w:rPr>
          <w:rFonts w:ascii="宋体" w:hAnsi="宋体"/>
          <w:color w:val="000000"/>
          <w:szCs w:val="21"/>
          <w:highlight w:val="none"/>
        </w:rPr>
        <w:t>本合同，由此而产生的各种损失由双方当事人依据</w:t>
      </w:r>
      <w:r>
        <w:rPr>
          <w:rFonts w:ascii="宋体" w:hAnsi="宋体"/>
          <w:szCs w:val="21"/>
          <w:highlight w:val="none"/>
        </w:rPr>
        <w:t>法律法规和本合同的约定各自承担。</w:t>
      </w:r>
    </w:p>
    <w:p>
      <w:pPr>
        <w:pStyle w:val="210"/>
        <w:numPr>
          <w:ilvl w:val="0"/>
          <w:numId w:val="10"/>
        </w:numPr>
        <w:spacing w:line="348" w:lineRule="auto"/>
        <w:ind w:left="1" w:firstLine="451" w:firstLineChars="215"/>
        <w:rPr>
          <w:rFonts w:ascii="宋体" w:hAnsi="宋体"/>
          <w:szCs w:val="21"/>
          <w:highlight w:val="none"/>
        </w:rPr>
      </w:pPr>
      <w:r>
        <w:rPr>
          <w:rFonts w:hint="eastAsia" w:ascii="宋体" w:hAnsi="宋体"/>
          <w:szCs w:val="21"/>
          <w:highlight w:val="none"/>
        </w:rPr>
        <w:t>乙方未按本合同第五条第3项提交劳动合同的，甲方有权不予乙方人员进场，乙方在10日内仍未能按约提交所有劳动合同的，甲方有权终止本合同。</w:t>
      </w:r>
    </w:p>
    <w:p>
      <w:pPr>
        <w:spacing w:line="360" w:lineRule="auto"/>
        <w:ind w:firstLine="457" w:firstLineChars="218"/>
        <w:rPr>
          <w:rFonts w:ascii="宋体" w:hAnsi="宋体"/>
          <w:szCs w:val="21"/>
          <w:highlight w:val="none"/>
        </w:rPr>
      </w:pPr>
      <w:r>
        <w:rPr>
          <w:rFonts w:hint="eastAsia" w:ascii="宋体" w:hAnsi="宋体"/>
          <w:color w:val="000000"/>
          <w:szCs w:val="21"/>
          <w:highlight w:val="none"/>
        </w:rPr>
        <w:t>除上述规定外，乙方违反合同的其他约定或存在损害甲方利益的其他行为的，甲方有权视情形要求乙方支付一定数额的违约金，情节严重的，甲方可单方解除合同，及要求乙方赔偿由此给甲方造成的损失。</w:t>
      </w:r>
    </w:p>
    <w:p>
      <w:pPr>
        <w:spacing w:line="360" w:lineRule="auto"/>
        <w:ind w:firstLine="460" w:firstLineChars="218"/>
        <w:rPr>
          <w:rFonts w:ascii="宋体" w:hAnsi="宋体"/>
          <w:b/>
          <w:szCs w:val="21"/>
          <w:highlight w:val="none"/>
        </w:rPr>
      </w:pPr>
      <w:r>
        <w:rPr>
          <w:rFonts w:hint="eastAsia" w:ascii="宋体" w:hAnsi="宋体"/>
          <w:b/>
          <w:szCs w:val="21"/>
          <w:highlight w:val="none"/>
        </w:rPr>
        <w:t>七、履约保证金</w:t>
      </w:r>
    </w:p>
    <w:p>
      <w:pPr>
        <w:pStyle w:val="210"/>
        <w:numPr>
          <w:ilvl w:val="0"/>
          <w:numId w:val="11"/>
        </w:numPr>
        <w:spacing w:line="360" w:lineRule="auto"/>
        <w:ind w:left="0" w:firstLine="567" w:firstLineChars="0"/>
        <w:rPr>
          <w:rFonts w:ascii="宋体" w:hAnsi="宋体"/>
          <w:szCs w:val="21"/>
          <w:highlight w:val="none"/>
        </w:rPr>
      </w:pPr>
      <w:r>
        <w:rPr>
          <w:rFonts w:hint="eastAsia" w:ascii="宋体" w:hAnsi="宋体"/>
          <w:szCs w:val="21"/>
          <w:highlight w:val="none"/>
        </w:rPr>
        <w:t>为确保乙方依约履行本合同的各项义务，乙方在合同签订5个工作日内应通过转账方式向甲方缴纳</w:t>
      </w:r>
      <w:r>
        <w:rPr>
          <w:rFonts w:hint="eastAsia" w:ascii="宋体" w:hAnsi="宋体"/>
          <w:szCs w:val="21"/>
          <w:highlight w:val="none"/>
          <w:u w:val="single"/>
        </w:rPr>
        <w:t>人民币65万元履约保证金（大写：陆拾伍万元整）</w:t>
      </w:r>
      <w:r>
        <w:rPr>
          <w:rFonts w:hint="eastAsia" w:ascii="宋体" w:hAnsi="宋体"/>
          <w:szCs w:val="21"/>
          <w:highlight w:val="none"/>
        </w:rPr>
        <w:t>，</w:t>
      </w:r>
      <w:r>
        <w:rPr>
          <w:rFonts w:hint="eastAsia" w:ascii="宋体" w:hAnsi="宋体"/>
          <w:bCs/>
          <w:szCs w:val="21"/>
          <w:highlight w:val="none"/>
        </w:rPr>
        <w:t>否则甲方有权终止合同。</w:t>
      </w:r>
      <w:r>
        <w:rPr>
          <w:rFonts w:hint="eastAsia" w:ascii="宋体" w:hAnsi="宋体"/>
          <w:szCs w:val="21"/>
          <w:highlight w:val="none"/>
        </w:rPr>
        <w:t>当乙方出现本合同项下的违约情形或其履行合同时造成甲方损失的，甲方可在履约保证金中扣除相关违约金及赔偿金，不足部分，甲方仍有权向乙方追索。甲方对履约保证金进行扣除后，乙方应自扣除之日起5个工作日内补缴被扣除的保证金，以使甲方所持有的履约保证金数额保持不变。</w:t>
      </w:r>
    </w:p>
    <w:p>
      <w:pPr>
        <w:pStyle w:val="210"/>
        <w:numPr>
          <w:ilvl w:val="0"/>
          <w:numId w:val="11"/>
        </w:numPr>
        <w:spacing w:line="360" w:lineRule="auto"/>
        <w:ind w:left="0" w:firstLine="567" w:firstLineChars="0"/>
        <w:rPr>
          <w:rFonts w:ascii="宋体" w:hAnsi="宋体"/>
          <w:szCs w:val="21"/>
          <w:highlight w:val="none"/>
        </w:rPr>
      </w:pPr>
      <w:r>
        <w:rPr>
          <w:rFonts w:hint="eastAsia" w:ascii="宋体" w:hAnsi="宋体"/>
          <w:szCs w:val="21"/>
          <w:highlight w:val="none"/>
        </w:rPr>
        <w:t>合同有效期满后，</w:t>
      </w:r>
      <w:r>
        <w:rPr>
          <w:rFonts w:ascii="宋体" w:hAnsi="宋体"/>
          <w:szCs w:val="21"/>
          <w:highlight w:val="none"/>
        </w:rPr>
        <w:t>如乙方未完全履行合同或双方存在合同纠纷尚未完全得到解决，或者乙方进场工作人员与乙方的劳动争议尚未得到完全解决，履约保证金的有效期应延长到合同履行完毕或合同纠纷最终解决且双方所有债权债务结清、以及乙方进场工作人员与乙方的劳动争议得到完全解决时止。如乙方无发生违规情况或已处理好违规情况的，甲方应在1个月内将履约保证金余额不计息返还乙方。</w:t>
      </w:r>
    </w:p>
    <w:p>
      <w:pPr>
        <w:pStyle w:val="210"/>
        <w:numPr>
          <w:ilvl w:val="0"/>
          <w:numId w:val="11"/>
        </w:numPr>
        <w:spacing w:line="360" w:lineRule="auto"/>
        <w:ind w:hanging="333" w:firstLineChars="0"/>
        <w:rPr>
          <w:rFonts w:ascii="宋体" w:hAnsi="宋体"/>
          <w:szCs w:val="21"/>
          <w:highlight w:val="none"/>
        </w:rPr>
      </w:pPr>
      <w:r>
        <w:rPr>
          <w:rFonts w:hint="eastAsia" w:ascii="宋体" w:hAnsi="宋体"/>
          <w:szCs w:val="21"/>
          <w:highlight w:val="none"/>
        </w:rPr>
        <w:t>甲方接收履约保证金的银行账户信息如下：</w:t>
      </w:r>
    </w:p>
    <w:p>
      <w:pPr>
        <w:autoSpaceDE w:val="0"/>
        <w:autoSpaceDN w:val="0"/>
        <w:adjustRightInd w:val="0"/>
        <w:spacing w:line="360" w:lineRule="auto"/>
        <w:ind w:firstLine="420" w:firstLineChars="200"/>
        <w:rPr>
          <w:rFonts w:ascii="宋体" w:hAnsi="宋体"/>
          <w:szCs w:val="21"/>
          <w:highlight w:val="none"/>
          <w:lang w:val="zh-CN"/>
        </w:rPr>
      </w:pPr>
      <w:r>
        <w:rPr>
          <w:rFonts w:ascii="宋体" w:hAnsi="宋体"/>
          <w:szCs w:val="21"/>
          <w:highlight w:val="none"/>
          <w:lang w:val="zh-CN"/>
        </w:rPr>
        <w:t>收款人：佛山市恒益环保建材有限公司</w:t>
      </w:r>
    </w:p>
    <w:p>
      <w:pPr>
        <w:widowControl/>
        <w:tabs>
          <w:tab w:val="left" w:pos="-9463"/>
          <w:tab w:val="left" w:pos="720"/>
        </w:tabs>
        <w:snapToGrid w:val="0"/>
        <w:spacing w:line="360" w:lineRule="auto"/>
        <w:ind w:firstLine="420" w:firstLineChars="200"/>
        <w:rPr>
          <w:rFonts w:ascii="宋体" w:hAnsi="宋体"/>
          <w:b/>
          <w:bCs/>
          <w:color w:val="FF0000"/>
          <w:spacing w:val="-18"/>
          <w:szCs w:val="21"/>
          <w:highlight w:val="none"/>
        </w:rPr>
      </w:pPr>
      <w:r>
        <w:rPr>
          <w:rFonts w:hint="eastAsia" w:ascii="宋体" w:hAnsi="宋体"/>
          <w:bCs/>
          <w:szCs w:val="21"/>
          <w:highlight w:val="none"/>
        </w:rPr>
        <w:t>开户银行：工行佛山南海丹灶支行</w:t>
      </w:r>
    </w:p>
    <w:p>
      <w:pPr>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bCs/>
          <w:szCs w:val="21"/>
          <w:highlight w:val="none"/>
        </w:rPr>
        <w:t>账号：</w:t>
      </w:r>
      <w:r>
        <w:rPr>
          <w:rFonts w:ascii="宋体" w:hAnsi="宋体"/>
          <w:bCs/>
          <w:szCs w:val="21"/>
          <w:highlight w:val="none"/>
        </w:rPr>
        <w:t xml:space="preserve"> 2013024409200036018</w:t>
      </w:r>
    </w:p>
    <w:p>
      <w:pPr>
        <w:pStyle w:val="210"/>
        <w:numPr>
          <w:ilvl w:val="0"/>
          <w:numId w:val="11"/>
        </w:numPr>
        <w:spacing w:line="360" w:lineRule="auto"/>
        <w:ind w:hanging="333" w:firstLineChars="0"/>
        <w:rPr>
          <w:rFonts w:ascii="宋体" w:hAnsi="宋体"/>
          <w:szCs w:val="21"/>
          <w:highlight w:val="none"/>
        </w:rPr>
      </w:pPr>
      <w:r>
        <w:rPr>
          <w:rFonts w:hint="eastAsia" w:ascii="宋体" w:hAnsi="宋体"/>
          <w:szCs w:val="21"/>
          <w:highlight w:val="none"/>
        </w:rPr>
        <w:t>乙方如有以下情形之一的，甲方有权扣除乙方履约保证金：</w:t>
      </w:r>
    </w:p>
    <w:p>
      <w:pPr>
        <w:pStyle w:val="210"/>
        <w:numPr>
          <w:ilvl w:val="1"/>
          <w:numId w:val="11"/>
        </w:numPr>
        <w:tabs>
          <w:tab w:val="left" w:pos="993"/>
        </w:tabs>
        <w:spacing w:line="360" w:lineRule="auto"/>
        <w:ind w:left="0" w:firstLine="567" w:firstLineChars="0"/>
        <w:rPr>
          <w:rFonts w:ascii="宋体" w:hAnsi="宋体"/>
          <w:szCs w:val="21"/>
          <w:highlight w:val="none"/>
        </w:rPr>
      </w:pPr>
      <w:r>
        <w:rPr>
          <w:rFonts w:ascii="宋体" w:hAnsi="宋体"/>
          <w:szCs w:val="21"/>
          <w:highlight w:val="none"/>
        </w:rPr>
        <w:t>在本合同承包业务范围内，乙方违反本合同的约定未与乙方工作人员签署劳动合同、未按时足额向乙方工作人员发放劳动报酬、未依法为其工作人员购买五项保险（养老保险、医疗保险、工伤保险、失业保险、生</w:t>
      </w:r>
      <w:r>
        <w:rPr>
          <w:rFonts w:hint="eastAsia" w:ascii="宋体" w:hAnsi="宋体"/>
          <w:szCs w:val="21"/>
          <w:highlight w:val="none"/>
        </w:rPr>
        <w:t>育</w:t>
      </w:r>
      <w:r>
        <w:rPr>
          <w:rFonts w:ascii="宋体" w:hAnsi="宋体"/>
          <w:szCs w:val="21"/>
          <w:highlight w:val="none"/>
        </w:rPr>
        <w:t>保险）和团体商业意外险的、或未按期组织其工作人员进行职业病健康体检的、或未组织其工作人员进行特殊工种上岗培训取证的，以及乙方工作人员劳动合同终止后乙方未依法给予其足额经济补偿的，甲方有权按照乙方履行上述义务所应支出的相应费用的200%扣除乙方履约保证金。若因以上事件发生纠纷而影响本合同承包业务的，甲方有权终止合同。</w:t>
      </w:r>
    </w:p>
    <w:p>
      <w:pPr>
        <w:pStyle w:val="210"/>
        <w:numPr>
          <w:ilvl w:val="1"/>
          <w:numId w:val="11"/>
        </w:numPr>
        <w:tabs>
          <w:tab w:val="left" w:pos="993"/>
        </w:tabs>
        <w:spacing w:line="360" w:lineRule="auto"/>
        <w:ind w:left="0" w:firstLine="567" w:firstLineChars="0"/>
        <w:rPr>
          <w:rFonts w:ascii="宋体" w:hAnsi="宋体"/>
          <w:szCs w:val="21"/>
          <w:highlight w:val="none"/>
        </w:rPr>
      </w:pPr>
      <w:r>
        <w:rPr>
          <w:rFonts w:ascii="宋体" w:hAnsi="宋体"/>
          <w:szCs w:val="21"/>
          <w:highlight w:val="none"/>
        </w:rPr>
        <w:t>在本合同承包业务范围内，乙方工作人员的住宿和工作餐由乙方负责，乙方如未履行，甲方有权按照乙方履行该义务所应支出的相应费用的200%扣除乙方履约保证金；若乙方未履行该义务而对完成承包业务造成不利影响的，甲方有权另行扣除乙方10%的履约保证金，造成严重不利影响或可能导致本合同无法顺利履行的，甲方有权终止合同。</w:t>
      </w:r>
    </w:p>
    <w:p>
      <w:pPr>
        <w:spacing w:line="360" w:lineRule="auto"/>
        <w:ind w:firstLine="420" w:firstLineChars="200"/>
        <w:rPr>
          <w:rFonts w:ascii="宋体" w:hAnsi="宋体"/>
          <w:szCs w:val="21"/>
          <w:highlight w:val="none"/>
        </w:rPr>
      </w:pPr>
      <w:r>
        <w:rPr>
          <w:rFonts w:hint="eastAsia" w:ascii="宋体" w:hAnsi="宋体"/>
          <w:szCs w:val="21"/>
          <w:highlight w:val="none"/>
        </w:rPr>
        <w:t>4.3乙方未能按本合同约定条款进行而影响承包业务的正常开展的，甲方有权根据甲方损失金额的100%扣除乙方履约保证金。</w:t>
      </w:r>
    </w:p>
    <w:p>
      <w:pPr>
        <w:tabs>
          <w:tab w:val="left" w:pos="993"/>
        </w:tabs>
        <w:spacing w:line="360" w:lineRule="auto"/>
        <w:ind w:firstLine="420" w:firstLineChars="200"/>
        <w:rPr>
          <w:rFonts w:ascii="宋体" w:hAnsi="宋体"/>
          <w:szCs w:val="21"/>
          <w:highlight w:val="none"/>
        </w:rPr>
      </w:pPr>
      <w:r>
        <w:rPr>
          <w:rFonts w:hint="eastAsia" w:ascii="宋体" w:hAnsi="宋体"/>
          <w:szCs w:val="21"/>
          <w:highlight w:val="none"/>
        </w:rPr>
        <w:t>4.4乙方在完成承包业务的过程中造成甲方设备、设施、工具、场地等损坏或遗失而未及时赔偿的，甲方可按照乙方应予赔偿的数额扣除履约保证金。</w:t>
      </w:r>
    </w:p>
    <w:p>
      <w:pPr>
        <w:spacing w:line="360" w:lineRule="auto"/>
        <w:ind w:firstLine="457" w:firstLineChars="218"/>
        <w:rPr>
          <w:rFonts w:ascii="宋体" w:hAnsi="宋体"/>
          <w:szCs w:val="21"/>
          <w:highlight w:val="none"/>
        </w:rPr>
      </w:pPr>
      <w:r>
        <w:rPr>
          <w:rFonts w:hint="eastAsia" w:ascii="宋体" w:hAnsi="宋体"/>
          <w:szCs w:val="21"/>
          <w:highlight w:val="none"/>
        </w:rPr>
        <w:t>4.5</w:t>
      </w:r>
      <w:r>
        <w:rPr>
          <w:rFonts w:hint="eastAsia" w:ascii="宋体" w:hAnsi="宋体"/>
          <w:spacing w:val="-4"/>
          <w:szCs w:val="21"/>
          <w:highlight w:val="none"/>
        </w:rPr>
        <w:t>本合同的签署和履行并不导致甲方与乙方人员之间产生雇佣关系或事实劳动关系或任何其他劳动关系，若发生任何导致甲方对乙方人员进行赔偿、补偿或支付费用的情形的，乙方应赔偿甲方因此导致的全部损失，甲方有权在履约保证金内直接扣除。</w:t>
      </w:r>
    </w:p>
    <w:p>
      <w:pPr>
        <w:spacing w:line="384" w:lineRule="auto"/>
        <w:ind w:firstLine="422" w:firstLineChars="200"/>
        <w:rPr>
          <w:rFonts w:ascii="宋体" w:hAnsi="宋体"/>
          <w:b/>
          <w:szCs w:val="21"/>
          <w:highlight w:val="none"/>
        </w:rPr>
      </w:pPr>
      <w:r>
        <w:rPr>
          <w:rFonts w:hint="eastAsia" w:ascii="宋体" w:hAnsi="宋体"/>
          <w:b/>
          <w:szCs w:val="21"/>
          <w:highlight w:val="none"/>
        </w:rPr>
        <w:t>八、辅助业务外委项目考核办法</w:t>
      </w:r>
    </w:p>
    <w:p>
      <w:pPr>
        <w:spacing w:line="384" w:lineRule="auto"/>
        <w:rPr>
          <w:rFonts w:ascii="宋体" w:hAnsi="宋体"/>
          <w:szCs w:val="21"/>
          <w:highlight w:val="none"/>
        </w:rPr>
      </w:pPr>
      <w:r>
        <w:rPr>
          <w:rFonts w:hint="eastAsia" w:ascii="宋体" w:hAnsi="宋体"/>
          <w:szCs w:val="21"/>
          <w:highlight w:val="none"/>
        </w:rPr>
        <w:t xml:space="preserve">    1.为了更好地执行加气砌块生产辅助业务外委合同，甲方有权对合同内容中乙方所承包的各项业务进行监督、检查、考核。</w:t>
      </w:r>
    </w:p>
    <w:p>
      <w:pPr>
        <w:pStyle w:val="210"/>
        <w:tabs>
          <w:tab w:val="left" w:pos="709"/>
        </w:tabs>
        <w:spacing w:line="360" w:lineRule="auto"/>
        <w:ind w:firstLineChars="0"/>
        <w:rPr>
          <w:rFonts w:ascii="宋体" w:hAnsi="宋体"/>
          <w:szCs w:val="21"/>
          <w:highlight w:val="none"/>
        </w:rPr>
      </w:pPr>
      <w:r>
        <w:rPr>
          <w:rFonts w:hint="eastAsia" w:ascii="宋体" w:hAnsi="宋体"/>
          <w:szCs w:val="21"/>
          <w:highlight w:val="none"/>
        </w:rPr>
        <w:t>2.具体考核要求：</w:t>
      </w:r>
    </w:p>
    <w:p>
      <w:pPr>
        <w:pStyle w:val="210"/>
        <w:tabs>
          <w:tab w:val="left" w:pos="993"/>
        </w:tabs>
        <w:spacing w:line="360" w:lineRule="auto"/>
        <w:ind w:firstLineChars="0"/>
        <w:rPr>
          <w:rFonts w:ascii="宋体" w:hAnsi="宋体"/>
          <w:szCs w:val="21"/>
          <w:highlight w:val="none"/>
        </w:rPr>
      </w:pPr>
      <w:r>
        <w:rPr>
          <w:rFonts w:hint="eastAsia" w:ascii="宋体" w:hAnsi="宋体"/>
          <w:szCs w:val="21"/>
          <w:highlight w:val="none"/>
        </w:rPr>
        <w:t>2.1乙方承包的业务完成后须经甲方检查验收，如达不到要求应立即返工。</w:t>
      </w:r>
    </w:p>
    <w:p>
      <w:pPr>
        <w:pStyle w:val="210"/>
        <w:tabs>
          <w:tab w:val="left" w:pos="993"/>
        </w:tabs>
        <w:spacing w:line="348" w:lineRule="auto"/>
        <w:ind w:firstLineChars="0"/>
        <w:rPr>
          <w:rFonts w:ascii="宋体" w:hAnsi="宋体"/>
          <w:szCs w:val="21"/>
          <w:highlight w:val="none"/>
        </w:rPr>
      </w:pPr>
      <w:r>
        <w:rPr>
          <w:rFonts w:hint="eastAsia" w:ascii="宋体" w:hAnsi="宋体"/>
          <w:szCs w:val="21"/>
          <w:highlight w:val="none"/>
        </w:rPr>
        <w:t>2.2因乙方未按时完成甲方规定的承包任务或未达到产品质量要求而影响正常生产的，按甲方直接损失额的</w:t>
      </w:r>
      <w:r>
        <w:rPr>
          <w:rFonts w:ascii="宋体" w:hAnsi="宋体"/>
          <w:szCs w:val="21"/>
          <w:highlight w:val="none"/>
        </w:rPr>
        <w:t>150%</w:t>
      </w:r>
      <w:r>
        <w:rPr>
          <w:rFonts w:hint="eastAsia" w:ascii="宋体" w:hAnsi="宋体"/>
          <w:szCs w:val="21"/>
          <w:highlight w:val="none"/>
        </w:rPr>
        <w:t>扣除乙方承包费。</w:t>
      </w:r>
    </w:p>
    <w:p>
      <w:pPr>
        <w:pStyle w:val="210"/>
        <w:tabs>
          <w:tab w:val="left" w:pos="993"/>
        </w:tabs>
        <w:spacing w:line="348" w:lineRule="auto"/>
        <w:ind w:firstLineChars="0"/>
        <w:rPr>
          <w:rFonts w:ascii="宋体" w:hAnsi="宋体"/>
          <w:szCs w:val="21"/>
          <w:highlight w:val="none"/>
        </w:rPr>
      </w:pPr>
      <w:r>
        <w:rPr>
          <w:rFonts w:hint="eastAsia" w:ascii="宋体" w:hAnsi="宋体"/>
          <w:szCs w:val="21"/>
          <w:highlight w:val="none"/>
        </w:rPr>
        <w:t>2.3乙方负责加气砌块生产辅助业务中各相关设备的维护工作，因乙方原因造成甲方设备非正常损坏，除应无偿负责修复外，按甲方直接经济损失的</w:t>
      </w:r>
      <w:r>
        <w:rPr>
          <w:rFonts w:ascii="宋体" w:hAnsi="宋体"/>
          <w:szCs w:val="21"/>
          <w:highlight w:val="none"/>
        </w:rPr>
        <w:t>150%</w:t>
      </w:r>
      <w:r>
        <w:rPr>
          <w:rFonts w:hint="eastAsia" w:ascii="宋体" w:hAnsi="宋体"/>
          <w:szCs w:val="21"/>
          <w:highlight w:val="none"/>
        </w:rPr>
        <w:t>扣除乙方承包费。</w:t>
      </w:r>
    </w:p>
    <w:p>
      <w:pPr>
        <w:pStyle w:val="210"/>
        <w:tabs>
          <w:tab w:val="left" w:pos="993"/>
        </w:tabs>
        <w:spacing w:line="348" w:lineRule="auto"/>
        <w:ind w:firstLineChars="0"/>
        <w:rPr>
          <w:rFonts w:ascii="宋体" w:hAnsi="宋体"/>
          <w:szCs w:val="21"/>
          <w:highlight w:val="none"/>
        </w:rPr>
      </w:pPr>
      <w:r>
        <w:rPr>
          <w:rFonts w:hint="eastAsia" w:ascii="宋体" w:hAnsi="宋体"/>
          <w:szCs w:val="21"/>
          <w:highlight w:val="none"/>
        </w:rPr>
        <w:t>2.4因乙方责任造成甲方公共设施损坏或故障的，乙方除应无偿负责修复外，还应按甲方直接经济损失的</w:t>
      </w:r>
      <w:r>
        <w:rPr>
          <w:rFonts w:ascii="宋体" w:hAnsi="宋体"/>
          <w:szCs w:val="21"/>
          <w:highlight w:val="none"/>
        </w:rPr>
        <w:t>150%</w:t>
      </w:r>
      <w:r>
        <w:rPr>
          <w:rFonts w:hint="eastAsia" w:ascii="宋体" w:hAnsi="宋体"/>
          <w:szCs w:val="21"/>
          <w:highlight w:val="none"/>
        </w:rPr>
        <w:t>扣除乙方承包费。</w:t>
      </w:r>
    </w:p>
    <w:p>
      <w:pPr>
        <w:pStyle w:val="210"/>
        <w:tabs>
          <w:tab w:val="left" w:pos="993"/>
        </w:tabs>
        <w:spacing w:line="348" w:lineRule="auto"/>
        <w:ind w:firstLineChars="0"/>
        <w:rPr>
          <w:rFonts w:ascii="宋体" w:hAnsi="宋体"/>
          <w:szCs w:val="21"/>
          <w:highlight w:val="none"/>
        </w:rPr>
      </w:pPr>
      <w:r>
        <w:rPr>
          <w:rFonts w:hint="eastAsia" w:ascii="宋体" w:hAnsi="宋体"/>
          <w:szCs w:val="21"/>
          <w:highlight w:val="none"/>
        </w:rPr>
        <w:t>2.5乙方必须接受甲方在合同范围内的合理安排，若乙方延迟执行或不执行，甲方有权按所受经济损失的</w:t>
      </w:r>
      <w:r>
        <w:rPr>
          <w:rFonts w:ascii="宋体" w:hAnsi="宋体"/>
          <w:szCs w:val="21"/>
          <w:highlight w:val="none"/>
        </w:rPr>
        <w:t>150%</w:t>
      </w:r>
      <w:r>
        <w:rPr>
          <w:rFonts w:hint="eastAsia" w:ascii="宋体" w:hAnsi="宋体"/>
          <w:szCs w:val="21"/>
          <w:highlight w:val="none"/>
        </w:rPr>
        <w:t>扣除乙方承包费。</w:t>
      </w:r>
    </w:p>
    <w:p>
      <w:pPr>
        <w:pStyle w:val="210"/>
        <w:tabs>
          <w:tab w:val="left" w:pos="993"/>
        </w:tabs>
        <w:spacing w:line="348" w:lineRule="auto"/>
        <w:ind w:firstLineChars="0"/>
        <w:rPr>
          <w:rFonts w:ascii="宋体" w:hAnsi="宋体"/>
          <w:szCs w:val="21"/>
          <w:highlight w:val="none"/>
        </w:rPr>
      </w:pPr>
      <w:r>
        <w:rPr>
          <w:rFonts w:hint="eastAsia" w:ascii="宋体" w:hAnsi="宋体"/>
          <w:szCs w:val="21"/>
          <w:highlight w:val="none"/>
        </w:rPr>
        <w:t>2.6乙方必须按甲方产品抽检操作规程要求配合甲方对合格品货场产品进行抽检，在抽检中甲乙双方明确为乙方责任的，按下公式对乙方进行相应考核，并在承包费中扣除：</w:t>
      </w:r>
    </w:p>
    <w:p>
      <w:pPr>
        <w:pStyle w:val="210"/>
        <w:tabs>
          <w:tab w:val="left" w:pos="993"/>
        </w:tabs>
        <w:spacing w:line="348" w:lineRule="auto"/>
        <w:ind w:left="426" w:firstLine="0" w:firstLineChars="0"/>
        <w:rPr>
          <w:rFonts w:ascii="宋体" w:hAnsi="宋体"/>
          <w:szCs w:val="21"/>
          <w:highlight w:val="none"/>
        </w:rPr>
      </w:pPr>
      <w:r>
        <w:rPr>
          <w:rFonts w:hint="eastAsia" w:ascii="宋体" w:hAnsi="宋体"/>
          <w:szCs w:val="21"/>
          <w:highlight w:val="none"/>
        </w:rPr>
        <w:t>扣除金额 = （破损数/总检数×100% - 1%）×当期入库总量×180元/m</w:t>
      </w:r>
      <w:r>
        <w:rPr>
          <w:rFonts w:ascii="宋体" w:hAnsi="宋体"/>
          <w:szCs w:val="21"/>
          <w:highlight w:val="none"/>
          <w:vertAlign w:val="superscript"/>
        </w:rPr>
        <w:t>3</w:t>
      </w:r>
    </w:p>
    <w:p>
      <w:pPr>
        <w:pStyle w:val="210"/>
        <w:tabs>
          <w:tab w:val="left" w:pos="993"/>
        </w:tabs>
        <w:spacing w:line="348" w:lineRule="auto"/>
        <w:ind w:firstLineChars="0"/>
        <w:rPr>
          <w:rFonts w:ascii="宋体" w:hAnsi="宋体"/>
          <w:spacing w:val="-4"/>
          <w:szCs w:val="21"/>
          <w:highlight w:val="none"/>
        </w:rPr>
      </w:pPr>
      <w:r>
        <w:rPr>
          <w:rFonts w:hint="eastAsia" w:ascii="宋体" w:hAnsi="宋体"/>
          <w:spacing w:val="-4"/>
          <w:szCs w:val="21"/>
          <w:highlight w:val="none"/>
        </w:rPr>
        <w:t>2.7乙方必须遵守甲方的规章制度，违反规章制度情节一般的，未造成设备故障和经济损失的，每次扣除乙方承包费用10</w:t>
      </w:r>
      <w:r>
        <w:rPr>
          <w:rFonts w:ascii="宋体" w:hAnsi="宋体"/>
          <w:spacing w:val="-4"/>
          <w:szCs w:val="21"/>
          <w:highlight w:val="none"/>
        </w:rPr>
        <w:t>0</w:t>
      </w:r>
      <w:r>
        <w:rPr>
          <w:rFonts w:hint="eastAsia" w:ascii="宋体" w:hAnsi="宋体"/>
          <w:spacing w:val="-4"/>
          <w:szCs w:val="21"/>
          <w:highlight w:val="none"/>
        </w:rPr>
        <w:t>元；乙方违反规章制度情节严重的，每次扣除承包费用5</w:t>
      </w:r>
      <w:r>
        <w:rPr>
          <w:rFonts w:ascii="宋体" w:hAnsi="宋体"/>
          <w:spacing w:val="-4"/>
          <w:szCs w:val="21"/>
          <w:highlight w:val="none"/>
        </w:rPr>
        <w:t>00</w:t>
      </w:r>
      <w:r>
        <w:rPr>
          <w:rFonts w:hint="eastAsia" w:ascii="宋体" w:hAnsi="宋体"/>
          <w:spacing w:val="-4"/>
          <w:szCs w:val="21"/>
          <w:highlight w:val="none"/>
        </w:rPr>
        <w:t>元，并且甲方有权要求乙方违规人员不得再参与本合同范围内的承包业务。</w:t>
      </w:r>
    </w:p>
    <w:p>
      <w:pPr>
        <w:pStyle w:val="210"/>
        <w:tabs>
          <w:tab w:val="left" w:pos="993"/>
        </w:tabs>
        <w:spacing w:line="348" w:lineRule="auto"/>
        <w:ind w:firstLineChars="0"/>
        <w:rPr>
          <w:rFonts w:ascii="宋体" w:hAnsi="宋体"/>
          <w:szCs w:val="21"/>
          <w:highlight w:val="none"/>
        </w:rPr>
      </w:pPr>
      <w:r>
        <w:rPr>
          <w:rFonts w:hint="eastAsia" w:ascii="宋体" w:hAnsi="宋体"/>
          <w:szCs w:val="21"/>
          <w:highlight w:val="none"/>
        </w:rPr>
        <w:t>2.8乙方必须保证特种岗位及甲方根据生产管理需要认定并颁发的操作岗位持证上岗，发现乙方人员未持证上岗的，按10</w:t>
      </w:r>
      <w:r>
        <w:rPr>
          <w:rFonts w:ascii="宋体" w:hAnsi="宋体"/>
          <w:szCs w:val="21"/>
          <w:highlight w:val="none"/>
        </w:rPr>
        <w:t>0</w:t>
      </w:r>
      <w:r>
        <w:rPr>
          <w:rFonts w:hint="eastAsia" w:ascii="宋体" w:hAnsi="宋体"/>
          <w:szCs w:val="21"/>
          <w:highlight w:val="none"/>
        </w:rPr>
        <w:t>元</w:t>
      </w:r>
      <w:r>
        <w:rPr>
          <w:rFonts w:ascii="宋体" w:hAnsi="宋体"/>
          <w:szCs w:val="21"/>
          <w:highlight w:val="none"/>
        </w:rPr>
        <w:t>/</w:t>
      </w:r>
      <w:r>
        <w:rPr>
          <w:rFonts w:hint="eastAsia" w:ascii="宋体" w:hAnsi="宋体"/>
          <w:szCs w:val="21"/>
          <w:highlight w:val="none"/>
        </w:rPr>
        <w:t>人·次扣除乙方承包费，若因未持证上岗而造成安全事故的，由乙方承担所有责任。</w:t>
      </w:r>
    </w:p>
    <w:p>
      <w:pPr>
        <w:pStyle w:val="210"/>
        <w:tabs>
          <w:tab w:val="left" w:pos="993"/>
        </w:tabs>
        <w:spacing w:line="348" w:lineRule="auto"/>
        <w:ind w:firstLineChars="0"/>
        <w:rPr>
          <w:rFonts w:ascii="宋体" w:hAnsi="宋体"/>
          <w:szCs w:val="21"/>
          <w:highlight w:val="none"/>
        </w:rPr>
      </w:pPr>
      <w:r>
        <w:rPr>
          <w:rFonts w:hint="eastAsia" w:ascii="宋体" w:hAnsi="宋体"/>
          <w:szCs w:val="21"/>
          <w:highlight w:val="none"/>
        </w:rPr>
        <w:t>2.9乙方必须配备足够的劳动保护用品，配备不足的，按每人次扣除乙方承包费用100元，若因未配戴劳动保护用品而造成安全事故、职业健康等问题的由乙方负全部责任。</w:t>
      </w:r>
    </w:p>
    <w:p>
      <w:pPr>
        <w:pStyle w:val="210"/>
        <w:tabs>
          <w:tab w:val="left" w:pos="993"/>
        </w:tabs>
        <w:spacing w:line="348" w:lineRule="auto"/>
        <w:ind w:firstLineChars="0"/>
        <w:rPr>
          <w:rFonts w:ascii="宋体" w:hAnsi="宋体"/>
          <w:szCs w:val="21"/>
          <w:highlight w:val="none"/>
        </w:rPr>
      </w:pPr>
      <w:r>
        <w:rPr>
          <w:rFonts w:hint="eastAsia" w:ascii="宋体" w:hAnsi="宋体"/>
          <w:szCs w:val="21"/>
          <w:highlight w:val="none"/>
        </w:rPr>
        <w:t>2.10乙方负责加气块生产线、加气块堆场周边及运输道路的清洁卫生工作，每发生一次完工后不清洁或清洁不干净的，扣除乙方承包费用100元。</w:t>
      </w:r>
    </w:p>
    <w:p>
      <w:pPr>
        <w:pStyle w:val="210"/>
        <w:tabs>
          <w:tab w:val="left" w:pos="993"/>
        </w:tabs>
        <w:spacing w:line="348" w:lineRule="auto"/>
        <w:ind w:firstLineChars="0"/>
        <w:rPr>
          <w:rFonts w:ascii="宋体" w:hAnsi="宋体"/>
          <w:szCs w:val="21"/>
          <w:highlight w:val="none"/>
        </w:rPr>
      </w:pPr>
      <w:r>
        <w:rPr>
          <w:rFonts w:hint="eastAsia" w:ascii="宋体" w:hAnsi="宋体"/>
          <w:szCs w:val="21"/>
          <w:highlight w:val="none"/>
        </w:rPr>
        <w:t>2.11乙方在承包工作过程中不得有其他妨碍安全生产的行为（如配戴</w:t>
      </w:r>
      <w:r>
        <w:rPr>
          <w:rFonts w:ascii="宋体" w:hAnsi="宋体"/>
          <w:szCs w:val="21"/>
          <w:highlight w:val="none"/>
        </w:rPr>
        <w:t>MP3</w:t>
      </w:r>
      <w:r>
        <w:rPr>
          <w:rFonts w:hint="eastAsia" w:ascii="宋体" w:hAnsi="宋体"/>
          <w:szCs w:val="21"/>
          <w:highlight w:val="none"/>
        </w:rPr>
        <w:t>等随身听等）。每发现一次按100元</w:t>
      </w:r>
      <w:r>
        <w:rPr>
          <w:rFonts w:ascii="宋体" w:hAnsi="宋体"/>
          <w:szCs w:val="21"/>
          <w:highlight w:val="none"/>
        </w:rPr>
        <w:t>/</w:t>
      </w:r>
      <w:r>
        <w:rPr>
          <w:rFonts w:hint="eastAsia" w:ascii="宋体" w:hAnsi="宋体"/>
          <w:szCs w:val="21"/>
          <w:highlight w:val="none"/>
        </w:rPr>
        <w:t>人·次在乙方的承包费用内扣除。</w:t>
      </w:r>
    </w:p>
    <w:p>
      <w:pPr>
        <w:pStyle w:val="210"/>
        <w:tabs>
          <w:tab w:val="left" w:pos="993"/>
        </w:tabs>
        <w:spacing w:line="348" w:lineRule="auto"/>
        <w:ind w:firstLineChars="0"/>
        <w:rPr>
          <w:rFonts w:ascii="宋体" w:hAnsi="宋体"/>
          <w:szCs w:val="21"/>
          <w:highlight w:val="none"/>
        </w:rPr>
      </w:pPr>
      <w:r>
        <w:rPr>
          <w:rFonts w:hint="eastAsia" w:ascii="宋体" w:hAnsi="宋体"/>
          <w:szCs w:val="21"/>
          <w:highlight w:val="none"/>
        </w:rPr>
        <w:t>2.12乙方必须遵守交通规则和厂区车辆行驶规定，违反车辆行驶规定的，每次扣除乙方100元承包费，发生交通事故的，由乙方负全部责任。</w:t>
      </w:r>
    </w:p>
    <w:p>
      <w:pPr>
        <w:pStyle w:val="210"/>
        <w:tabs>
          <w:tab w:val="left" w:pos="993"/>
        </w:tabs>
        <w:spacing w:line="348" w:lineRule="auto"/>
        <w:ind w:firstLineChars="0"/>
        <w:rPr>
          <w:rFonts w:ascii="宋体" w:hAnsi="宋体"/>
          <w:szCs w:val="21"/>
          <w:highlight w:val="none"/>
        </w:rPr>
      </w:pPr>
      <w:r>
        <w:rPr>
          <w:rFonts w:hint="eastAsia" w:ascii="宋体" w:hAnsi="宋体"/>
          <w:szCs w:val="21"/>
          <w:highlight w:val="none"/>
        </w:rPr>
        <w:t>2.13因乙方配合不到位，造成相关检查、验收不过关或不达标的将视情况考核。</w:t>
      </w:r>
    </w:p>
    <w:p>
      <w:pPr>
        <w:pStyle w:val="210"/>
        <w:tabs>
          <w:tab w:val="left" w:pos="993"/>
        </w:tabs>
        <w:spacing w:line="348" w:lineRule="auto"/>
        <w:ind w:firstLineChars="0"/>
        <w:rPr>
          <w:rFonts w:ascii="宋体" w:hAnsi="宋体"/>
          <w:szCs w:val="21"/>
          <w:highlight w:val="none"/>
        </w:rPr>
      </w:pPr>
      <w:r>
        <w:rPr>
          <w:rFonts w:ascii="宋体" w:hAnsi="宋体"/>
          <w:szCs w:val="21"/>
          <w:highlight w:val="none"/>
        </w:rPr>
        <w:t xml:space="preserve">2.14 </w:t>
      </w:r>
      <w:r>
        <w:rPr>
          <w:rFonts w:hint="eastAsia" w:ascii="宋体" w:hAnsi="宋体"/>
          <w:szCs w:val="21"/>
          <w:highlight w:val="none"/>
        </w:rPr>
        <w:t>检修设备辅助业务的考核</w:t>
      </w:r>
    </w:p>
    <w:p>
      <w:pPr>
        <w:tabs>
          <w:tab w:val="left" w:pos="993"/>
        </w:tabs>
        <w:spacing w:line="360" w:lineRule="auto"/>
        <w:ind w:firstLine="420" w:firstLineChars="200"/>
        <w:rPr>
          <w:szCs w:val="21"/>
          <w:highlight w:val="none"/>
        </w:rPr>
      </w:pPr>
      <w:r>
        <w:rPr>
          <w:szCs w:val="21"/>
          <w:highlight w:val="none"/>
        </w:rPr>
        <w:t xml:space="preserve">2.14.1 </w:t>
      </w:r>
      <w:r>
        <w:rPr>
          <w:rFonts w:hint="eastAsia"/>
          <w:szCs w:val="21"/>
          <w:highlight w:val="none"/>
        </w:rPr>
        <w:t>接到抢修任务通知后，二十分钟内必须到达现场，如未按要求执行的考核</w:t>
      </w:r>
      <w:r>
        <w:rPr>
          <w:szCs w:val="21"/>
          <w:highlight w:val="none"/>
        </w:rPr>
        <w:t>100</w:t>
      </w:r>
      <w:r>
        <w:rPr>
          <w:rFonts w:hint="eastAsia"/>
          <w:szCs w:val="21"/>
          <w:highlight w:val="none"/>
        </w:rPr>
        <w:t>元</w:t>
      </w:r>
      <w:r>
        <w:rPr>
          <w:szCs w:val="21"/>
          <w:highlight w:val="none"/>
        </w:rPr>
        <w:t>/</w:t>
      </w:r>
      <w:r>
        <w:rPr>
          <w:rFonts w:hint="eastAsia"/>
          <w:szCs w:val="21"/>
          <w:highlight w:val="none"/>
        </w:rPr>
        <w:t>（</w:t>
      </w:r>
      <w:r>
        <w:rPr>
          <w:szCs w:val="21"/>
          <w:highlight w:val="none"/>
        </w:rPr>
        <w:t>10</w:t>
      </w:r>
      <w:r>
        <w:rPr>
          <w:rFonts w:hint="eastAsia"/>
          <w:szCs w:val="21"/>
          <w:highlight w:val="none"/>
        </w:rPr>
        <w:t>分钟·人·次）。</w:t>
      </w:r>
    </w:p>
    <w:p>
      <w:pPr>
        <w:tabs>
          <w:tab w:val="left" w:pos="993"/>
        </w:tabs>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2.14.2</w:t>
      </w:r>
      <w:r>
        <w:rPr>
          <w:rFonts w:hint="eastAsia" w:asciiTheme="minorEastAsia" w:hAnsiTheme="minorEastAsia" w:eastAsiaTheme="minorEastAsia"/>
          <w:szCs w:val="21"/>
          <w:highlight w:val="none"/>
        </w:rPr>
        <w:t>不服从工作安排的，考核</w:t>
      </w:r>
      <w:r>
        <w:rPr>
          <w:rFonts w:asciiTheme="minorEastAsia" w:hAnsiTheme="minorEastAsia" w:eastAsiaTheme="minorEastAsia"/>
          <w:szCs w:val="21"/>
          <w:highlight w:val="none"/>
        </w:rPr>
        <w:t>500</w:t>
      </w:r>
      <w:r>
        <w:rPr>
          <w:rFonts w:hint="eastAsia" w:asciiTheme="minorEastAsia" w:hAnsiTheme="minorEastAsia" w:eastAsiaTheme="minorEastAsia"/>
          <w:szCs w:val="21"/>
          <w:highlight w:val="none"/>
        </w:rPr>
        <w:t>元</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人·次。</w:t>
      </w:r>
    </w:p>
    <w:p>
      <w:pPr>
        <w:tabs>
          <w:tab w:val="left" w:pos="993"/>
        </w:tabs>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2.14.3 </w:t>
      </w:r>
      <w:r>
        <w:rPr>
          <w:rFonts w:hint="eastAsia" w:asciiTheme="minorEastAsia" w:hAnsiTheme="minorEastAsia" w:eastAsiaTheme="minorEastAsia"/>
          <w:szCs w:val="21"/>
          <w:highlight w:val="none"/>
        </w:rPr>
        <w:t>签订合同后，乙方工作人员未经甲方人同意就更换的，考核</w:t>
      </w:r>
      <w:r>
        <w:rPr>
          <w:rFonts w:asciiTheme="minorEastAsia" w:hAnsiTheme="minorEastAsia" w:eastAsiaTheme="minorEastAsia"/>
          <w:szCs w:val="21"/>
          <w:highlight w:val="none"/>
        </w:rPr>
        <w:t>250</w:t>
      </w:r>
      <w:r>
        <w:rPr>
          <w:rFonts w:hint="eastAsia" w:asciiTheme="minorEastAsia" w:hAnsiTheme="minorEastAsia" w:eastAsiaTheme="minorEastAsia"/>
          <w:szCs w:val="21"/>
          <w:highlight w:val="none"/>
        </w:rPr>
        <w:t>元</w:t>
      </w:r>
      <w:r>
        <w:rPr>
          <w:rFonts w:asciiTheme="minorEastAsia" w:hAnsiTheme="minorEastAsia" w:eastAsiaTheme="minorEastAsia"/>
          <w:szCs w:val="21"/>
          <w:highlight w:val="none"/>
        </w:rPr>
        <w:t>/ 8</w:t>
      </w:r>
      <w:r>
        <w:rPr>
          <w:rFonts w:hint="eastAsia" w:asciiTheme="minorEastAsia" w:hAnsiTheme="minorEastAsia" w:eastAsiaTheme="minorEastAsia"/>
          <w:szCs w:val="21"/>
          <w:highlight w:val="none"/>
        </w:rPr>
        <w:t>小时×人数）。</w:t>
      </w:r>
    </w:p>
    <w:p>
      <w:pPr>
        <w:tabs>
          <w:tab w:val="left" w:pos="993"/>
        </w:tabs>
        <w:spacing w:line="360" w:lineRule="auto"/>
        <w:ind w:left="420" w:leftChars="200"/>
        <w:rPr>
          <w:rFonts w:asciiTheme="minorEastAsia" w:hAnsiTheme="minorEastAsia" w:eastAsiaTheme="minorEastAsia"/>
          <w:szCs w:val="21"/>
          <w:highlight w:val="none"/>
        </w:rPr>
      </w:pPr>
      <w:r>
        <w:rPr>
          <w:rFonts w:asciiTheme="minorEastAsia" w:hAnsiTheme="minorEastAsia" w:eastAsiaTheme="minorEastAsia"/>
          <w:szCs w:val="21"/>
          <w:highlight w:val="none"/>
        </w:rPr>
        <w:t>2.14.4</w:t>
      </w:r>
      <w:r>
        <w:rPr>
          <w:rFonts w:hint="eastAsia" w:asciiTheme="minorEastAsia" w:hAnsiTheme="minorEastAsia" w:eastAsiaTheme="minorEastAsia"/>
          <w:szCs w:val="21"/>
          <w:highlight w:val="none"/>
        </w:rPr>
        <w:t>日常停产或春节大修期间，检修人员达不到</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人的，考核</w:t>
      </w:r>
      <w:r>
        <w:rPr>
          <w:rFonts w:asciiTheme="minorEastAsia" w:hAnsiTheme="minorEastAsia" w:eastAsiaTheme="minorEastAsia"/>
          <w:szCs w:val="21"/>
          <w:highlight w:val="none"/>
        </w:rPr>
        <w:t>1000</w:t>
      </w:r>
      <w:r>
        <w:rPr>
          <w:rFonts w:hint="eastAsia" w:asciiTheme="minorEastAsia" w:hAnsiTheme="minorEastAsia" w:eastAsiaTheme="minorEastAsia"/>
          <w:szCs w:val="21"/>
          <w:highlight w:val="none"/>
        </w:rPr>
        <w:t>元</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8</w:t>
      </w:r>
      <w:r>
        <w:rPr>
          <w:rFonts w:hint="eastAsia" w:asciiTheme="minorEastAsia" w:hAnsiTheme="minorEastAsia" w:eastAsiaTheme="minorEastAsia"/>
          <w:szCs w:val="21"/>
          <w:highlight w:val="none"/>
        </w:rPr>
        <w:t>小时×人数）。</w:t>
      </w:r>
      <w:r>
        <w:rPr>
          <w:rFonts w:asciiTheme="minorEastAsia" w:hAnsiTheme="minorEastAsia" w:eastAsiaTheme="minorEastAsia"/>
          <w:szCs w:val="21"/>
          <w:highlight w:val="none"/>
        </w:rPr>
        <w:t>2.14.5</w:t>
      </w:r>
      <w:r>
        <w:rPr>
          <w:rFonts w:hint="eastAsia" w:asciiTheme="minorEastAsia" w:hAnsiTheme="minorEastAsia" w:eastAsiaTheme="minorEastAsia"/>
          <w:szCs w:val="21"/>
          <w:highlight w:val="none"/>
        </w:rPr>
        <w:t>因乙方人员操作不当造成甲方损失的，按甲方损失</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倍考核。</w:t>
      </w:r>
    </w:p>
    <w:p>
      <w:pPr>
        <w:tabs>
          <w:tab w:val="left" w:pos="993"/>
        </w:tabs>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2.14.6</w:t>
      </w:r>
      <w:r>
        <w:rPr>
          <w:rFonts w:hint="eastAsia" w:asciiTheme="minorEastAsia" w:hAnsiTheme="minorEastAsia" w:eastAsiaTheme="minorEastAsia"/>
          <w:szCs w:val="21"/>
          <w:highlight w:val="none"/>
        </w:rPr>
        <w:t>违反劳动纪律的，考核</w:t>
      </w:r>
      <w:r>
        <w:rPr>
          <w:rFonts w:asciiTheme="minorEastAsia" w:hAnsiTheme="minorEastAsia" w:eastAsiaTheme="minorEastAsia"/>
          <w:szCs w:val="21"/>
          <w:highlight w:val="none"/>
        </w:rPr>
        <w:t>100</w:t>
      </w:r>
      <w:r>
        <w:rPr>
          <w:rFonts w:hint="eastAsia" w:asciiTheme="minorEastAsia" w:hAnsiTheme="minorEastAsia" w:eastAsiaTheme="minorEastAsia"/>
          <w:szCs w:val="21"/>
          <w:highlight w:val="none"/>
        </w:rPr>
        <w:t>元</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人·次。</w:t>
      </w:r>
    </w:p>
    <w:p>
      <w:pPr>
        <w:pStyle w:val="210"/>
        <w:tabs>
          <w:tab w:val="left" w:pos="993"/>
        </w:tabs>
        <w:spacing w:line="348" w:lineRule="auto"/>
        <w:ind w:firstLineChars="0"/>
        <w:rPr>
          <w:rFonts w:ascii="宋体" w:hAnsi="宋体"/>
          <w:szCs w:val="21"/>
          <w:highlight w:val="none"/>
        </w:rPr>
      </w:pPr>
      <w:r>
        <w:rPr>
          <w:rFonts w:asciiTheme="minorEastAsia" w:hAnsiTheme="minorEastAsia" w:eastAsiaTheme="minorEastAsia"/>
          <w:szCs w:val="21"/>
          <w:highlight w:val="none"/>
        </w:rPr>
        <w:t>2.14.7</w:t>
      </w:r>
      <w:r>
        <w:rPr>
          <w:rFonts w:hint="eastAsia" w:asciiTheme="minorEastAsia" w:hAnsiTheme="minorEastAsia" w:eastAsiaTheme="minorEastAsia"/>
          <w:szCs w:val="21"/>
          <w:highlight w:val="none"/>
        </w:rPr>
        <w:t>检修作业场所未达到物</w:t>
      </w:r>
      <w:r>
        <w:rPr>
          <w:rFonts w:asciiTheme="minorEastAsia" w:hAnsiTheme="minorEastAsia" w:eastAsiaTheme="minorEastAsia"/>
          <w:szCs w:val="21"/>
          <w:highlight w:val="none"/>
        </w:rPr>
        <w:t>尽场清</w:t>
      </w:r>
      <w:r>
        <w:rPr>
          <w:rFonts w:hint="eastAsia" w:asciiTheme="minorEastAsia" w:hAnsiTheme="minorEastAsia" w:eastAsiaTheme="minorEastAsia"/>
          <w:szCs w:val="21"/>
          <w:highlight w:val="none"/>
        </w:rPr>
        <w:t>的，考核</w:t>
      </w:r>
      <w:r>
        <w:rPr>
          <w:rFonts w:asciiTheme="minorEastAsia" w:hAnsiTheme="minorEastAsia" w:eastAsiaTheme="minorEastAsia"/>
          <w:szCs w:val="21"/>
          <w:highlight w:val="none"/>
        </w:rPr>
        <w:t>100</w:t>
      </w:r>
      <w:r>
        <w:rPr>
          <w:rFonts w:hint="eastAsia" w:asciiTheme="minorEastAsia" w:hAnsiTheme="minorEastAsia" w:eastAsiaTheme="minorEastAsia"/>
          <w:szCs w:val="21"/>
          <w:highlight w:val="none"/>
        </w:rPr>
        <w:t>元</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项。</w:t>
      </w:r>
    </w:p>
    <w:p>
      <w:pPr>
        <w:pStyle w:val="210"/>
        <w:tabs>
          <w:tab w:val="left" w:pos="851"/>
        </w:tabs>
        <w:spacing w:line="348" w:lineRule="auto"/>
        <w:ind w:firstLineChars="0"/>
        <w:rPr>
          <w:rFonts w:ascii="宋体" w:hAnsi="宋体"/>
          <w:szCs w:val="21"/>
          <w:highlight w:val="none"/>
        </w:rPr>
      </w:pPr>
      <w:r>
        <w:rPr>
          <w:rFonts w:hint="eastAsia" w:ascii="宋体" w:hAnsi="宋体"/>
          <w:szCs w:val="21"/>
          <w:highlight w:val="none"/>
        </w:rPr>
        <w:t>3.乙方人员在甲方厂区内工作，必须遵守甲方相关规定，如有违反将对乙方进行经济考核。</w:t>
      </w:r>
    </w:p>
    <w:p>
      <w:pPr>
        <w:pStyle w:val="210"/>
        <w:tabs>
          <w:tab w:val="left" w:pos="851"/>
        </w:tabs>
        <w:spacing w:line="348" w:lineRule="auto"/>
        <w:ind w:firstLineChars="0"/>
        <w:rPr>
          <w:rFonts w:ascii="宋体" w:hAnsi="宋体"/>
          <w:szCs w:val="21"/>
          <w:highlight w:val="none"/>
        </w:rPr>
      </w:pPr>
      <w:r>
        <w:rPr>
          <w:rFonts w:hint="eastAsia" w:ascii="宋体" w:hAnsi="宋体"/>
          <w:szCs w:val="21"/>
          <w:highlight w:val="none"/>
        </w:rPr>
        <w:t>4.对于连续二次违反甲方相关制度的乙方人员，甲方将拒绝放行。</w:t>
      </w:r>
    </w:p>
    <w:p>
      <w:pPr>
        <w:pStyle w:val="210"/>
        <w:tabs>
          <w:tab w:val="left" w:pos="851"/>
        </w:tabs>
        <w:spacing w:line="348" w:lineRule="auto"/>
        <w:ind w:firstLineChars="0"/>
        <w:rPr>
          <w:rFonts w:ascii="宋体" w:hAnsi="宋体"/>
          <w:szCs w:val="21"/>
          <w:highlight w:val="none"/>
        </w:rPr>
      </w:pPr>
      <w:r>
        <w:rPr>
          <w:rFonts w:hint="eastAsia" w:ascii="宋体" w:hAnsi="宋体"/>
          <w:szCs w:val="21"/>
          <w:highlight w:val="none"/>
        </w:rPr>
        <w:t>5.乙方应严格执行甲方《废弃物分类及处理管理规定》，并按其中的有关条款进行垃圾分类收集，共同维护甲方厂区环境卫生。</w:t>
      </w:r>
    </w:p>
    <w:p>
      <w:pPr>
        <w:spacing w:line="360" w:lineRule="auto"/>
        <w:ind w:firstLine="457" w:firstLineChars="218"/>
        <w:rPr>
          <w:rFonts w:ascii="宋体" w:hAnsi="宋体"/>
          <w:szCs w:val="21"/>
          <w:highlight w:val="none"/>
        </w:rPr>
      </w:pPr>
      <w:r>
        <w:rPr>
          <w:rFonts w:hint="eastAsia" w:ascii="宋体" w:hAnsi="宋体"/>
          <w:szCs w:val="21"/>
          <w:highlight w:val="none"/>
        </w:rPr>
        <w:t>6.甲方的具体负责部门分别对乙方在生产现场、商务执行、安全生产、劳动纪律、进出厂区等方面的工作表现进行监管。各部门若对乙方有违规行为需进行考核的，出具考核处罚单据乙方签字确认后交甲方计划经营部办理结算。</w:t>
      </w:r>
    </w:p>
    <w:p>
      <w:pPr>
        <w:spacing w:line="360" w:lineRule="auto"/>
        <w:ind w:firstLine="460" w:firstLineChars="218"/>
        <w:rPr>
          <w:rFonts w:ascii="宋体" w:hAnsi="宋体"/>
          <w:b/>
          <w:szCs w:val="21"/>
          <w:highlight w:val="none"/>
        </w:rPr>
      </w:pPr>
      <w:r>
        <w:rPr>
          <w:rFonts w:hint="eastAsia" w:ascii="宋体" w:hAnsi="宋体"/>
          <w:b/>
          <w:szCs w:val="21"/>
          <w:highlight w:val="none"/>
        </w:rPr>
        <w:t>九、通知送达</w:t>
      </w:r>
    </w:p>
    <w:p>
      <w:pPr>
        <w:spacing w:line="360" w:lineRule="auto"/>
        <w:ind w:firstLine="457" w:firstLineChars="218"/>
        <w:rPr>
          <w:rFonts w:ascii="宋体" w:hAnsi="宋体"/>
          <w:szCs w:val="21"/>
          <w:highlight w:val="none"/>
        </w:rPr>
      </w:pPr>
      <w:r>
        <w:rPr>
          <w:rFonts w:hint="eastAsia" w:ascii="宋体" w:hAnsi="宋体"/>
          <w:szCs w:val="21"/>
          <w:highlight w:val="none"/>
        </w:rPr>
        <w:t>一方在本合同履行过程中向另一方发出或者提供的所有通知、文件、文书、资料等，均以本合同所列明的地址送达；一方如果迁址或者变更电话，应当及时书面通知另一方，未履行通知义务的，另一方按原地址邮寄相关材料即视为已履行送达义务；当面交付上述材料的，在交付之时视为送达。</w:t>
      </w:r>
    </w:p>
    <w:p>
      <w:pPr>
        <w:spacing w:line="360" w:lineRule="auto"/>
        <w:ind w:firstLine="460" w:firstLineChars="218"/>
        <w:rPr>
          <w:rFonts w:ascii="宋体" w:hAnsi="宋体"/>
          <w:b/>
          <w:szCs w:val="21"/>
          <w:highlight w:val="none"/>
        </w:rPr>
      </w:pPr>
      <w:r>
        <w:rPr>
          <w:rFonts w:hint="eastAsia" w:ascii="宋体" w:hAnsi="宋体"/>
          <w:b/>
          <w:szCs w:val="21"/>
          <w:highlight w:val="none"/>
        </w:rPr>
        <w:t>十、保密</w:t>
      </w:r>
    </w:p>
    <w:p>
      <w:pPr>
        <w:spacing w:line="360" w:lineRule="auto"/>
        <w:ind w:firstLine="457" w:firstLineChars="218"/>
        <w:rPr>
          <w:rFonts w:ascii="宋体" w:hAnsi="宋体"/>
          <w:szCs w:val="21"/>
          <w:highlight w:val="none"/>
        </w:rPr>
      </w:pPr>
      <w:r>
        <w:rPr>
          <w:rFonts w:hint="eastAsia" w:ascii="宋体" w:hAnsi="宋体"/>
          <w:szCs w:val="21"/>
          <w:highlight w:val="none"/>
        </w:rPr>
        <w:t>乙方保证乙方及乙方的服务人员对在执行本合同期间获知的有关甲方及其关联公司的产品、技术、业务、经营及其他信息承担保密义务，未经甲方事先书面同意或法定的程序，不得将前述信息向任何第三方透露，本条项下义务将在本合同生效日起持续有效，不受本合同履行完毕、期满、终止或解除的影响。</w:t>
      </w:r>
    </w:p>
    <w:p>
      <w:pPr>
        <w:spacing w:line="360" w:lineRule="auto"/>
        <w:ind w:firstLine="460" w:firstLineChars="218"/>
        <w:rPr>
          <w:rFonts w:ascii="宋体" w:hAnsi="宋体"/>
          <w:szCs w:val="21"/>
          <w:highlight w:val="none"/>
        </w:rPr>
      </w:pPr>
      <w:r>
        <w:rPr>
          <w:rFonts w:hint="eastAsia" w:ascii="宋体" w:hAnsi="宋体"/>
          <w:b/>
          <w:bCs/>
          <w:szCs w:val="21"/>
          <w:highlight w:val="none"/>
        </w:rPr>
        <w:t>十一、</w:t>
      </w:r>
      <w:r>
        <w:rPr>
          <w:rFonts w:ascii="宋体" w:hAnsi="宋体"/>
          <w:szCs w:val="21"/>
          <w:highlight w:val="none"/>
        </w:rPr>
        <w:t>甲乙双方在合同期间，因</w:t>
      </w:r>
      <w:r>
        <w:rPr>
          <w:rFonts w:hint="eastAsia" w:ascii="宋体" w:hAnsi="宋体"/>
          <w:szCs w:val="21"/>
          <w:highlight w:val="none"/>
        </w:rPr>
        <w:t>与</w:t>
      </w:r>
      <w:r>
        <w:rPr>
          <w:rFonts w:ascii="宋体" w:hAnsi="宋体"/>
          <w:szCs w:val="21"/>
          <w:highlight w:val="none"/>
        </w:rPr>
        <w:t>相关之业务导致甲方发生直接或间接损失（包括但不限于</w:t>
      </w:r>
      <w:r>
        <w:rPr>
          <w:rFonts w:ascii="宋体" w:hAnsi="宋体"/>
          <w:color w:val="000000"/>
          <w:szCs w:val="21"/>
          <w:highlight w:val="none"/>
        </w:rPr>
        <w:t>乙方</w:t>
      </w:r>
      <w:r>
        <w:rPr>
          <w:rFonts w:hint="eastAsia" w:ascii="宋体" w:hAnsi="宋体"/>
          <w:color w:val="000000"/>
          <w:szCs w:val="21"/>
          <w:highlight w:val="none"/>
        </w:rPr>
        <w:t>或甲方为</w:t>
      </w:r>
      <w:r>
        <w:rPr>
          <w:rFonts w:ascii="宋体" w:hAnsi="宋体"/>
          <w:szCs w:val="21"/>
          <w:highlight w:val="none"/>
        </w:rPr>
        <w:t>保证甲方的业务而租赁第三方车辆</w:t>
      </w:r>
      <w:r>
        <w:rPr>
          <w:rFonts w:hint="eastAsia" w:ascii="宋体" w:hAnsi="宋体"/>
          <w:szCs w:val="21"/>
          <w:highlight w:val="none"/>
        </w:rPr>
        <w:t>、设备</w:t>
      </w:r>
      <w:r>
        <w:rPr>
          <w:rFonts w:ascii="宋体" w:hAnsi="宋体"/>
          <w:szCs w:val="21"/>
          <w:highlight w:val="none"/>
        </w:rPr>
        <w:t>产生的应付</w:t>
      </w:r>
      <w:r>
        <w:rPr>
          <w:rFonts w:hint="eastAsia" w:ascii="宋体" w:hAnsi="宋体"/>
          <w:szCs w:val="21"/>
          <w:highlight w:val="none"/>
        </w:rPr>
        <w:t>账</w:t>
      </w:r>
      <w:r>
        <w:rPr>
          <w:rFonts w:ascii="宋体" w:hAnsi="宋体"/>
          <w:szCs w:val="21"/>
          <w:highlight w:val="none"/>
        </w:rPr>
        <w:t>款、工伤、事故、政府部门处罚等），凡乙方不能证实损失应由甲方承担之部分，均由乙方承担，甲方可直接扣除（但不限于扣除）乙方</w:t>
      </w:r>
      <w:r>
        <w:rPr>
          <w:rFonts w:hint="eastAsia" w:ascii="宋体" w:hAnsi="宋体"/>
          <w:szCs w:val="21"/>
          <w:highlight w:val="none"/>
        </w:rPr>
        <w:t>承包费用，不足部分，可在履约保证金中扣除，仍不足的，还有权向乙方追索。</w:t>
      </w:r>
    </w:p>
    <w:p>
      <w:pPr>
        <w:spacing w:line="360" w:lineRule="auto"/>
        <w:ind w:firstLine="460" w:firstLineChars="218"/>
        <w:rPr>
          <w:rFonts w:ascii="宋体" w:hAnsi="宋体"/>
          <w:b/>
          <w:szCs w:val="21"/>
          <w:highlight w:val="none"/>
        </w:rPr>
      </w:pPr>
      <w:r>
        <w:rPr>
          <w:rFonts w:hint="eastAsia" w:ascii="宋体" w:hAnsi="宋体"/>
          <w:b/>
          <w:szCs w:val="21"/>
          <w:highlight w:val="none"/>
        </w:rPr>
        <w:t>十二、生效及期限</w:t>
      </w:r>
    </w:p>
    <w:p>
      <w:pPr>
        <w:spacing w:line="360" w:lineRule="auto"/>
        <w:ind w:firstLine="457" w:firstLineChars="218"/>
        <w:rPr>
          <w:rFonts w:ascii="宋体" w:hAnsi="宋体"/>
          <w:szCs w:val="21"/>
          <w:highlight w:val="none"/>
        </w:rPr>
      </w:pPr>
      <w:r>
        <w:rPr>
          <w:rFonts w:hint="eastAsia" w:ascii="宋体" w:hAnsi="宋体"/>
          <w:szCs w:val="21"/>
          <w:highlight w:val="none"/>
        </w:rPr>
        <w:t>1. 本合同经双方签字盖章后生效，有效期至本合同业务外包期届满且双方权利义务结清之日。本合同壹式陆份，甲方肆份，乙方贰份，具同等法律效力。</w:t>
      </w:r>
    </w:p>
    <w:p>
      <w:pPr>
        <w:spacing w:line="360" w:lineRule="auto"/>
        <w:ind w:firstLine="457" w:firstLineChars="218"/>
        <w:rPr>
          <w:rFonts w:ascii="宋体" w:hAnsi="宋体"/>
          <w:szCs w:val="21"/>
          <w:highlight w:val="none"/>
        </w:rPr>
      </w:pPr>
      <w:r>
        <w:rPr>
          <w:rFonts w:hint="eastAsia" w:ascii="宋体" w:hAnsi="宋体"/>
          <w:szCs w:val="21"/>
          <w:highlight w:val="none"/>
        </w:rPr>
        <w:t>2. 本合同服务期限为24个月，自2019年12月1日起至2021年11月30日止。在服务期限内，甲方会不定期对乙方根据合同条款进行综合评估考核，若考核不合格的，限期整改，如不整改或者整改仍不合格，甲方有权以书面通知的形式单方提出终止合同，并不就提前终止合同向乙方承担任何责任，乙方亦同意不就此向甲方主张任何权利，同时甲方有权与第二或第三中标候选人签订合同或组织重新招标。</w:t>
      </w:r>
    </w:p>
    <w:p>
      <w:pPr>
        <w:spacing w:line="360" w:lineRule="auto"/>
        <w:ind w:firstLine="460" w:firstLineChars="218"/>
        <w:rPr>
          <w:rFonts w:ascii="宋体" w:hAnsi="宋体"/>
          <w:b/>
          <w:szCs w:val="21"/>
          <w:highlight w:val="none"/>
        </w:rPr>
      </w:pPr>
      <w:r>
        <w:rPr>
          <w:rFonts w:hint="eastAsia" w:ascii="宋体" w:hAnsi="宋体"/>
          <w:b/>
          <w:szCs w:val="21"/>
          <w:highlight w:val="none"/>
        </w:rPr>
        <w:t>十三、争议解决、法律适用</w:t>
      </w:r>
    </w:p>
    <w:p>
      <w:pPr>
        <w:spacing w:line="360" w:lineRule="auto"/>
        <w:ind w:firstLine="457" w:firstLineChars="218"/>
        <w:rPr>
          <w:rFonts w:ascii="宋体" w:hAnsi="宋体"/>
          <w:szCs w:val="21"/>
          <w:highlight w:val="none"/>
        </w:rPr>
      </w:pPr>
      <w:r>
        <w:rPr>
          <w:rFonts w:hint="eastAsia" w:ascii="宋体" w:hAnsi="宋体"/>
          <w:szCs w:val="21"/>
          <w:highlight w:val="none"/>
        </w:rPr>
        <w:t xml:space="preserve">1．与本合同有关或由本合同产生的一切争议，甲乙双方应友好协商解决，协商不成的，由甲方所在地人民法院管辖。 </w:t>
      </w:r>
    </w:p>
    <w:p>
      <w:pPr>
        <w:spacing w:line="360" w:lineRule="auto"/>
        <w:ind w:firstLine="457" w:firstLineChars="218"/>
        <w:rPr>
          <w:rFonts w:ascii="宋体" w:hAnsi="宋体"/>
          <w:szCs w:val="21"/>
          <w:highlight w:val="none"/>
        </w:rPr>
      </w:pPr>
      <w:r>
        <w:rPr>
          <w:rFonts w:hint="eastAsia" w:ascii="宋体" w:hAnsi="宋体"/>
          <w:szCs w:val="21"/>
          <w:highlight w:val="none"/>
        </w:rPr>
        <w:t xml:space="preserve">2．本合同依照中华人民共和国法律订立，受中华人民共和国法律管辖。 </w:t>
      </w:r>
    </w:p>
    <w:p>
      <w:pPr>
        <w:spacing w:line="360" w:lineRule="auto"/>
        <w:ind w:firstLine="460" w:firstLineChars="218"/>
        <w:rPr>
          <w:rFonts w:ascii="宋体" w:hAnsi="宋体"/>
          <w:b/>
          <w:szCs w:val="21"/>
          <w:highlight w:val="none"/>
        </w:rPr>
      </w:pPr>
      <w:r>
        <w:rPr>
          <w:rFonts w:hint="eastAsia" w:ascii="宋体" w:hAnsi="宋体"/>
          <w:b/>
          <w:szCs w:val="21"/>
          <w:highlight w:val="none"/>
        </w:rPr>
        <w:t>十四、其它事项</w:t>
      </w:r>
    </w:p>
    <w:p>
      <w:pPr>
        <w:spacing w:line="360" w:lineRule="auto"/>
        <w:ind w:firstLine="457" w:firstLineChars="218"/>
        <w:rPr>
          <w:rFonts w:ascii="宋体" w:hAnsi="宋体"/>
          <w:szCs w:val="21"/>
          <w:highlight w:val="none"/>
        </w:rPr>
      </w:pPr>
      <w:r>
        <w:rPr>
          <w:rFonts w:hint="eastAsia" w:ascii="宋体" w:hAnsi="宋体"/>
          <w:szCs w:val="21"/>
          <w:highlight w:val="none"/>
        </w:rPr>
        <w:t>1、本合同以及与本合同相关的一切事项均受中华人民共和国法律管辖。</w:t>
      </w:r>
    </w:p>
    <w:p>
      <w:pPr>
        <w:spacing w:line="360" w:lineRule="auto"/>
        <w:ind w:firstLine="457" w:firstLineChars="218"/>
        <w:rPr>
          <w:rFonts w:ascii="宋体" w:hAnsi="宋体"/>
          <w:szCs w:val="21"/>
          <w:highlight w:val="none"/>
        </w:rPr>
      </w:pPr>
      <w:r>
        <w:rPr>
          <w:rFonts w:hint="eastAsia" w:ascii="宋体" w:hAnsi="宋体"/>
          <w:szCs w:val="21"/>
          <w:highlight w:val="none"/>
        </w:rPr>
        <w:t>本合同所包括的附件，是本合同不可分割的组成部分，具有同等的法定效力。如果附件与合同正文不一致，合同正文效力优先。如果不同时间的文件有不一致或模糊时，以时间后者为准。</w:t>
      </w:r>
    </w:p>
    <w:p>
      <w:pPr>
        <w:numPr>
          <w:ilvl w:val="0"/>
          <w:numId w:val="12"/>
        </w:numPr>
        <w:spacing w:line="360" w:lineRule="auto"/>
        <w:ind w:firstLine="457" w:firstLineChars="218"/>
        <w:rPr>
          <w:rFonts w:ascii="宋体" w:hAnsi="宋体"/>
          <w:szCs w:val="21"/>
          <w:highlight w:val="none"/>
        </w:rPr>
      </w:pPr>
      <w:r>
        <w:rPr>
          <w:rFonts w:hint="eastAsia" w:ascii="宋体" w:hAnsi="宋体"/>
          <w:szCs w:val="21"/>
          <w:highlight w:val="none"/>
        </w:rPr>
        <w:t>本合同“附件1、附件2、附件3、附件4、附件5、附件6”是本合同不可分割的部分，享有与本合同同等法律效力。</w:t>
      </w:r>
    </w:p>
    <w:p>
      <w:pPr>
        <w:pStyle w:val="36"/>
        <w:autoSpaceDE w:val="0"/>
        <w:autoSpaceDN w:val="0"/>
        <w:adjustRightInd w:val="0"/>
        <w:spacing w:line="560" w:lineRule="exact"/>
        <w:ind w:firstLine="420" w:firstLineChars="200"/>
        <w:rPr>
          <w:rFonts w:cs="黑体"/>
          <w:color w:val="000000"/>
          <w:sz w:val="21"/>
          <w:szCs w:val="21"/>
          <w:highlight w:val="none"/>
        </w:rPr>
      </w:pPr>
    </w:p>
    <w:p>
      <w:pPr>
        <w:pStyle w:val="36"/>
        <w:autoSpaceDE w:val="0"/>
        <w:autoSpaceDN w:val="0"/>
        <w:adjustRightInd w:val="0"/>
        <w:spacing w:line="560" w:lineRule="exact"/>
        <w:ind w:left="5855" w:leftChars="228" w:hanging="5376" w:hangingChars="2550"/>
        <w:rPr>
          <w:rFonts w:cs="黑体"/>
          <w:b/>
          <w:color w:val="000000"/>
          <w:sz w:val="21"/>
          <w:szCs w:val="21"/>
          <w:highlight w:val="none"/>
        </w:rPr>
      </w:pPr>
      <w:r>
        <w:rPr>
          <w:rFonts w:hint="eastAsia" w:cs="黑体"/>
          <w:b/>
          <w:color w:val="000000"/>
          <w:sz w:val="21"/>
          <w:szCs w:val="21"/>
          <w:highlight w:val="none"/>
        </w:rPr>
        <w:t xml:space="preserve">甲方（盖章）：佛山市恒益环保建材有限公司  乙方（盖章）：    </w:t>
      </w:r>
    </w:p>
    <w:p>
      <w:pPr>
        <w:pStyle w:val="36"/>
        <w:autoSpaceDE w:val="0"/>
        <w:autoSpaceDN w:val="0"/>
        <w:adjustRightInd w:val="0"/>
        <w:spacing w:line="560" w:lineRule="exact"/>
        <w:ind w:firstLine="422" w:firstLineChars="200"/>
        <w:rPr>
          <w:rFonts w:cs="黑体"/>
          <w:b/>
          <w:color w:val="000000"/>
          <w:sz w:val="21"/>
          <w:szCs w:val="21"/>
          <w:highlight w:val="none"/>
        </w:rPr>
      </w:pPr>
      <w:r>
        <w:rPr>
          <w:rFonts w:hint="eastAsia" w:cs="黑体"/>
          <w:b/>
          <w:color w:val="000000"/>
          <w:sz w:val="21"/>
          <w:szCs w:val="21"/>
          <w:highlight w:val="none"/>
        </w:rPr>
        <w:t xml:space="preserve">代表（签字）：                             代表（签字）： </w:t>
      </w:r>
    </w:p>
    <w:p>
      <w:pPr>
        <w:pStyle w:val="36"/>
        <w:autoSpaceDE w:val="0"/>
        <w:autoSpaceDN w:val="0"/>
        <w:adjustRightInd w:val="0"/>
        <w:spacing w:line="560" w:lineRule="exact"/>
        <w:ind w:firstLine="422" w:firstLineChars="200"/>
        <w:rPr>
          <w:rFonts w:cs="黑体"/>
          <w:b/>
          <w:color w:val="000000"/>
          <w:sz w:val="21"/>
          <w:szCs w:val="21"/>
          <w:highlight w:val="none"/>
        </w:rPr>
      </w:pPr>
      <w:r>
        <w:rPr>
          <w:rFonts w:hint="eastAsia" w:cs="黑体"/>
          <w:b/>
          <w:color w:val="000000"/>
          <w:sz w:val="21"/>
          <w:szCs w:val="21"/>
          <w:highlight w:val="none"/>
        </w:rPr>
        <w:t>日期：                                     日期：</w:t>
      </w:r>
    </w:p>
    <w:p>
      <w:pPr>
        <w:spacing w:line="500" w:lineRule="exact"/>
        <w:rPr>
          <w:rFonts w:ascii="宋体" w:hAnsi="宋体"/>
          <w:szCs w:val="21"/>
          <w:highlight w:val="none"/>
        </w:rPr>
      </w:pPr>
    </w:p>
    <w:p>
      <w:pPr>
        <w:spacing w:line="500" w:lineRule="exact"/>
        <w:rPr>
          <w:rFonts w:ascii="宋体" w:hAnsi="宋体"/>
          <w:szCs w:val="21"/>
          <w:highlight w:val="none"/>
        </w:rPr>
      </w:pPr>
    </w:p>
    <w:p>
      <w:pPr>
        <w:spacing w:line="500" w:lineRule="exact"/>
        <w:rPr>
          <w:rFonts w:ascii="宋体" w:hAnsi="宋体"/>
          <w:szCs w:val="21"/>
          <w:highlight w:val="none"/>
        </w:rPr>
      </w:pPr>
    </w:p>
    <w:p>
      <w:pPr>
        <w:spacing w:line="500" w:lineRule="exact"/>
        <w:rPr>
          <w:rFonts w:ascii="宋体" w:hAnsi="宋体"/>
          <w:b/>
          <w:bCs/>
          <w:szCs w:val="21"/>
          <w:highlight w:val="none"/>
        </w:rPr>
      </w:pPr>
      <w:r>
        <w:rPr>
          <w:rFonts w:ascii="宋体" w:hAnsi="宋体"/>
          <w:szCs w:val="21"/>
          <w:highlight w:val="none"/>
        </w:rPr>
        <w:br w:type="page"/>
      </w:r>
      <w:r>
        <w:rPr>
          <w:rFonts w:hint="eastAsia" w:ascii="宋体" w:hAnsi="宋体"/>
          <w:b/>
          <w:bCs/>
          <w:szCs w:val="21"/>
          <w:highlight w:val="none"/>
        </w:rPr>
        <w:t>附件1:</w:t>
      </w:r>
    </w:p>
    <w:p>
      <w:pPr>
        <w:spacing w:line="400" w:lineRule="exact"/>
        <w:jc w:val="center"/>
        <w:rPr>
          <w:rFonts w:ascii="黑体" w:hAnsi="华文中宋" w:eastAsia="黑体"/>
          <w:b/>
          <w:sz w:val="30"/>
          <w:szCs w:val="30"/>
          <w:highlight w:val="none"/>
        </w:rPr>
      </w:pPr>
      <w:r>
        <w:rPr>
          <w:rFonts w:hint="eastAsia" w:ascii="宋体" w:hAnsi="宋体" w:cs="宋体"/>
          <w:b/>
          <w:color w:val="000000"/>
          <w:kern w:val="0"/>
          <w:sz w:val="30"/>
          <w:szCs w:val="30"/>
          <w:highlight w:val="none"/>
        </w:rPr>
        <w:t>佛山市恒益环保建材有限公司加气砌块生产辅助业务外委项目</w:t>
      </w:r>
    </w:p>
    <w:p>
      <w:pPr>
        <w:spacing w:line="400" w:lineRule="exact"/>
        <w:jc w:val="center"/>
        <w:rPr>
          <w:rFonts w:ascii="黑体" w:hAnsi="华文中宋" w:eastAsia="黑体"/>
          <w:szCs w:val="21"/>
          <w:highlight w:val="none"/>
        </w:rPr>
      </w:pPr>
      <w:r>
        <w:rPr>
          <w:rFonts w:hint="eastAsia" w:ascii="黑体" w:hAnsi="华文中宋" w:eastAsia="黑体"/>
          <w:sz w:val="30"/>
          <w:szCs w:val="30"/>
          <w:highlight w:val="none"/>
        </w:rPr>
        <w:t>业务承包的具体工作细则</w:t>
      </w:r>
    </w:p>
    <w:p>
      <w:pPr>
        <w:spacing w:line="500" w:lineRule="exact"/>
        <w:rPr>
          <w:rFonts w:ascii="黑体" w:hAnsi="华文中宋" w:eastAsia="黑体"/>
          <w:szCs w:val="21"/>
          <w:highlight w:val="none"/>
        </w:rPr>
      </w:pPr>
    </w:p>
    <w:p>
      <w:pPr>
        <w:widowControl/>
        <w:spacing w:line="360" w:lineRule="auto"/>
        <w:ind w:firstLine="482"/>
        <w:jc w:val="left"/>
        <w:rPr>
          <w:rFonts w:asciiTheme="minorEastAsia" w:hAnsiTheme="minorEastAsia" w:eastAsiaTheme="minorEastAsia"/>
          <w:szCs w:val="21"/>
          <w:highlight w:val="none"/>
        </w:rPr>
      </w:pPr>
      <w:r>
        <w:rPr>
          <w:rFonts w:asciiTheme="minorEastAsia" w:hAnsiTheme="minorEastAsia" w:eastAsiaTheme="minorEastAsia"/>
          <w:b/>
          <w:szCs w:val="21"/>
          <w:highlight w:val="none"/>
        </w:rPr>
        <w:t>1.生产线辅助业务部分</w:t>
      </w:r>
      <w:r>
        <w:rPr>
          <w:rFonts w:hint="eastAsia" w:asciiTheme="minorEastAsia" w:hAnsiTheme="minorEastAsia" w:eastAsiaTheme="minorEastAsia"/>
          <w:szCs w:val="21"/>
          <w:highlight w:val="none"/>
        </w:rPr>
        <w:t>（未明确强调具体人员配置数量的工作任务乙方可安排兼职人员，但必须按照甲方要求完成相关工作任务。）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  </w:t>
      </w:r>
      <w:r>
        <w:rPr>
          <w:rFonts w:hint="eastAsia" w:asciiTheme="minorEastAsia" w:hAnsiTheme="minorEastAsia" w:eastAsiaTheme="minorEastAsia"/>
          <w:b/>
          <w:szCs w:val="21"/>
          <w:highlight w:val="none"/>
        </w:rPr>
        <w:t>磨房制浆辅助业务的主要工作内容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1.1.1 </w:t>
      </w:r>
      <w:r>
        <w:rPr>
          <w:rFonts w:hint="eastAsia" w:asciiTheme="minorEastAsia" w:hAnsiTheme="minorEastAsia" w:eastAsiaTheme="minorEastAsia"/>
          <w:szCs w:val="21"/>
          <w:highlight w:val="none"/>
        </w:rPr>
        <w:t>负责所有砂皮带运行巡检，中控操作自动运行时现场巡检监护。负责对胶带输送机</w:t>
      </w:r>
      <w:r>
        <w:rPr>
          <w:rFonts w:asciiTheme="minorEastAsia" w:hAnsiTheme="minorEastAsia" w:eastAsiaTheme="minorEastAsia"/>
          <w:szCs w:val="21"/>
          <w:highlight w:val="none"/>
        </w:rPr>
        <w:t>、砂皮带秤</w:t>
      </w:r>
      <w:r>
        <w:rPr>
          <w:rFonts w:hint="eastAsia" w:asciiTheme="minorEastAsia" w:hAnsiTheme="minorEastAsia" w:eastAsiaTheme="minorEastAsia"/>
          <w:szCs w:val="21"/>
          <w:highlight w:val="none"/>
        </w:rPr>
        <w:t>下方漏砂清理。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 </w:t>
      </w:r>
      <w:r>
        <w:rPr>
          <w:rFonts w:hint="eastAsia" w:asciiTheme="minorEastAsia" w:hAnsiTheme="minorEastAsia" w:eastAsiaTheme="minorEastAsia"/>
          <w:szCs w:val="21"/>
          <w:highlight w:val="none"/>
        </w:rPr>
        <w:t>负责粉煤灰制浆工作，中控操作自动运行时现场巡检监护及出口手动阀操作，负责区域内卫生。</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 </w:t>
      </w:r>
      <w:r>
        <w:rPr>
          <w:rFonts w:hint="eastAsia" w:asciiTheme="minorEastAsia" w:hAnsiTheme="minorEastAsia" w:eastAsiaTheme="minorEastAsia"/>
          <w:szCs w:val="21"/>
          <w:highlight w:val="none"/>
        </w:rPr>
        <w:t>负责石膏制浆，人工铲料制浆，负责门外撒落石膏及积水沟、坑的清理。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1.1.4 </w:t>
      </w:r>
      <w:r>
        <w:rPr>
          <w:rFonts w:hint="eastAsia" w:asciiTheme="minorEastAsia" w:hAnsiTheme="minorEastAsia" w:eastAsiaTheme="minorEastAsia"/>
          <w:szCs w:val="21"/>
          <w:highlight w:val="none"/>
        </w:rPr>
        <w:t>负责</w:t>
      </w:r>
      <w:r>
        <w:rPr>
          <w:rFonts w:hint="eastAsia" w:ascii="宋体" w:hAnsi="宋体"/>
          <w:szCs w:val="21"/>
          <w:highlight w:val="none"/>
        </w:rPr>
        <w:t>其他生产原材料</w:t>
      </w:r>
      <w:r>
        <w:rPr>
          <w:rFonts w:hint="eastAsia" w:asciiTheme="minorEastAsia" w:hAnsiTheme="minorEastAsia" w:eastAsiaTheme="minorEastAsia"/>
          <w:szCs w:val="21"/>
          <w:highlight w:val="none"/>
        </w:rPr>
        <w:t>制浆，人工操作阀门输送，负责区域内卫生。</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1.1.5 </w:t>
      </w:r>
      <w:r>
        <w:rPr>
          <w:rFonts w:hint="eastAsia" w:asciiTheme="minorEastAsia" w:hAnsiTheme="minorEastAsia" w:eastAsiaTheme="minorEastAsia"/>
          <w:szCs w:val="21"/>
          <w:highlight w:val="none"/>
        </w:rPr>
        <w:t>负责磨头罐、砂皮带、磨机入口、磨机出口、磨机接收地坑等设备运行时现场巡检监控，调整废浆下料量，按操作规程操作设备，保证系统设备正常运行，按工艺要求制备合格砂浆。生产异常及时处理；磨机检修时及日常的钢锻装卸、磨机内壁板、导流板、轴承等的清理；磨机正常运行时产生的石仔清理。砂浆每一地坑的比重、每罐砂浆含水的测试。负责区域内卫生。</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1.1.6 </w:t>
      </w:r>
      <w:r>
        <w:rPr>
          <w:rFonts w:hint="eastAsia" w:asciiTheme="minorEastAsia" w:hAnsiTheme="minorEastAsia" w:eastAsiaTheme="minorEastAsia"/>
          <w:szCs w:val="21"/>
          <w:highlight w:val="none"/>
        </w:rPr>
        <w:t>负责所有罐、坑的搅拌、阀门、泵的运行监护。废浆比重、含水的测试，保证废浆符合工艺要求。负责区域卫生、罐区内所有秤重系统范围的清洁。</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1.1.7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6人以上。</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1.2</w:t>
      </w:r>
      <w:r>
        <w:rPr>
          <w:rFonts w:hint="eastAsia" w:asciiTheme="minorEastAsia" w:hAnsiTheme="minorEastAsia" w:eastAsiaTheme="minorEastAsia"/>
          <w:b/>
          <w:szCs w:val="21"/>
          <w:highlight w:val="none"/>
        </w:rPr>
        <w:t>铝粉制浆辅助业务的主要工作内容</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1.2.1 </w:t>
      </w:r>
      <w:r>
        <w:rPr>
          <w:rFonts w:hint="eastAsia" w:asciiTheme="minorEastAsia" w:hAnsiTheme="minorEastAsia" w:eastAsiaTheme="minorEastAsia"/>
          <w:szCs w:val="21"/>
          <w:highlight w:val="none"/>
        </w:rPr>
        <w:t>负责铝粉膏的吊运，将来货铝粉膏从</w:t>
      </w:r>
      <w:r>
        <w:rPr>
          <w:rFonts w:asciiTheme="minorEastAsia" w:hAnsiTheme="minorEastAsia" w:eastAsiaTheme="minorEastAsia"/>
          <w:szCs w:val="21"/>
          <w:highlight w:val="none"/>
        </w:rPr>
        <w:t>1楼用电动葫芦吊运至3楼，按要求运至铝粉库码放整齐。</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1.2.2 </w:t>
      </w:r>
      <w:r>
        <w:rPr>
          <w:rFonts w:hint="eastAsia" w:asciiTheme="minorEastAsia" w:hAnsiTheme="minorEastAsia" w:eastAsiaTheme="minorEastAsia"/>
          <w:szCs w:val="21"/>
          <w:highlight w:val="none"/>
        </w:rPr>
        <w:t>负责按要求冲洗浇注</w:t>
      </w:r>
      <w:r>
        <w:rPr>
          <w:rFonts w:asciiTheme="minorEastAsia" w:hAnsiTheme="minorEastAsia" w:eastAsiaTheme="minorEastAsia"/>
          <w:szCs w:val="21"/>
          <w:highlight w:val="none"/>
        </w:rPr>
        <w:t>搅拌罐、料浆、斗秤；按中控指令做摊开度。按要求添加适量铝粉至自动铝粉储罐。在生产过程中监控自动铝粉机的工作状态。每班检查收尘管道、料浆管道、石灰、水泥管道是否畅通及有否挂靠</w:t>
      </w:r>
      <w:r>
        <w:rPr>
          <w:rFonts w:hint="eastAsia" w:asciiTheme="minorEastAsia" w:hAnsiTheme="minorEastAsia" w:eastAsiaTheme="minorEastAsia"/>
          <w:szCs w:val="21"/>
          <w:highlight w:val="none"/>
        </w:rPr>
        <w:t>浇注</w:t>
      </w:r>
      <w:r>
        <w:rPr>
          <w:rFonts w:asciiTheme="minorEastAsia" w:hAnsiTheme="minorEastAsia" w:eastAsiaTheme="minorEastAsia"/>
          <w:szCs w:val="21"/>
          <w:highlight w:val="none"/>
        </w:rPr>
        <w:t>搅拌罐。手动添加（自动故障时采用）按需用量将铝粉从3楼铝粉库搬运至2楼，</w:t>
      </w:r>
      <w:r>
        <w:rPr>
          <w:rFonts w:hint="eastAsia" w:asciiTheme="minorEastAsia" w:hAnsiTheme="minorEastAsia" w:eastAsiaTheme="minorEastAsia"/>
          <w:szCs w:val="21"/>
          <w:highlight w:val="none"/>
        </w:rPr>
        <w:t>每模按要求秤好铝粉并加入铝粉浇拌罐中。检查收尘管道、料浆管道、石灰、水泥管道是否畅通及有否挂靠浇注</w:t>
      </w:r>
      <w:r>
        <w:rPr>
          <w:rFonts w:asciiTheme="minorEastAsia" w:hAnsiTheme="minorEastAsia" w:eastAsiaTheme="minorEastAsia"/>
          <w:szCs w:val="21"/>
          <w:highlight w:val="none"/>
        </w:rPr>
        <w:t>搅拌罐。</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1.2.3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1.3 </w:t>
      </w:r>
      <w:r>
        <w:rPr>
          <w:rFonts w:hint="eastAsia" w:asciiTheme="minorEastAsia" w:hAnsiTheme="minorEastAsia" w:eastAsiaTheme="minorEastAsia"/>
          <w:b/>
          <w:szCs w:val="21"/>
          <w:highlight w:val="none"/>
        </w:rPr>
        <w:t>静停辅助业务的主要工作内容</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1.3.1 </w:t>
      </w:r>
      <w:r>
        <w:rPr>
          <w:rFonts w:hint="eastAsia" w:asciiTheme="minorEastAsia" w:hAnsiTheme="minorEastAsia" w:eastAsiaTheme="minorEastAsia"/>
          <w:szCs w:val="21"/>
          <w:highlight w:val="none"/>
        </w:rPr>
        <w:t>负责观察下浆过程，检查模箱有否漏浆，有漏浆及时堵漏。保证</w:t>
      </w:r>
      <w:r>
        <w:rPr>
          <w:rFonts w:asciiTheme="minorEastAsia" w:hAnsiTheme="minorEastAsia" w:eastAsiaTheme="minorEastAsia"/>
          <w:szCs w:val="21"/>
          <w:highlight w:val="none"/>
        </w:rPr>
        <w:t>317下料管道畅通。</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1.3.2 </w:t>
      </w:r>
      <w:r>
        <w:rPr>
          <w:rFonts w:hint="eastAsia" w:asciiTheme="minorEastAsia" w:hAnsiTheme="minorEastAsia" w:eastAsiaTheme="minorEastAsia"/>
          <w:szCs w:val="21"/>
          <w:highlight w:val="none"/>
        </w:rPr>
        <w:t>负责预养窑内坯体发气、静停等观察，及时处理模框漏浆。掌握坯体硬化情况，及时沟通翻转岗位，确保坯体适合的切割硬度。</w:t>
      </w:r>
    </w:p>
    <w:p>
      <w:pPr>
        <w:spacing w:line="360" w:lineRule="auto"/>
        <w:ind w:firstLine="420" w:firstLineChars="200"/>
        <w:jc w:val="left"/>
        <w:rPr>
          <w:rFonts w:asciiTheme="minorEastAsia" w:hAnsiTheme="minorEastAsia" w:eastAsiaTheme="minorEastAsia"/>
          <w:b/>
          <w:szCs w:val="21"/>
          <w:highlight w:val="none"/>
        </w:rPr>
      </w:pPr>
      <w:r>
        <w:rPr>
          <w:rFonts w:asciiTheme="minorEastAsia" w:hAnsiTheme="minorEastAsia" w:eastAsiaTheme="minorEastAsia"/>
          <w:szCs w:val="21"/>
          <w:highlight w:val="none"/>
        </w:rPr>
        <w:t xml:space="preserve">1.4 </w:t>
      </w:r>
      <w:r>
        <w:rPr>
          <w:rFonts w:hint="eastAsia" w:asciiTheme="minorEastAsia" w:hAnsiTheme="minorEastAsia" w:eastAsiaTheme="minorEastAsia"/>
          <w:b/>
          <w:szCs w:val="21"/>
          <w:highlight w:val="none"/>
        </w:rPr>
        <w:t>涂刷辅助业务的主要工作内容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1.4.1 </w:t>
      </w:r>
      <w:r>
        <w:rPr>
          <w:rFonts w:hint="eastAsia" w:asciiTheme="minorEastAsia" w:hAnsiTheme="minorEastAsia" w:eastAsiaTheme="minorEastAsia"/>
          <w:szCs w:val="21"/>
          <w:highlight w:val="none"/>
        </w:rPr>
        <w:t>负责脱模剂由废油地坑抽出用桶装至作业现场。</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1.4.2 </w:t>
      </w:r>
      <w:r>
        <w:rPr>
          <w:rFonts w:hint="eastAsia" w:asciiTheme="minorEastAsia" w:hAnsiTheme="minorEastAsia" w:eastAsiaTheme="minorEastAsia"/>
          <w:szCs w:val="21"/>
          <w:highlight w:val="none"/>
        </w:rPr>
        <w:t>负责脱模剂堆场将日用量的脱模剂搬运至现场。</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1.4.3 </w:t>
      </w:r>
      <w:r>
        <w:rPr>
          <w:rFonts w:hint="eastAsia" w:asciiTheme="minorEastAsia" w:hAnsiTheme="minorEastAsia" w:eastAsiaTheme="minorEastAsia"/>
          <w:szCs w:val="21"/>
          <w:highlight w:val="none"/>
        </w:rPr>
        <w:t>负责均匀涂抹整个模箱，检查模框胶条与</w:t>
      </w:r>
      <w:r>
        <w:rPr>
          <w:rFonts w:hint="eastAsia" w:ascii="宋体" w:hAnsi="宋体"/>
          <w:szCs w:val="21"/>
          <w:highlight w:val="none"/>
        </w:rPr>
        <w:t>侧板</w:t>
      </w:r>
      <w:r>
        <w:rPr>
          <w:rFonts w:hint="eastAsia" w:asciiTheme="minorEastAsia" w:hAnsiTheme="minorEastAsia" w:eastAsiaTheme="minorEastAsia"/>
          <w:szCs w:val="21"/>
          <w:highlight w:val="none"/>
        </w:rPr>
        <w:t>的吻合是否符合要求。</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1.4.4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1.5翻转辅助业务的主要工作内容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1.5.1 </w:t>
      </w:r>
      <w:r>
        <w:rPr>
          <w:rFonts w:hint="eastAsia" w:asciiTheme="minorEastAsia" w:hAnsiTheme="minorEastAsia" w:eastAsiaTheme="minorEastAsia"/>
          <w:szCs w:val="21"/>
          <w:highlight w:val="none"/>
        </w:rPr>
        <w:t>负责</w:t>
      </w:r>
      <w:r>
        <w:rPr>
          <w:rFonts w:hint="eastAsia" w:ascii="宋体" w:hAnsi="宋体"/>
          <w:szCs w:val="21"/>
          <w:highlight w:val="none"/>
        </w:rPr>
        <w:t>侧板</w:t>
      </w:r>
      <w:r>
        <w:rPr>
          <w:rFonts w:hint="eastAsia" w:asciiTheme="minorEastAsia" w:hAnsiTheme="minorEastAsia" w:eastAsiaTheme="minorEastAsia"/>
          <w:szCs w:val="21"/>
          <w:highlight w:val="none"/>
        </w:rPr>
        <w:t>、模框清洁，要求对每一个合模的</w:t>
      </w:r>
      <w:r>
        <w:rPr>
          <w:rFonts w:hint="eastAsia" w:ascii="宋体" w:hAnsi="宋体"/>
          <w:szCs w:val="21"/>
          <w:highlight w:val="none"/>
        </w:rPr>
        <w:t>侧板</w:t>
      </w:r>
      <w:r>
        <w:rPr>
          <w:rFonts w:hint="eastAsia" w:asciiTheme="minorEastAsia" w:hAnsiTheme="minorEastAsia" w:eastAsiaTheme="minorEastAsia"/>
          <w:szCs w:val="21"/>
          <w:highlight w:val="none"/>
        </w:rPr>
        <w:t>进行结料初清理；清理模框表面的软料。模框冒高时表面钢丝拉割。</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1.5.2负责铺彩条布并用夹子固定，</w:t>
      </w:r>
      <w:r>
        <w:rPr>
          <w:rFonts w:hint="eastAsia" w:asciiTheme="minorEastAsia" w:hAnsiTheme="minorEastAsia" w:eastAsiaTheme="minorEastAsia"/>
          <w:szCs w:val="21"/>
          <w:highlight w:val="none"/>
        </w:rPr>
        <w:t>模框合</w:t>
      </w:r>
      <w:r>
        <w:rPr>
          <w:rFonts w:hint="eastAsia" w:ascii="宋体" w:hAnsi="宋体"/>
          <w:szCs w:val="21"/>
          <w:highlight w:val="none"/>
        </w:rPr>
        <w:t>侧板</w:t>
      </w:r>
      <w:r>
        <w:rPr>
          <w:rFonts w:hint="eastAsia" w:asciiTheme="minorEastAsia" w:hAnsiTheme="minorEastAsia" w:eastAsiaTheme="minorEastAsia"/>
          <w:szCs w:val="21"/>
          <w:highlight w:val="none"/>
        </w:rPr>
        <w:t>前对模框内部的清洁。对所有模框密封条进行磨损检查。合模时</w:t>
      </w:r>
      <w:r>
        <w:rPr>
          <w:rFonts w:hint="eastAsia" w:ascii="宋体" w:hAnsi="宋体"/>
          <w:szCs w:val="21"/>
          <w:highlight w:val="none"/>
        </w:rPr>
        <w:t>侧板</w:t>
      </w:r>
      <w:r>
        <w:rPr>
          <w:rFonts w:hint="eastAsia" w:asciiTheme="minorEastAsia" w:hAnsiTheme="minorEastAsia" w:eastAsiaTheme="minorEastAsia"/>
          <w:szCs w:val="21"/>
          <w:highlight w:val="none"/>
        </w:rPr>
        <w:t>不到位时人工校正。</w:t>
      </w:r>
    </w:p>
    <w:p>
      <w:pPr>
        <w:spacing w:line="360" w:lineRule="auto"/>
        <w:ind w:firstLine="420" w:firstLineChars="200"/>
        <w:jc w:val="left"/>
        <w:rPr>
          <w:rFonts w:asciiTheme="minorEastAsia" w:hAnsiTheme="minorEastAsia" w:eastAsiaTheme="minorEastAsia"/>
          <w:b/>
          <w:szCs w:val="21"/>
          <w:highlight w:val="none"/>
        </w:rPr>
      </w:pPr>
      <w:r>
        <w:rPr>
          <w:rFonts w:asciiTheme="minorEastAsia" w:hAnsiTheme="minorEastAsia" w:eastAsiaTheme="minorEastAsia"/>
          <w:szCs w:val="21"/>
          <w:highlight w:val="none"/>
        </w:rPr>
        <w:t xml:space="preserve">1.5.3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w:t>
      </w:r>
    </w:p>
    <w:p>
      <w:pPr>
        <w:widowControl/>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1.6切割辅助业务的主要工作内容</w:t>
      </w:r>
    </w:p>
    <w:p>
      <w:pPr>
        <w:widowControl/>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1.6.1 </w:t>
      </w:r>
      <w:r>
        <w:rPr>
          <w:rFonts w:hint="eastAsia" w:asciiTheme="minorEastAsia" w:hAnsiTheme="minorEastAsia" w:eastAsiaTheme="minorEastAsia"/>
          <w:szCs w:val="21"/>
          <w:highlight w:val="none"/>
        </w:rPr>
        <w:t>负责按要求更换横切钢丝、纵切钢丝。</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1.6.2负责半成品切割前坯体西边倒角；按要求对纵切、横切钢丝、纵切刀片进行清洁。按要求对所需设备进行加油保养。</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1.6.3 </w:t>
      </w:r>
      <w:r>
        <w:rPr>
          <w:rFonts w:hint="eastAsia" w:asciiTheme="minorEastAsia" w:hAnsiTheme="minorEastAsia" w:eastAsiaTheme="minorEastAsia"/>
          <w:szCs w:val="21"/>
          <w:highlight w:val="none"/>
        </w:rPr>
        <w:t>负责坯体翻转后对崩角、断裂、工艺纹严重的半成品推倒制浆。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1.6.4建议本辅助业务人员2人以上。</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1.7蒸养辅助业务的主要工作内容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1.7.1 </w:t>
      </w:r>
      <w:r>
        <w:rPr>
          <w:rFonts w:hint="eastAsia" w:asciiTheme="minorEastAsia" w:hAnsiTheme="minorEastAsia" w:eastAsiaTheme="minorEastAsia"/>
          <w:szCs w:val="21"/>
          <w:highlight w:val="none"/>
        </w:rPr>
        <w:t>负责按要求对蒸养小车位置进行确认、蒸养小车轴承进行加油；每釜关釜门前对釜圈涂抹石墨油，每周对蒸压釜釜底活动滚轴加油。釜前吊机、釜前链条的随机操作（自动故障时）。</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1.7.2 </w:t>
      </w:r>
      <w:r>
        <w:rPr>
          <w:rFonts w:hint="eastAsia" w:asciiTheme="minorEastAsia" w:hAnsiTheme="minorEastAsia" w:eastAsiaTheme="minorEastAsia"/>
          <w:szCs w:val="21"/>
          <w:highlight w:val="none"/>
        </w:rPr>
        <w:t>负责协助蒸养工更换釜圈。</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1.7.3 </w:t>
      </w:r>
      <w:r>
        <w:rPr>
          <w:rFonts w:hint="eastAsia" w:asciiTheme="minorEastAsia" w:hAnsiTheme="minorEastAsia" w:eastAsiaTheme="minorEastAsia"/>
          <w:szCs w:val="21"/>
          <w:highlight w:val="none"/>
        </w:rPr>
        <w:t>按每</w:t>
      </w:r>
      <w:r>
        <w:rPr>
          <w:rFonts w:asciiTheme="minorEastAsia" w:hAnsiTheme="minorEastAsia" w:eastAsiaTheme="minorEastAsia"/>
          <w:szCs w:val="21"/>
          <w:highlight w:val="none"/>
        </w:rPr>
        <w:t>2周循环一次对1-7号</w:t>
      </w:r>
      <w:r>
        <w:rPr>
          <w:rFonts w:hint="eastAsia" w:asciiTheme="minorEastAsia" w:hAnsiTheme="minorEastAsia" w:eastAsiaTheme="minorEastAsia"/>
          <w:szCs w:val="21"/>
          <w:highlight w:val="none"/>
        </w:rPr>
        <w:t>釜内积料清理，如积料较多周期缩短。</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1.7.4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1.8 </w:t>
      </w:r>
      <w:r>
        <w:rPr>
          <w:rFonts w:hint="eastAsia" w:asciiTheme="minorEastAsia" w:hAnsiTheme="minorEastAsia" w:eastAsiaTheme="minorEastAsia"/>
          <w:b/>
          <w:szCs w:val="21"/>
          <w:highlight w:val="none"/>
        </w:rPr>
        <w:t>地翻台辅助业务的主要工作内容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1.8.1 </w:t>
      </w:r>
      <w:r>
        <w:rPr>
          <w:rFonts w:hint="eastAsia" w:asciiTheme="minorEastAsia" w:hAnsiTheme="minorEastAsia" w:eastAsiaTheme="minorEastAsia"/>
          <w:szCs w:val="21"/>
          <w:highlight w:val="none"/>
        </w:rPr>
        <w:t>负责操作刮刀开关翻转台正翻运行后按下刮刀下行开关。</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1.8.2 </w:t>
      </w:r>
      <w:r>
        <w:rPr>
          <w:rFonts w:hint="eastAsia" w:asciiTheme="minorEastAsia" w:hAnsiTheme="minorEastAsia" w:eastAsiaTheme="minorEastAsia"/>
          <w:szCs w:val="21"/>
          <w:highlight w:val="none"/>
        </w:rPr>
        <w:t>负责坯体翻转后及时收彩条布，折好后交铺彩条布岗位。及时清理大板、限位的积料，保持清洁。</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1.8.3负责对坯体翻转后对崩角、断裂、工艺纹严重的半成品推倒制浆。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1.8.4建议本辅助业务人员2人以上。</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1.9 </w:t>
      </w:r>
      <w:r>
        <w:rPr>
          <w:rFonts w:hint="eastAsia" w:asciiTheme="minorEastAsia" w:hAnsiTheme="minorEastAsia" w:eastAsiaTheme="minorEastAsia"/>
          <w:b/>
          <w:szCs w:val="21"/>
          <w:highlight w:val="none"/>
        </w:rPr>
        <w:t>半成品翻转吊运辅助业务的主要工作内容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1.9.1 </w:t>
      </w:r>
      <w:r>
        <w:rPr>
          <w:rFonts w:hint="eastAsia" w:asciiTheme="minorEastAsia" w:hAnsiTheme="minorEastAsia" w:eastAsiaTheme="minorEastAsia"/>
          <w:szCs w:val="21"/>
          <w:highlight w:val="none"/>
        </w:rPr>
        <w:t>负责定期对坯体观察高度，检查坯体切割硬度，巡检静停室情况。</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1.9.2 </w:t>
      </w:r>
      <w:r>
        <w:rPr>
          <w:rFonts w:hint="eastAsia" w:asciiTheme="minorEastAsia" w:hAnsiTheme="minorEastAsia" w:eastAsiaTheme="minorEastAsia"/>
          <w:szCs w:val="21"/>
          <w:highlight w:val="none"/>
        </w:rPr>
        <w:t>负责跟上下游岗位生产情况、信息的及时沟通。发现异常及时协调处理。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1.9.3 </w:t>
      </w:r>
      <w:r>
        <w:rPr>
          <w:rFonts w:hint="eastAsia" w:asciiTheme="minorEastAsia" w:hAnsiTheme="minorEastAsia" w:eastAsiaTheme="minorEastAsia"/>
          <w:szCs w:val="21"/>
          <w:highlight w:val="none"/>
        </w:rPr>
        <w:t>负责对适合的半成品及时翻转吊运脱模。检查胶条情况，如破损调开更换后才合模。监督模框涂油情况。合、脱模时模框摆臂不到位时人工校正；模框起吊位不到位时人工校正。</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1.9.4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2人以上，应具有高中以上学历水平。</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1.10 </w:t>
      </w:r>
      <w:r>
        <w:rPr>
          <w:rFonts w:hint="eastAsia" w:asciiTheme="minorEastAsia" w:hAnsiTheme="minorEastAsia" w:eastAsiaTheme="minorEastAsia"/>
          <w:b/>
          <w:szCs w:val="21"/>
          <w:highlight w:val="none"/>
        </w:rPr>
        <w:t>半成品切割辅助业务的主要工作内容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1.10.1负责使用设备前对横切机、</w:t>
      </w:r>
      <w:r>
        <w:rPr>
          <w:rFonts w:hint="eastAsia" w:asciiTheme="minorEastAsia" w:hAnsiTheme="minorEastAsia" w:eastAsiaTheme="minorEastAsia"/>
          <w:szCs w:val="21"/>
          <w:highlight w:val="none"/>
        </w:rPr>
        <w:t>釜前吊机进行检查，空车试运，发现问题及时</w:t>
      </w:r>
    </w:p>
    <w:p>
      <w:pPr>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报检修处理。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1.10.2 </w:t>
      </w:r>
      <w:r>
        <w:rPr>
          <w:rFonts w:hint="eastAsia" w:asciiTheme="minorEastAsia" w:hAnsiTheme="minorEastAsia" w:eastAsiaTheme="minorEastAsia"/>
          <w:szCs w:val="21"/>
          <w:highlight w:val="none"/>
        </w:rPr>
        <w:t>负责跟上下游岗位生产情况、信息的及时沟通。发现异常及时协调处理。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1.10.3 </w:t>
      </w:r>
      <w:r>
        <w:rPr>
          <w:rFonts w:hint="eastAsia" w:asciiTheme="minorEastAsia" w:hAnsiTheme="minorEastAsia" w:eastAsiaTheme="minorEastAsia"/>
          <w:szCs w:val="21"/>
          <w:highlight w:val="none"/>
        </w:rPr>
        <w:t>负责切割前检纵切、横切查钢丝挂格情况，气压情况（不低于</w:t>
      </w:r>
      <w:r>
        <w:rPr>
          <w:rFonts w:asciiTheme="minorEastAsia" w:hAnsiTheme="minorEastAsia" w:eastAsiaTheme="minorEastAsia"/>
          <w:szCs w:val="21"/>
          <w:highlight w:val="none"/>
        </w:rPr>
        <w:t>5bar）。</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1.10.4 </w:t>
      </w:r>
      <w:r>
        <w:rPr>
          <w:rFonts w:hint="eastAsia" w:asciiTheme="minorEastAsia" w:hAnsiTheme="minorEastAsia" w:eastAsiaTheme="minorEastAsia"/>
          <w:szCs w:val="21"/>
          <w:highlight w:val="none"/>
        </w:rPr>
        <w:t>负责坯体切割完后坯体编号编写，坯体切割过程的观察，有异常及时处理。每切</w:t>
      </w:r>
      <w:r>
        <w:rPr>
          <w:rFonts w:asciiTheme="minorEastAsia" w:hAnsiTheme="minorEastAsia" w:eastAsiaTheme="minorEastAsia"/>
          <w:szCs w:val="21"/>
          <w:highlight w:val="none"/>
        </w:rPr>
        <w:t>5模对切割尺寸复检一次。横切支架回升时坯体东边顶推。按要求定期更换全部纵切、横切钢丝。</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1.10.5 </w:t>
      </w:r>
      <w:r>
        <w:rPr>
          <w:rFonts w:hint="eastAsia" w:asciiTheme="minorEastAsia" w:hAnsiTheme="minorEastAsia" w:eastAsiaTheme="minorEastAsia"/>
          <w:szCs w:val="21"/>
          <w:highlight w:val="none"/>
        </w:rPr>
        <w:t>负责及时调运半成品进釜，成品出釜。</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1.10.6 </w:t>
      </w:r>
      <w:r>
        <w:rPr>
          <w:rFonts w:hint="eastAsia" w:asciiTheme="minorEastAsia" w:hAnsiTheme="minorEastAsia" w:eastAsiaTheme="minorEastAsia"/>
          <w:szCs w:val="21"/>
          <w:highlight w:val="none"/>
        </w:rPr>
        <w:t>负责保持区域卫生。每班清洁操作台区域栏杆及支架一次。</w:t>
      </w:r>
    </w:p>
    <w:p>
      <w:pPr>
        <w:spacing w:line="360" w:lineRule="auto"/>
        <w:ind w:firstLine="420" w:firstLineChars="200"/>
        <w:jc w:val="left"/>
        <w:rPr>
          <w:rFonts w:asciiTheme="minorEastAsia" w:hAnsiTheme="minorEastAsia" w:eastAsiaTheme="minorEastAsia"/>
          <w:b/>
          <w:szCs w:val="21"/>
          <w:highlight w:val="none"/>
        </w:rPr>
      </w:pPr>
      <w:r>
        <w:rPr>
          <w:rFonts w:asciiTheme="minorEastAsia" w:hAnsiTheme="minorEastAsia" w:eastAsiaTheme="minorEastAsia"/>
          <w:szCs w:val="21"/>
          <w:highlight w:val="none"/>
        </w:rPr>
        <w:t xml:space="preserve">1.10.7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2人以上，应具有高中以上学历水平。</w:t>
      </w:r>
    </w:p>
    <w:p>
      <w:pPr>
        <w:spacing w:line="360" w:lineRule="auto"/>
        <w:ind w:firstLine="422" w:firstLineChars="200"/>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1.11 </w:t>
      </w:r>
      <w:r>
        <w:rPr>
          <w:rFonts w:hint="eastAsia" w:asciiTheme="minorEastAsia" w:hAnsiTheme="minorEastAsia" w:eastAsiaTheme="minorEastAsia"/>
          <w:b/>
          <w:szCs w:val="21"/>
          <w:highlight w:val="none"/>
        </w:rPr>
        <w:t>半成品堆垛及地翻辅助业务的主要工作内容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1.11.1 </w:t>
      </w:r>
      <w:r>
        <w:rPr>
          <w:rFonts w:hint="eastAsia" w:asciiTheme="minorEastAsia" w:hAnsiTheme="minorEastAsia" w:eastAsiaTheme="minorEastAsia"/>
          <w:szCs w:val="21"/>
          <w:highlight w:val="none"/>
        </w:rPr>
        <w:t>负责使用设备前对堆垛、地翻台进行检查，空车试运，发现问题及时报检修处理。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1.11.2 </w:t>
      </w:r>
      <w:r>
        <w:rPr>
          <w:rFonts w:hint="eastAsia" w:asciiTheme="minorEastAsia" w:hAnsiTheme="minorEastAsia" w:eastAsiaTheme="minorEastAsia"/>
          <w:szCs w:val="21"/>
          <w:highlight w:val="none"/>
        </w:rPr>
        <w:t>负责跟上下游岗位生产情况、信息的及时沟通。发现异常及时协调处理。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1.11.3负责按岗位安全操作规程操作。及时吊运</w:t>
      </w:r>
      <w:r>
        <w:rPr>
          <w:rFonts w:hint="eastAsia" w:ascii="宋体" w:hAnsi="宋体"/>
          <w:szCs w:val="21"/>
          <w:highlight w:val="none"/>
        </w:rPr>
        <w:t>侧板</w:t>
      </w:r>
      <w:r>
        <w:rPr>
          <w:rFonts w:asciiTheme="minorEastAsia" w:hAnsiTheme="minorEastAsia" w:eastAsiaTheme="minorEastAsia"/>
          <w:szCs w:val="21"/>
          <w:highlight w:val="none"/>
        </w:rPr>
        <w:t>到侧板回程合模，吊运半成品上</w:t>
      </w:r>
      <w:r>
        <w:rPr>
          <w:rFonts w:hint="eastAsia" w:asciiTheme="minorEastAsia" w:hAnsiTheme="minorEastAsia" w:eastAsiaTheme="minorEastAsia"/>
          <w:szCs w:val="21"/>
          <w:highlight w:val="none"/>
        </w:rPr>
        <w:t>翻转台去皮，吊运去皮半成品到蒸养小车。</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1.11.4 </w:t>
      </w:r>
      <w:r>
        <w:rPr>
          <w:rFonts w:hint="eastAsia" w:asciiTheme="minorEastAsia" w:hAnsiTheme="minorEastAsia" w:eastAsiaTheme="minorEastAsia"/>
          <w:szCs w:val="21"/>
          <w:highlight w:val="none"/>
        </w:rPr>
        <w:t>负责保持区域卫生。按要求清洁操作台区域栏杆及支架一次。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1.11.5建议本辅助业务人员2人以上，应具有高中以上学历水平。</w:t>
      </w:r>
    </w:p>
    <w:p>
      <w:pPr>
        <w:spacing w:line="360" w:lineRule="auto"/>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    1.12  成品分垛</w:t>
      </w:r>
      <w:r>
        <w:rPr>
          <w:rFonts w:hint="eastAsia" w:asciiTheme="minorEastAsia" w:hAnsiTheme="minorEastAsia" w:eastAsiaTheme="minorEastAsia"/>
          <w:b/>
          <w:szCs w:val="21"/>
          <w:highlight w:val="none"/>
        </w:rPr>
        <w:t>及分掰辅助业务的主要工作内容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1.12.1 </w:t>
      </w:r>
      <w:r>
        <w:rPr>
          <w:rFonts w:hint="eastAsia" w:asciiTheme="minorEastAsia" w:hAnsiTheme="minorEastAsia" w:eastAsiaTheme="minorEastAsia"/>
          <w:szCs w:val="21"/>
          <w:highlight w:val="none"/>
        </w:rPr>
        <w:t>负责使用设备前对分垛吊机、掰板机进行检查，空车试运，发现问题及时报检修处理。掰板机更换胶条。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1.12.2 </w:t>
      </w:r>
      <w:r>
        <w:rPr>
          <w:rFonts w:hint="eastAsia" w:asciiTheme="minorEastAsia" w:hAnsiTheme="minorEastAsia" w:eastAsiaTheme="minorEastAsia"/>
          <w:szCs w:val="21"/>
          <w:highlight w:val="none"/>
        </w:rPr>
        <w:t>负责跟上下游岗位生产情况、信息的及时沟通。发现异常及时协调处理。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1.12.3 </w:t>
      </w:r>
      <w:r>
        <w:rPr>
          <w:rFonts w:hint="eastAsia" w:asciiTheme="minorEastAsia" w:hAnsiTheme="minorEastAsia" w:eastAsiaTheme="minorEastAsia"/>
          <w:szCs w:val="21"/>
          <w:highlight w:val="none"/>
        </w:rPr>
        <w:t>负责按规程操作分垛与掰板机。分垛：吊运成品到掰板机分掰，吊运</w:t>
      </w:r>
      <w:r>
        <w:rPr>
          <w:rFonts w:hint="eastAsia" w:ascii="宋体" w:hAnsi="宋体"/>
          <w:szCs w:val="21"/>
          <w:highlight w:val="none"/>
        </w:rPr>
        <w:t>侧板</w:t>
      </w:r>
      <w:r>
        <w:rPr>
          <w:rFonts w:hint="eastAsia" w:asciiTheme="minorEastAsia" w:hAnsiTheme="minorEastAsia" w:eastAsiaTheme="minorEastAsia"/>
          <w:szCs w:val="21"/>
          <w:highlight w:val="none"/>
        </w:rPr>
        <w:t>及蒸养小车到回程轨道，输送小车到堆垛位。掰板：按成品尺寸调整参数，分掰成品，输送分掰好的成品到分坯位，输送</w:t>
      </w:r>
      <w:r>
        <w:rPr>
          <w:rFonts w:hint="eastAsia" w:ascii="宋体" w:hAnsi="宋体"/>
          <w:szCs w:val="21"/>
          <w:highlight w:val="none"/>
        </w:rPr>
        <w:t>侧板</w:t>
      </w:r>
      <w:r>
        <w:rPr>
          <w:rFonts w:hint="eastAsia" w:asciiTheme="minorEastAsia" w:hAnsiTheme="minorEastAsia" w:eastAsiaTheme="minorEastAsia"/>
          <w:szCs w:val="21"/>
          <w:highlight w:val="none"/>
        </w:rPr>
        <w:t>到分垛位。对固定</w:t>
      </w:r>
      <w:r>
        <w:rPr>
          <w:rFonts w:hint="eastAsia" w:ascii="宋体" w:hAnsi="宋体"/>
          <w:szCs w:val="21"/>
          <w:highlight w:val="none"/>
        </w:rPr>
        <w:t>侧板</w:t>
      </w:r>
      <w:r>
        <w:rPr>
          <w:rFonts w:hint="eastAsia" w:asciiTheme="minorEastAsia" w:hAnsiTheme="minorEastAsia" w:eastAsiaTheme="minorEastAsia"/>
          <w:szCs w:val="21"/>
          <w:highlight w:val="none"/>
        </w:rPr>
        <w:t>清扫。</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1.12.4 </w:t>
      </w:r>
      <w:r>
        <w:rPr>
          <w:rFonts w:hint="eastAsia" w:asciiTheme="minorEastAsia" w:hAnsiTheme="minorEastAsia" w:eastAsiaTheme="minorEastAsia"/>
          <w:szCs w:val="21"/>
          <w:highlight w:val="none"/>
        </w:rPr>
        <w:t>负责保持区域卫生。按要求清洁操作台区域栏杆及支架一次。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1.12.5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2人以上，应具有高中以上学历水平。</w:t>
      </w:r>
    </w:p>
    <w:p>
      <w:pPr>
        <w:widowControl/>
        <w:spacing w:line="360" w:lineRule="auto"/>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    1.13  成品夹坯吊运辅助业务的主要工作内容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1.13.1 </w:t>
      </w:r>
      <w:r>
        <w:rPr>
          <w:rFonts w:hint="eastAsia" w:asciiTheme="minorEastAsia" w:hAnsiTheme="minorEastAsia" w:eastAsiaTheme="minorEastAsia"/>
          <w:szCs w:val="21"/>
          <w:highlight w:val="none"/>
        </w:rPr>
        <w:t>负责使用设备前对夹垛吊机进行检查，空车试运，发现问题及时报检修处理，对掰好的成品及时吊运。操作成品出砖链条。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1.13.2 </w:t>
      </w:r>
      <w:r>
        <w:rPr>
          <w:rFonts w:hint="eastAsia" w:asciiTheme="minorEastAsia" w:hAnsiTheme="minorEastAsia" w:eastAsiaTheme="minorEastAsia"/>
          <w:szCs w:val="21"/>
          <w:highlight w:val="none"/>
        </w:rPr>
        <w:t>负责跟上下游岗位生产情况、信息的及时沟通。发现异常及时协调处理。</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1.13.3 </w:t>
      </w:r>
      <w:r>
        <w:rPr>
          <w:rFonts w:hint="eastAsia" w:asciiTheme="minorEastAsia" w:hAnsiTheme="minorEastAsia" w:eastAsiaTheme="minorEastAsia"/>
          <w:szCs w:val="21"/>
          <w:highlight w:val="none"/>
        </w:rPr>
        <w:t>负责保持区域卫生。每班清洁操作台区域栏杆及支架一次。</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1.13.4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2人以上，应具有高中以上学历水平。</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1.14  </w:t>
      </w:r>
      <w:r>
        <w:rPr>
          <w:rFonts w:hint="eastAsia" w:asciiTheme="minorEastAsia" w:hAnsiTheme="minorEastAsia" w:eastAsiaTheme="minorEastAsia"/>
          <w:b/>
          <w:szCs w:val="21"/>
          <w:highlight w:val="none"/>
        </w:rPr>
        <w:t>成品分拣辅助业务的主要工作内容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1.14.1  </w:t>
      </w:r>
      <w:r>
        <w:rPr>
          <w:rFonts w:hint="eastAsia" w:asciiTheme="minorEastAsia" w:hAnsiTheme="minorEastAsia" w:eastAsiaTheme="minorEastAsia"/>
          <w:szCs w:val="21"/>
          <w:highlight w:val="none"/>
        </w:rPr>
        <w:t>负责按要求在成品夹坯机码放位置放置整齐的木托板，高低不一致的木托板禁止同时使用。不合标准的木托板挑出拉走。</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1.14.2  </w:t>
      </w:r>
      <w:r>
        <w:rPr>
          <w:rFonts w:hint="eastAsia" w:asciiTheme="minorEastAsia" w:hAnsiTheme="minorEastAsia" w:eastAsiaTheme="minorEastAsia"/>
          <w:szCs w:val="21"/>
          <w:highlight w:val="none"/>
        </w:rPr>
        <w:t>按质检要求对木托板上不合格品进行更换，满足生产线要求。打包带用完后及时更换，每二小时对打包机关键部位进行吹扫除尘。成品</w:t>
      </w:r>
      <w:r>
        <w:rPr>
          <w:rFonts w:asciiTheme="minorEastAsia" w:hAnsiTheme="minorEastAsia" w:eastAsiaTheme="minorEastAsia"/>
          <w:szCs w:val="21"/>
          <w:highlight w:val="none"/>
        </w:rPr>
        <w:t>1#-5#链条的清洁、保养、润滑加油。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1.14.3 </w:t>
      </w:r>
      <w:r>
        <w:rPr>
          <w:rFonts w:hint="eastAsia" w:asciiTheme="minorEastAsia" w:hAnsiTheme="minorEastAsia" w:eastAsiaTheme="minorEastAsia"/>
          <w:szCs w:val="21"/>
          <w:highlight w:val="none"/>
        </w:rPr>
        <w:t>负责</w:t>
      </w:r>
      <w:r>
        <w:rPr>
          <w:rFonts w:asciiTheme="minorEastAsia" w:hAnsiTheme="minorEastAsia" w:eastAsiaTheme="minorEastAsia"/>
          <w:szCs w:val="21"/>
          <w:highlight w:val="none"/>
        </w:rPr>
        <w:t>1#-5#成品链条区域卫生，</w:t>
      </w:r>
      <w:r>
        <w:rPr>
          <w:rFonts w:hint="eastAsia" w:cs="Calibri" w:asciiTheme="minorEastAsia" w:hAnsiTheme="minorEastAsia" w:eastAsiaTheme="minorEastAsia"/>
          <w:color w:val="000000"/>
          <w:szCs w:val="21"/>
          <w:highlight w:val="none"/>
          <w:shd w:val="clear" w:color="auto" w:fill="FFFFFF"/>
        </w:rPr>
        <w:t>负责木托板整理、堆放</w:t>
      </w:r>
      <w:r>
        <w:rPr>
          <w:rFonts w:hint="eastAsia" w:asciiTheme="minorEastAsia" w:hAnsiTheme="minorEastAsia" w:eastAsiaTheme="minorEastAsia"/>
          <w:szCs w:val="21"/>
          <w:highlight w:val="none"/>
        </w:rPr>
        <w:t>；换砖区域的管理；保持区域卫生。</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1.14.4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8人以上</w:t>
      </w:r>
    </w:p>
    <w:p>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1.15  </w:t>
      </w:r>
      <w:r>
        <w:rPr>
          <w:rFonts w:hint="eastAsia" w:ascii="宋体" w:hAnsi="宋体"/>
          <w:b/>
          <w:szCs w:val="21"/>
          <w:highlight w:val="none"/>
        </w:rPr>
        <w:t>产品套袋及手动打包工作内容</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1．15.1负责高精产品及其它需套袋产品的套袋工作，要求规范、及时完成该工作。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1.15.2负责自动打包机故障时的手工产品打包工作。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1.15.3负责工作区域的卫生清洁及废料收集处置工作。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1.16 </w:t>
      </w:r>
      <w:r>
        <w:rPr>
          <w:rFonts w:hint="eastAsia" w:ascii="宋体" w:hAnsi="宋体"/>
          <w:b/>
          <w:szCs w:val="21"/>
          <w:highlight w:val="none"/>
        </w:rPr>
        <w:t xml:space="preserve"> 生产原材料配料及周转工作内容</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1.16.1负责生产材料的制浆、泵送所有相关工作。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1.16.2负责砂、石粉、尾矿、炉渣、电厂废料、搅拌站废料等本公司试用及采用的原材料的厂内转运、归堆上料及按比例混合的相关工作。自配备铲车一台。</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1.16.3负责石灰、水泥、粉煤灰等原材料泵送进罐的安全监护工作。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1.16.4负责工作区域的产品覆盖，安全警示及区域围蔽工作。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1.16.5负责区域场地、设备的清洁卫生工作。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1.16.6建议本辅助业务人员2人。</w:t>
      </w:r>
    </w:p>
    <w:p>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1.17  </w:t>
      </w:r>
      <w:r>
        <w:rPr>
          <w:rFonts w:hint="eastAsia" w:ascii="宋体" w:hAnsi="宋体"/>
          <w:b/>
          <w:szCs w:val="21"/>
          <w:highlight w:val="none"/>
        </w:rPr>
        <w:t>设备操作机动人员工作内容</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1.17.1熟悉各岗位设备操作，顶替因各种原因缺员岗位。</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1.17.2员工吃饭时间的顶岗，保证24小时连续运行。</w:t>
      </w:r>
    </w:p>
    <w:p>
      <w:pPr>
        <w:spacing w:line="360" w:lineRule="auto"/>
        <w:ind w:firstLine="420" w:firstLineChars="200"/>
        <w:jc w:val="left"/>
        <w:rPr>
          <w:rFonts w:ascii="宋体" w:hAnsi="宋体"/>
          <w:szCs w:val="21"/>
          <w:highlight w:val="none"/>
        </w:rPr>
      </w:pPr>
      <w:r>
        <w:rPr>
          <w:rFonts w:hint="eastAsia" w:ascii="宋体" w:hAnsi="宋体"/>
          <w:szCs w:val="21"/>
          <w:highlight w:val="none"/>
        </w:rPr>
        <w:t>1.17.3协助各岗位日常工作及参与其它临时安排工作。</w:t>
      </w:r>
    </w:p>
    <w:p>
      <w:pPr>
        <w:widowControl/>
        <w:spacing w:line="360" w:lineRule="auto"/>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    1.1</w:t>
      </w:r>
      <w:r>
        <w:rPr>
          <w:rFonts w:hint="eastAsia" w:asciiTheme="minorEastAsia" w:hAnsiTheme="minorEastAsia" w:eastAsiaTheme="minorEastAsia"/>
          <w:b/>
          <w:szCs w:val="21"/>
          <w:highlight w:val="none"/>
        </w:rPr>
        <w:t>8</w:t>
      </w:r>
      <w:r>
        <w:rPr>
          <w:rFonts w:asciiTheme="minorEastAsia" w:hAnsiTheme="minorEastAsia" w:eastAsiaTheme="minorEastAsia"/>
          <w:b/>
          <w:szCs w:val="21"/>
          <w:highlight w:val="none"/>
        </w:rPr>
        <w:t xml:space="preserve"> 现场管理业务的主要工作内容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 xml:space="preserve">.1 </w:t>
      </w:r>
      <w:r>
        <w:rPr>
          <w:rFonts w:hint="eastAsia" w:asciiTheme="minorEastAsia" w:hAnsiTheme="minorEastAsia" w:eastAsiaTheme="minorEastAsia"/>
          <w:szCs w:val="21"/>
          <w:highlight w:val="none"/>
        </w:rPr>
        <w:t>负责沟通、协调、处理生产中的事情，配合完成加气运行班长的指令要求。</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 xml:space="preserve">.2 </w:t>
      </w:r>
      <w:r>
        <w:rPr>
          <w:rFonts w:hint="eastAsia" w:asciiTheme="minorEastAsia" w:hAnsiTheme="minorEastAsia" w:eastAsiaTheme="minorEastAsia"/>
          <w:szCs w:val="21"/>
          <w:highlight w:val="none"/>
        </w:rPr>
        <w:t>负责监督辅助业务人员的安全作业，杜绝安全事故发生。组织业务人员定期安全学习。</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 xml:space="preserve">.3 </w:t>
      </w:r>
      <w:r>
        <w:rPr>
          <w:rFonts w:hint="eastAsia" w:asciiTheme="minorEastAsia" w:hAnsiTheme="minorEastAsia" w:eastAsiaTheme="minorEastAsia"/>
          <w:szCs w:val="21"/>
          <w:highlight w:val="none"/>
        </w:rPr>
        <w:t>负责监督指挥辅助业务完成各业务范围内清洁卫生。</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.4建议本辅助业务人员2人以上，并持有安全</w:t>
      </w:r>
      <w:r>
        <w:rPr>
          <w:rFonts w:hint="eastAsia" w:asciiTheme="minorEastAsia" w:hAnsiTheme="minorEastAsia" w:eastAsiaTheme="minorEastAsia"/>
          <w:szCs w:val="21"/>
          <w:highlight w:val="none"/>
        </w:rPr>
        <w:t>管理相关证书</w:t>
      </w:r>
      <w:r>
        <w:rPr>
          <w:rFonts w:asciiTheme="minorEastAsia" w:hAnsiTheme="minorEastAsia" w:eastAsiaTheme="minorEastAsia"/>
          <w:szCs w:val="21"/>
          <w:highlight w:val="none"/>
        </w:rPr>
        <w:t>。</w:t>
      </w:r>
    </w:p>
    <w:p>
      <w:pPr>
        <w:widowControl/>
        <w:spacing w:line="360" w:lineRule="auto"/>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    1.1</w:t>
      </w:r>
      <w:r>
        <w:rPr>
          <w:rFonts w:hint="eastAsia" w:asciiTheme="minorEastAsia" w:hAnsiTheme="minorEastAsia" w:eastAsiaTheme="minorEastAsia"/>
          <w:b/>
          <w:szCs w:val="21"/>
          <w:highlight w:val="none"/>
        </w:rPr>
        <w:t>9</w:t>
      </w:r>
      <w:r>
        <w:rPr>
          <w:rFonts w:asciiTheme="minorEastAsia" w:hAnsiTheme="minorEastAsia" w:eastAsiaTheme="minorEastAsia"/>
          <w:b/>
          <w:szCs w:val="21"/>
          <w:highlight w:val="none"/>
        </w:rPr>
        <w:t xml:space="preserve">  其它辅助业务的主要工作内容</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9</w:t>
      </w:r>
      <w:r>
        <w:rPr>
          <w:rFonts w:asciiTheme="minorEastAsia" w:hAnsiTheme="minorEastAsia" w:eastAsiaTheme="minorEastAsia"/>
          <w:szCs w:val="21"/>
          <w:highlight w:val="none"/>
        </w:rPr>
        <w:t xml:space="preserve">.1 </w:t>
      </w:r>
      <w:r>
        <w:rPr>
          <w:rFonts w:hint="eastAsia" w:asciiTheme="minorEastAsia" w:hAnsiTheme="minorEastAsia" w:eastAsiaTheme="minorEastAsia"/>
          <w:szCs w:val="21"/>
          <w:highlight w:val="none"/>
        </w:rPr>
        <w:t>生产线所属设备的巡检、加油保养。生产线异常时，坯体或成品的去底皮工作。生产线搅拌罐、地坑等的临时应急清理工作。</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1.1</w:t>
      </w:r>
      <w:r>
        <w:rPr>
          <w:rFonts w:hint="eastAsia" w:asciiTheme="minorEastAsia" w:hAnsiTheme="minorEastAsia" w:eastAsiaTheme="minorEastAsia"/>
          <w:szCs w:val="21"/>
          <w:highlight w:val="none"/>
        </w:rPr>
        <w:t>9</w:t>
      </w:r>
      <w:r>
        <w:rPr>
          <w:rFonts w:asciiTheme="minorEastAsia" w:hAnsiTheme="minorEastAsia" w:eastAsiaTheme="minorEastAsia"/>
          <w:szCs w:val="21"/>
          <w:highlight w:val="none"/>
        </w:rPr>
        <w:t xml:space="preserve">.2 </w:t>
      </w:r>
      <w:r>
        <w:rPr>
          <w:rFonts w:hint="eastAsia" w:asciiTheme="minorEastAsia" w:hAnsiTheme="minorEastAsia" w:eastAsiaTheme="minorEastAsia"/>
          <w:szCs w:val="21"/>
          <w:highlight w:val="none"/>
        </w:rPr>
        <w:t>现场管理，合理安排临时应急工作。</w:t>
      </w:r>
    </w:p>
    <w:p>
      <w:pPr>
        <w:widowControl/>
        <w:spacing w:line="360" w:lineRule="auto"/>
        <w:rPr>
          <w:rFonts w:ascii="宋体" w:hAnsi="宋体"/>
          <w:b/>
          <w:szCs w:val="21"/>
          <w:highlight w:val="none"/>
        </w:rPr>
      </w:pPr>
      <w:r>
        <w:rPr>
          <w:rFonts w:hint="eastAsia" w:ascii="宋体" w:hAnsi="宋体"/>
          <w:b/>
          <w:szCs w:val="21"/>
          <w:highlight w:val="none"/>
        </w:rPr>
        <w:t>1.20 车间、道路、货场卫生业务的主要工作内容</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1.20.1 负责每天按要求完成环厂道路路面、货场清洁，并定期对货场及环厂路路面喷淋以防扬尘。</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1.20.2每天进行车间非岗位人员管辖区域清洁卫生。负责蒸压釜区域、检修用房外公共区域卫生，排水沟清理。</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1.20.3负责车间及辅助用房内所有柱、梁、支架、围栏、楼梯、平台等的清洁卫生。</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1.20.4负责模箱侧板的打磨、清洁工作。</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1.20.5协助坑、洞、罐体内的定期清理工作，协助静停室清洁及处理漏浆。</w:t>
      </w:r>
    </w:p>
    <w:p>
      <w:pPr>
        <w:spacing w:line="360" w:lineRule="auto"/>
        <w:ind w:firstLine="420" w:firstLineChars="200"/>
        <w:jc w:val="left"/>
        <w:rPr>
          <w:rFonts w:ascii="宋体" w:hAnsi="宋体"/>
          <w:szCs w:val="21"/>
          <w:highlight w:val="none"/>
        </w:rPr>
      </w:pPr>
      <w:r>
        <w:rPr>
          <w:rFonts w:hint="eastAsia" w:ascii="宋体" w:hAnsi="宋体"/>
          <w:szCs w:val="21"/>
          <w:highlight w:val="none"/>
        </w:rPr>
        <w:t>1.20.6负责定期处理工业、生活垃圾，定期清洁负责区域垃圾筒。</w:t>
      </w:r>
    </w:p>
    <w:p>
      <w:pPr>
        <w:widowControl/>
        <w:spacing w:line="360" w:lineRule="auto"/>
        <w:ind w:firstLine="420" w:firstLineChars="200"/>
        <w:rPr>
          <w:rFonts w:ascii="宋体" w:hAnsi="宋体"/>
          <w:szCs w:val="21"/>
          <w:highlight w:val="none"/>
        </w:rPr>
      </w:pPr>
      <w:r>
        <w:rPr>
          <w:rFonts w:hint="eastAsia" w:ascii="宋体" w:hAnsi="宋体"/>
          <w:szCs w:val="21"/>
          <w:highlight w:val="none"/>
        </w:rPr>
        <w:t>1.20.7负责发货室及货场卫生间的清洁工作。</w:t>
      </w:r>
    </w:p>
    <w:p>
      <w:pPr>
        <w:widowControl/>
        <w:spacing w:line="360" w:lineRule="auto"/>
        <w:ind w:firstLine="420" w:firstLineChars="200"/>
        <w:rPr>
          <w:rFonts w:asciiTheme="minorEastAsia" w:hAnsiTheme="minorEastAsia" w:eastAsiaTheme="minorEastAsia"/>
          <w:szCs w:val="21"/>
          <w:highlight w:val="none"/>
        </w:rPr>
      </w:pPr>
      <w:r>
        <w:rPr>
          <w:rFonts w:hint="eastAsia" w:ascii="宋体" w:hAnsi="宋体"/>
          <w:szCs w:val="21"/>
          <w:highlight w:val="none"/>
        </w:rPr>
        <w:t>1.20.8建议本辅助业务人员3人。</w:t>
      </w:r>
    </w:p>
    <w:p>
      <w:pPr>
        <w:tabs>
          <w:tab w:val="left" w:pos="851"/>
        </w:tabs>
        <w:spacing w:line="360" w:lineRule="auto"/>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    1.</w:t>
      </w:r>
      <w:r>
        <w:rPr>
          <w:rFonts w:hint="eastAsia" w:asciiTheme="minorEastAsia" w:hAnsiTheme="minorEastAsia" w:eastAsiaTheme="minorEastAsia"/>
          <w:b/>
          <w:szCs w:val="21"/>
          <w:highlight w:val="none"/>
        </w:rPr>
        <w:t>21</w:t>
      </w:r>
      <w:r>
        <w:rPr>
          <w:rFonts w:asciiTheme="minorEastAsia" w:hAnsiTheme="minorEastAsia" w:eastAsiaTheme="minorEastAsia"/>
          <w:b/>
          <w:szCs w:val="21"/>
          <w:highlight w:val="none"/>
        </w:rPr>
        <w:t xml:space="preserve"> 物料转运</w:t>
      </w:r>
    </w:p>
    <w:p>
      <w:pPr>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21</w:t>
      </w:r>
      <w:r>
        <w:rPr>
          <w:rFonts w:asciiTheme="minorEastAsia" w:hAnsiTheme="minorEastAsia" w:eastAsiaTheme="minorEastAsia"/>
          <w:szCs w:val="21"/>
          <w:highlight w:val="none"/>
        </w:rPr>
        <w:t>.1 按生产计划需求，每天从电厂转运炉渣、脱硫石膏到建材厂区原材料堆场</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按指定的地方堆放</w:t>
      </w:r>
      <w:r>
        <w:rPr>
          <w:rFonts w:hint="eastAsia" w:asciiTheme="minorEastAsia" w:hAnsiTheme="minorEastAsia" w:eastAsiaTheme="minorEastAsia"/>
          <w:szCs w:val="21"/>
          <w:highlight w:val="none"/>
        </w:rPr>
        <w:t>，每年约</w:t>
      </w:r>
      <w:r>
        <w:rPr>
          <w:rFonts w:asciiTheme="minorEastAsia" w:hAnsiTheme="minorEastAsia" w:eastAsiaTheme="minorEastAsia"/>
          <w:szCs w:val="21"/>
          <w:highlight w:val="none"/>
        </w:rPr>
        <w:t>1.65万吨。</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21</w:t>
      </w:r>
      <w:r>
        <w:rPr>
          <w:rFonts w:asciiTheme="minorEastAsia" w:hAnsiTheme="minorEastAsia" w:eastAsiaTheme="minorEastAsia"/>
          <w:szCs w:val="21"/>
          <w:highlight w:val="none"/>
        </w:rPr>
        <w:t>.2 转运的物料必须服从甲方调度人员安排指挥，转运物料的车辆总重不超过20吨，车辆应在厂区及附近随时待命，原材料运输时，装载货物高度不得超出车厢栏板，不得洒漏污染路面，不得违反电厂及</w:t>
      </w:r>
      <w:r>
        <w:rPr>
          <w:rFonts w:hint="eastAsia" w:asciiTheme="minorEastAsia" w:hAnsiTheme="minorEastAsia" w:eastAsiaTheme="minorEastAsia"/>
          <w:szCs w:val="21"/>
          <w:highlight w:val="none"/>
        </w:rPr>
        <w:t>甲方</w:t>
      </w:r>
      <w:r>
        <w:rPr>
          <w:rFonts w:asciiTheme="minorEastAsia" w:hAnsiTheme="minorEastAsia" w:eastAsiaTheme="minorEastAsia"/>
          <w:szCs w:val="21"/>
          <w:highlight w:val="none"/>
        </w:rPr>
        <w:t>对车辆在厂区限行、限速的管理要求。</w:t>
      </w:r>
    </w:p>
    <w:p>
      <w:pPr>
        <w:widowControl/>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注：承包以上工作内容需各辅助业务作业人员执行有关业务安健环规定，及按要求对所属设备进行加油保养，甲方加气</w:t>
      </w:r>
      <w:r>
        <w:rPr>
          <w:rFonts w:hint="eastAsia" w:asciiTheme="minorEastAsia" w:hAnsiTheme="minorEastAsia" w:eastAsiaTheme="minorEastAsia"/>
          <w:szCs w:val="21"/>
          <w:highlight w:val="none"/>
        </w:rPr>
        <w:t>块业务生产量、发货量约</w:t>
      </w:r>
      <w:r>
        <w:rPr>
          <w:rFonts w:asciiTheme="minorEastAsia" w:hAnsiTheme="minorEastAsia" w:eastAsiaTheme="minorEastAsia"/>
          <w:szCs w:val="21"/>
          <w:highlight w:val="none"/>
        </w:rPr>
        <w:t>30万立方米/年。</w:t>
      </w:r>
    </w:p>
    <w:p>
      <w:pPr>
        <w:spacing w:line="360" w:lineRule="auto"/>
        <w:ind w:firstLine="422" w:firstLineChars="200"/>
        <w:jc w:val="left"/>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2  </w:t>
      </w:r>
      <w:r>
        <w:rPr>
          <w:rFonts w:hint="eastAsia" w:asciiTheme="minorEastAsia" w:hAnsiTheme="minorEastAsia" w:eastAsiaTheme="minorEastAsia"/>
          <w:b/>
          <w:szCs w:val="21"/>
          <w:highlight w:val="none"/>
        </w:rPr>
        <w:t>发货辅助业务的主要工作内容</w:t>
      </w:r>
    </w:p>
    <w:p>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2.1 </w:t>
      </w:r>
      <w:r>
        <w:rPr>
          <w:rFonts w:hint="eastAsia" w:asciiTheme="minorEastAsia" w:hAnsiTheme="minorEastAsia" w:eastAsiaTheme="minorEastAsia"/>
          <w:szCs w:val="21"/>
          <w:highlight w:val="none"/>
        </w:rPr>
        <w:t>协助发货员根据发货员指令监督成品砖的转运、分区入仓堆放工作。</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2.2 </w:t>
      </w:r>
      <w:r>
        <w:rPr>
          <w:rFonts w:hint="eastAsia" w:asciiTheme="minorEastAsia" w:hAnsiTheme="minorEastAsia" w:eastAsiaTheme="minorEastAsia"/>
          <w:szCs w:val="21"/>
          <w:highlight w:val="none"/>
        </w:rPr>
        <w:t>协助发货员根据发货员指令监督成品砖（含次品）的出货工作。</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2.3 </w:t>
      </w:r>
      <w:r>
        <w:rPr>
          <w:rFonts w:hint="eastAsia" w:asciiTheme="minorEastAsia" w:hAnsiTheme="minorEastAsia" w:eastAsiaTheme="minorEastAsia"/>
          <w:szCs w:val="21"/>
          <w:highlight w:val="none"/>
        </w:rPr>
        <w:t>及时更换装车时有损坏或破损严重加气块砖，并督促叉车回运车间待换。</w:t>
      </w:r>
    </w:p>
    <w:p>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2.4 </w:t>
      </w:r>
      <w:r>
        <w:rPr>
          <w:rFonts w:hint="eastAsia" w:asciiTheme="minorEastAsia" w:hAnsiTheme="minorEastAsia" w:eastAsiaTheme="minorEastAsia"/>
          <w:szCs w:val="21"/>
          <w:highlight w:val="none"/>
        </w:rPr>
        <w:t>协助发货员监督木托板的装卸、清点、转运回用及产品的防护工作等。</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2.5 </w:t>
      </w:r>
      <w:r>
        <w:rPr>
          <w:rFonts w:hint="eastAsia" w:asciiTheme="minorEastAsia" w:hAnsiTheme="minorEastAsia" w:eastAsiaTheme="minorEastAsia"/>
          <w:szCs w:val="21"/>
          <w:highlight w:val="none"/>
        </w:rPr>
        <w:t>常巡检货场，清楚货场产品的堆存情况；叉车整理好货场；严格把关，禁止不合格产品进入货场。</w:t>
      </w:r>
    </w:p>
    <w:p>
      <w:pPr>
        <w:spacing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2.6 </w:t>
      </w:r>
      <w:r>
        <w:rPr>
          <w:rFonts w:hint="eastAsia" w:asciiTheme="minorEastAsia" w:hAnsiTheme="minorEastAsia" w:eastAsiaTheme="minorEastAsia"/>
          <w:szCs w:val="21"/>
          <w:highlight w:val="none"/>
        </w:rPr>
        <w:t>每天发出产品约</w:t>
      </w:r>
      <w:r>
        <w:rPr>
          <w:rFonts w:asciiTheme="minorEastAsia" w:hAnsiTheme="minorEastAsia" w:eastAsiaTheme="minorEastAsia"/>
          <w:szCs w:val="21"/>
          <w:highlight w:val="none"/>
        </w:rPr>
        <w:t>800-1500方，建议本辅助业务人员每班至少</w:t>
      </w: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人以上。</w:t>
      </w:r>
    </w:p>
    <w:p>
      <w:pPr>
        <w:spacing w:line="360" w:lineRule="auto"/>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3叉运辅助业务的主要工作内容</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.1 </w:t>
      </w:r>
      <w:r>
        <w:rPr>
          <w:rFonts w:hint="eastAsia" w:asciiTheme="minorEastAsia" w:hAnsiTheme="minorEastAsia" w:eastAsiaTheme="minorEastAsia"/>
          <w:szCs w:val="21"/>
          <w:highlight w:val="none"/>
        </w:rPr>
        <w:t>负责成品砖的转运工作。将成品砖从工程制造部的链条卸下，转运至货场，不同的规格按发货员的指示，分区域按要求堆放。</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.2 </w:t>
      </w:r>
      <w:r>
        <w:rPr>
          <w:rFonts w:hint="eastAsia" w:asciiTheme="minorEastAsia" w:hAnsiTheme="minorEastAsia" w:eastAsiaTheme="minorEastAsia"/>
          <w:szCs w:val="21"/>
          <w:highlight w:val="none"/>
        </w:rPr>
        <w:t>负责成品砖的出货工作。按发货员的指示，到指定的区域按规格、数量将成品砖转运至指定的车辆上，完成出货工作。</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.3 </w:t>
      </w:r>
      <w:r>
        <w:rPr>
          <w:rFonts w:hint="eastAsia" w:asciiTheme="minorEastAsia" w:hAnsiTheme="minorEastAsia" w:eastAsiaTheme="minorEastAsia"/>
          <w:szCs w:val="21"/>
          <w:highlight w:val="none"/>
        </w:rPr>
        <w:t>负责配合生产线成品换砖的工作。</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.4 </w:t>
      </w:r>
      <w:r>
        <w:rPr>
          <w:rFonts w:hint="eastAsia" w:asciiTheme="minorEastAsia" w:hAnsiTheme="minorEastAsia" w:eastAsiaTheme="minorEastAsia"/>
          <w:szCs w:val="21"/>
          <w:highlight w:val="none"/>
        </w:rPr>
        <w:t>负责碎砖的清运工作。将碎砖从生产现场运至堆场，按指定地点堆放。</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.5 </w:t>
      </w:r>
      <w:r>
        <w:rPr>
          <w:rFonts w:hint="eastAsia" w:asciiTheme="minorEastAsia" w:hAnsiTheme="minorEastAsia" w:eastAsiaTheme="minorEastAsia"/>
          <w:szCs w:val="21"/>
          <w:highlight w:val="none"/>
        </w:rPr>
        <w:t>负责磨机出口废料的清运工作。将磨机出口废料清运至厂内废料堆放区。</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.6 </w:t>
      </w:r>
      <w:r>
        <w:rPr>
          <w:rFonts w:hint="eastAsia" w:asciiTheme="minorEastAsia" w:hAnsiTheme="minorEastAsia" w:eastAsiaTheme="minorEastAsia"/>
          <w:szCs w:val="21"/>
          <w:highlight w:val="none"/>
        </w:rPr>
        <w:t>负责废油、钢锻、铝粉、备件、电机等物料卸货入仓或在厂内转移的工作及其它需要使用装卸的临时工作。</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.7 </w:t>
      </w:r>
      <w:r>
        <w:rPr>
          <w:rFonts w:hint="eastAsia" w:asciiTheme="minorEastAsia" w:hAnsiTheme="minorEastAsia" w:eastAsiaTheme="minorEastAsia"/>
          <w:szCs w:val="21"/>
          <w:highlight w:val="none"/>
        </w:rPr>
        <w:t>负责木托板的装卸和转运工作。将车队回收的木托板从车辆上卸下，按指定地点堆放。按工程制造部的需求，做好木托板的转运工作。</w:t>
      </w:r>
    </w:p>
    <w:p>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3.8甲方提供叉车</w:t>
      </w:r>
      <w:r>
        <w:rPr>
          <w:rFonts w:hint="eastAsia" w:asciiTheme="minorEastAsia" w:hAnsiTheme="minorEastAsia" w:eastAsiaTheme="minorEastAsia"/>
          <w:szCs w:val="21"/>
          <w:highlight w:val="none"/>
        </w:rPr>
        <w:t>及负责叉车的燃料费用、充电费用，乙方负责叉车的定期维护保养及维修工作。</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 xml:space="preserve">.9 </w:t>
      </w:r>
      <w:r>
        <w:rPr>
          <w:rFonts w:hint="eastAsia" w:asciiTheme="minorEastAsia" w:hAnsiTheme="minorEastAsia" w:eastAsiaTheme="minorEastAsia"/>
          <w:szCs w:val="21"/>
          <w:highlight w:val="none"/>
        </w:rPr>
        <w:t>每天需叉运产品及装车约</w:t>
      </w:r>
      <w:r>
        <w:rPr>
          <w:rFonts w:asciiTheme="minorEastAsia" w:hAnsiTheme="minorEastAsia" w:eastAsiaTheme="minorEastAsia"/>
          <w:szCs w:val="21"/>
          <w:highlight w:val="none"/>
        </w:rPr>
        <w:t>800-1500方，建议本辅助业务人员至少8人以上。</w:t>
      </w:r>
    </w:p>
    <w:p>
      <w:pPr>
        <w:spacing w:line="360" w:lineRule="auto"/>
        <w:ind w:firstLine="422" w:firstLineChars="200"/>
        <w:jc w:val="left"/>
        <w:rPr>
          <w:rFonts w:cs="宋体" w:asciiTheme="minorEastAsia" w:hAnsiTheme="minorEastAsia" w:eastAsiaTheme="minorEastAsia"/>
          <w:b/>
          <w:color w:val="000000"/>
          <w:kern w:val="0"/>
          <w:szCs w:val="21"/>
          <w:highlight w:val="none"/>
        </w:rPr>
      </w:pPr>
      <w:r>
        <w:rPr>
          <w:rFonts w:hint="eastAsia" w:cs="宋体" w:asciiTheme="minorEastAsia" w:hAnsiTheme="minorEastAsia" w:eastAsiaTheme="minorEastAsia"/>
          <w:b/>
          <w:color w:val="000000"/>
          <w:kern w:val="0"/>
          <w:szCs w:val="21"/>
          <w:highlight w:val="none"/>
        </w:rPr>
        <w:t>4质检辅助业务（内检）的主要工作内容</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.1 </w:t>
      </w:r>
      <w:r>
        <w:rPr>
          <w:rFonts w:hint="eastAsia" w:asciiTheme="minorEastAsia" w:hAnsiTheme="minorEastAsia" w:eastAsiaTheme="minorEastAsia"/>
          <w:szCs w:val="21"/>
          <w:highlight w:val="none"/>
        </w:rPr>
        <w:t>负责半成品质量进行监督与检查，按甲方的规定进行半成品外观与尺寸进行检验，并及时将异常情况向上报告处理。</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.2 </w:t>
      </w:r>
      <w:r>
        <w:rPr>
          <w:rFonts w:hint="eastAsia" w:asciiTheme="minorEastAsia" w:hAnsiTheme="minorEastAsia" w:eastAsiaTheme="minorEastAsia"/>
          <w:szCs w:val="21"/>
          <w:highlight w:val="none"/>
        </w:rPr>
        <w:t>负责成品质量进行监督与检查，按甲方的规定进行成品外观与尺寸进行检验，并及时将异常情况向上报告处理。</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.3 </w:t>
      </w:r>
      <w:r>
        <w:rPr>
          <w:rFonts w:hint="eastAsia" w:asciiTheme="minorEastAsia" w:hAnsiTheme="minorEastAsia" w:eastAsiaTheme="minorEastAsia"/>
          <w:szCs w:val="21"/>
          <w:highlight w:val="none"/>
        </w:rPr>
        <w:t>负责成品每釜产品的强度和含水率等性能的检测、记录数据及计算工作。</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.4 </w:t>
      </w:r>
      <w:r>
        <w:rPr>
          <w:rFonts w:hint="eastAsia" w:asciiTheme="minorEastAsia" w:hAnsiTheme="minorEastAsia" w:eastAsiaTheme="minorEastAsia"/>
          <w:szCs w:val="21"/>
          <w:highlight w:val="none"/>
        </w:rPr>
        <w:t>负责试压件和导热系数试件烘干、试验及包装等管理工作。</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.5 </w:t>
      </w:r>
      <w:r>
        <w:rPr>
          <w:rFonts w:hint="eastAsia" w:asciiTheme="minorEastAsia" w:hAnsiTheme="minorEastAsia" w:eastAsiaTheme="minorEastAsia"/>
          <w:szCs w:val="21"/>
          <w:highlight w:val="none"/>
        </w:rPr>
        <w:t>按甲方的管理要求做好相关的记录及对质检室设备卫生、故障报修等相关工作。</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 xml:space="preserve">.6 </w:t>
      </w:r>
      <w:r>
        <w:rPr>
          <w:rFonts w:hint="eastAsia" w:asciiTheme="minorEastAsia" w:hAnsiTheme="minorEastAsia" w:eastAsiaTheme="minorEastAsia"/>
          <w:szCs w:val="21"/>
          <w:highlight w:val="none"/>
        </w:rPr>
        <w:t>每天需检查半、成品约</w:t>
      </w:r>
      <w:r>
        <w:rPr>
          <w:rFonts w:asciiTheme="minorEastAsia" w:hAnsiTheme="minorEastAsia" w:eastAsiaTheme="minorEastAsia"/>
          <w:szCs w:val="21"/>
          <w:highlight w:val="none"/>
        </w:rPr>
        <w:t>800-1500方，建议本辅助业务人员至少</w:t>
      </w: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人以上。</w:t>
      </w:r>
    </w:p>
    <w:p>
      <w:pPr>
        <w:spacing w:line="360" w:lineRule="auto"/>
        <w:jc w:val="left"/>
        <w:rPr>
          <w:rFonts w:cs="宋体" w:asciiTheme="minorEastAsia" w:hAnsiTheme="minorEastAsia" w:eastAsiaTheme="minorEastAsia"/>
          <w:b/>
          <w:color w:val="000000"/>
          <w:kern w:val="0"/>
          <w:szCs w:val="21"/>
          <w:highlight w:val="none"/>
        </w:rPr>
      </w:pPr>
      <w:r>
        <w:rPr>
          <w:rFonts w:hint="eastAsia" w:cs="宋体" w:asciiTheme="minorEastAsia" w:hAnsiTheme="minorEastAsia" w:eastAsiaTheme="minorEastAsia"/>
          <w:b/>
          <w:color w:val="000000"/>
          <w:kern w:val="0"/>
          <w:szCs w:val="21"/>
          <w:highlight w:val="none"/>
        </w:rPr>
        <w:t>5</w:t>
      </w:r>
      <w:r>
        <w:rPr>
          <w:rFonts w:cs="宋体" w:asciiTheme="minorEastAsia" w:hAnsiTheme="minorEastAsia" w:eastAsiaTheme="minorEastAsia"/>
          <w:b/>
          <w:color w:val="000000"/>
          <w:kern w:val="0"/>
          <w:szCs w:val="21"/>
          <w:highlight w:val="none"/>
        </w:rPr>
        <w:t xml:space="preserve">  质检辅助业务（外检）的主要工作内容</w:t>
      </w:r>
    </w:p>
    <w:p>
      <w:pPr>
        <w:spacing w:line="360" w:lineRule="auto"/>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5</w:t>
      </w:r>
      <w:r>
        <w:rPr>
          <w:rFonts w:cs="宋体" w:asciiTheme="minorEastAsia" w:hAnsiTheme="minorEastAsia" w:eastAsiaTheme="minorEastAsia"/>
          <w:color w:val="000000"/>
          <w:kern w:val="0"/>
          <w:szCs w:val="21"/>
          <w:highlight w:val="none"/>
        </w:rPr>
        <w:t xml:space="preserve">.1 </w:t>
      </w:r>
      <w:r>
        <w:rPr>
          <w:rFonts w:hint="eastAsia" w:cs="宋体" w:asciiTheme="minorEastAsia" w:hAnsiTheme="minorEastAsia" w:eastAsiaTheme="minorEastAsia"/>
          <w:color w:val="000000"/>
          <w:kern w:val="0"/>
          <w:szCs w:val="21"/>
          <w:highlight w:val="none"/>
        </w:rPr>
        <w:t>负责</w:t>
      </w:r>
      <w:r>
        <w:rPr>
          <w:rFonts w:hint="eastAsia" w:asciiTheme="minorEastAsia" w:hAnsiTheme="minorEastAsia" w:eastAsiaTheme="minorEastAsia"/>
          <w:szCs w:val="21"/>
          <w:highlight w:val="none"/>
        </w:rPr>
        <w:t>按规定对每釜抽检一模成品测量尺寸，并认真填写成品抽查表；按规定抽检产品的粘连及顶层积料情况。</w:t>
      </w:r>
    </w:p>
    <w:p>
      <w:pPr>
        <w:spacing w:line="360" w:lineRule="auto"/>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5</w:t>
      </w:r>
      <w:r>
        <w:rPr>
          <w:rFonts w:cs="宋体" w:asciiTheme="minorEastAsia" w:hAnsiTheme="minorEastAsia" w:eastAsiaTheme="minorEastAsia"/>
          <w:color w:val="000000"/>
          <w:kern w:val="0"/>
          <w:szCs w:val="21"/>
          <w:highlight w:val="none"/>
        </w:rPr>
        <w:t xml:space="preserve">.2 </w:t>
      </w:r>
      <w:r>
        <w:rPr>
          <w:rFonts w:hint="eastAsia" w:cs="宋体" w:asciiTheme="minorEastAsia" w:hAnsiTheme="minorEastAsia" w:eastAsiaTheme="minorEastAsia"/>
          <w:color w:val="000000"/>
          <w:kern w:val="0"/>
          <w:szCs w:val="21"/>
          <w:highlight w:val="none"/>
        </w:rPr>
        <w:t>依</w:t>
      </w:r>
      <w:r>
        <w:rPr>
          <w:rFonts w:hint="eastAsia" w:asciiTheme="minorEastAsia" w:hAnsiTheme="minorEastAsia" w:eastAsiaTheme="minorEastAsia"/>
          <w:szCs w:val="21"/>
          <w:highlight w:val="none"/>
        </w:rPr>
        <w:t>据国标</w:t>
      </w:r>
      <w:r>
        <w:rPr>
          <w:rFonts w:asciiTheme="minorEastAsia" w:hAnsiTheme="minorEastAsia" w:eastAsiaTheme="minorEastAsia"/>
          <w:szCs w:val="21"/>
          <w:highlight w:val="none"/>
        </w:rPr>
        <w:t>GB11968—2006标准对产品的分拣进行监督管理，判明合格品、废次品并作标识，严把质量关。有异常情况及时向上报告。</w:t>
      </w:r>
    </w:p>
    <w:p>
      <w:pPr>
        <w:spacing w:line="360" w:lineRule="auto"/>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5</w:t>
      </w:r>
      <w:r>
        <w:rPr>
          <w:rFonts w:cs="宋体" w:asciiTheme="minorEastAsia" w:hAnsiTheme="minorEastAsia" w:eastAsiaTheme="minorEastAsia"/>
          <w:color w:val="000000"/>
          <w:kern w:val="0"/>
          <w:szCs w:val="21"/>
          <w:highlight w:val="none"/>
        </w:rPr>
        <w:t xml:space="preserve">.3 </w:t>
      </w:r>
      <w:r>
        <w:rPr>
          <w:rFonts w:hint="eastAsia" w:cs="宋体" w:asciiTheme="minorEastAsia" w:hAnsiTheme="minorEastAsia" w:eastAsiaTheme="minorEastAsia"/>
          <w:color w:val="000000"/>
          <w:kern w:val="0"/>
          <w:szCs w:val="21"/>
          <w:highlight w:val="none"/>
        </w:rPr>
        <w:t>负责监督木托板使用情况，负责</w:t>
      </w:r>
      <w:r>
        <w:rPr>
          <w:rFonts w:hint="eastAsia" w:asciiTheme="minorEastAsia" w:hAnsiTheme="minorEastAsia" w:eastAsiaTheme="minorEastAsia"/>
          <w:szCs w:val="21"/>
          <w:highlight w:val="none"/>
        </w:rPr>
        <w:t>喷码机的操作和使用，按规定进行保养及报修。</w:t>
      </w:r>
    </w:p>
    <w:p>
      <w:pPr>
        <w:spacing w:line="360" w:lineRule="auto"/>
        <w:ind w:firstLine="420" w:firstLineChars="200"/>
        <w:jc w:val="left"/>
        <w:rPr>
          <w:rFonts w:cs="宋体" w:asciiTheme="minorEastAsia" w:hAnsiTheme="minorEastAsia" w:eastAsiaTheme="minorEastAsia"/>
          <w:color w:val="000000"/>
          <w:kern w:val="0"/>
          <w:szCs w:val="21"/>
          <w:highlight w:val="none"/>
        </w:rPr>
      </w:pPr>
      <w:r>
        <w:rPr>
          <w:rFonts w:hint="eastAsia" w:asciiTheme="minorEastAsia" w:hAnsiTheme="minorEastAsia" w:eastAsiaTheme="minorEastAsia"/>
          <w:szCs w:val="21"/>
          <w:highlight w:val="none"/>
        </w:rPr>
        <w:t>5</w:t>
      </w:r>
      <w:r>
        <w:rPr>
          <w:rFonts w:asciiTheme="minorEastAsia" w:hAnsiTheme="minorEastAsia" w:eastAsiaTheme="minorEastAsia"/>
          <w:szCs w:val="21"/>
          <w:highlight w:val="none"/>
        </w:rPr>
        <w:t xml:space="preserve">.4 </w:t>
      </w:r>
      <w:r>
        <w:rPr>
          <w:rFonts w:hint="eastAsia" w:asciiTheme="minorEastAsia" w:hAnsiTheme="minorEastAsia" w:eastAsiaTheme="minorEastAsia"/>
          <w:szCs w:val="21"/>
          <w:highlight w:val="none"/>
        </w:rPr>
        <w:t>按甲方要求做好成品质量的记录统计工作，做好本业务范围的卫生及相关的记录工作。</w:t>
      </w:r>
    </w:p>
    <w:p>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w:t>
      </w:r>
      <w:r>
        <w:rPr>
          <w:rFonts w:asciiTheme="minorEastAsia" w:hAnsiTheme="minorEastAsia" w:eastAsiaTheme="minorEastAsia"/>
          <w:szCs w:val="21"/>
          <w:highlight w:val="none"/>
        </w:rPr>
        <w:t xml:space="preserve">.5 </w:t>
      </w:r>
      <w:r>
        <w:rPr>
          <w:rFonts w:hint="eastAsia" w:asciiTheme="minorEastAsia" w:hAnsiTheme="minorEastAsia" w:eastAsiaTheme="minorEastAsia"/>
          <w:szCs w:val="21"/>
          <w:highlight w:val="none"/>
        </w:rPr>
        <w:t>每天需检查、监督分拣的成品约</w:t>
      </w:r>
      <w:r>
        <w:rPr>
          <w:rFonts w:asciiTheme="minorEastAsia" w:hAnsiTheme="minorEastAsia" w:eastAsiaTheme="minorEastAsia"/>
          <w:szCs w:val="21"/>
          <w:highlight w:val="none"/>
        </w:rPr>
        <w:t>800-1500方，建议本辅助业务人员至少2人以上。</w:t>
      </w:r>
    </w:p>
    <w:p>
      <w:pPr>
        <w:spacing w:line="360" w:lineRule="auto"/>
        <w:jc w:val="left"/>
        <w:rPr>
          <w:rFonts w:cs="宋体" w:asciiTheme="minorEastAsia" w:hAnsiTheme="minorEastAsia" w:eastAsiaTheme="minorEastAsia"/>
          <w:b/>
          <w:color w:val="000000"/>
          <w:kern w:val="0"/>
          <w:szCs w:val="21"/>
          <w:highlight w:val="none"/>
        </w:rPr>
      </w:pPr>
      <w:r>
        <w:rPr>
          <w:rFonts w:hint="eastAsia" w:cs="宋体" w:asciiTheme="minorEastAsia" w:hAnsiTheme="minorEastAsia" w:eastAsiaTheme="minorEastAsia"/>
          <w:b/>
          <w:color w:val="000000"/>
          <w:kern w:val="0"/>
          <w:szCs w:val="21"/>
          <w:highlight w:val="none"/>
        </w:rPr>
        <w:t>6锯场辅助业务的主要工作内容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6</w:t>
      </w:r>
      <w:r>
        <w:rPr>
          <w:rFonts w:cs="宋体" w:asciiTheme="minorEastAsia" w:hAnsiTheme="minorEastAsia" w:eastAsiaTheme="minorEastAsia"/>
          <w:color w:val="000000"/>
          <w:kern w:val="0"/>
          <w:szCs w:val="21"/>
          <w:highlight w:val="none"/>
        </w:rPr>
        <w:t xml:space="preserve">.1 </w:t>
      </w:r>
      <w:r>
        <w:rPr>
          <w:rFonts w:hint="eastAsia" w:asciiTheme="minorEastAsia" w:hAnsiTheme="minorEastAsia" w:eastAsiaTheme="minorEastAsia"/>
          <w:szCs w:val="21"/>
          <w:highlight w:val="none"/>
        </w:rPr>
        <w:t>负责按国际</w:t>
      </w:r>
      <w:r>
        <w:rPr>
          <w:rFonts w:asciiTheme="minorEastAsia" w:hAnsiTheme="minorEastAsia" w:eastAsiaTheme="minorEastAsia"/>
          <w:szCs w:val="21"/>
          <w:highlight w:val="none"/>
        </w:rPr>
        <w:t>GB/T 11969-2008要求取样、制作生产</w:t>
      </w:r>
      <w:r>
        <w:rPr>
          <w:rFonts w:hint="eastAsia" w:asciiTheme="minorEastAsia" w:hAnsiTheme="minorEastAsia" w:eastAsiaTheme="minorEastAsia"/>
          <w:szCs w:val="21"/>
          <w:highlight w:val="none"/>
        </w:rPr>
        <w:t>所</w:t>
      </w:r>
      <w:r>
        <w:rPr>
          <w:rFonts w:asciiTheme="minorEastAsia" w:hAnsiTheme="minorEastAsia" w:eastAsiaTheme="minorEastAsia"/>
          <w:szCs w:val="21"/>
          <w:highlight w:val="none"/>
        </w:rPr>
        <w:t>需试件</w:t>
      </w:r>
      <w:r>
        <w:rPr>
          <w:rFonts w:hint="eastAsia" w:asciiTheme="minorEastAsia" w:hAnsiTheme="minorEastAsia" w:eastAsiaTheme="minorEastAsia"/>
          <w:szCs w:val="21"/>
          <w:highlight w:val="none"/>
        </w:rPr>
        <w:t>，并送件到质检室。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w:t>
      </w:r>
      <w:r>
        <w:rPr>
          <w:rFonts w:asciiTheme="minorEastAsia" w:hAnsiTheme="minorEastAsia" w:eastAsiaTheme="minorEastAsia"/>
          <w:szCs w:val="21"/>
          <w:highlight w:val="none"/>
        </w:rPr>
        <w:t xml:space="preserve">.2 </w:t>
      </w:r>
      <w:r>
        <w:rPr>
          <w:rFonts w:hint="eastAsia" w:asciiTheme="minorEastAsia" w:hAnsiTheme="minorEastAsia" w:eastAsiaTheme="minorEastAsia"/>
          <w:szCs w:val="21"/>
          <w:highlight w:val="none"/>
        </w:rPr>
        <w:t>负责按国际</w:t>
      </w:r>
      <w:r>
        <w:rPr>
          <w:rFonts w:asciiTheme="minorEastAsia" w:hAnsiTheme="minorEastAsia" w:eastAsiaTheme="minorEastAsia"/>
          <w:szCs w:val="21"/>
          <w:highlight w:val="none"/>
        </w:rPr>
        <w:t>GB/T 11969-2008要求取样、制作</w:t>
      </w:r>
      <w:r>
        <w:rPr>
          <w:rFonts w:hint="eastAsia" w:asciiTheme="minorEastAsia" w:hAnsiTheme="minorEastAsia" w:eastAsiaTheme="minorEastAsia"/>
          <w:szCs w:val="21"/>
          <w:highlight w:val="none"/>
        </w:rPr>
        <w:t>销售用</w:t>
      </w:r>
      <w:r>
        <w:rPr>
          <w:rFonts w:asciiTheme="minorEastAsia" w:hAnsiTheme="minorEastAsia" w:eastAsiaTheme="minorEastAsia"/>
          <w:szCs w:val="21"/>
          <w:highlight w:val="none"/>
        </w:rPr>
        <w:t>试压件和导热系数</w:t>
      </w:r>
      <w:r>
        <w:rPr>
          <w:rFonts w:hint="eastAsia" w:asciiTheme="minorEastAsia" w:hAnsiTheme="minorEastAsia" w:eastAsiaTheme="minorEastAsia"/>
          <w:szCs w:val="21"/>
          <w:highlight w:val="none"/>
        </w:rPr>
        <w:t>，并送到质检室，满足业务需要最低库存量。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 xml:space="preserve">.3 </w:t>
      </w:r>
      <w:r>
        <w:rPr>
          <w:rFonts w:hint="eastAsia" w:asciiTheme="minorEastAsia" w:hAnsiTheme="minorEastAsia" w:eastAsiaTheme="minorEastAsia"/>
          <w:szCs w:val="21"/>
          <w:highlight w:val="none"/>
        </w:rPr>
        <w:t>负责</w:t>
      </w:r>
      <w:r>
        <w:rPr>
          <w:rFonts w:asciiTheme="minorEastAsia" w:hAnsiTheme="minorEastAsia" w:eastAsiaTheme="minorEastAsia"/>
          <w:szCs w:val="21"/>
          <w:highlight w:val="none"/>
        </w:rPr>
        <w:t>试压件</w:t>
      </w:r>
      <w:r>
        <w:rPr>
          <w:rFonts w:hint="eastAsia" w:asciiTheme="minorEastAsia" w:hAnsiTheme="minorEastAsia" w:eastAsiaTheme="minorEastAsia"/>
          <w:szCs w:val="21"/>
          <w:highlight w:val="none"/>
        </w:rPr>
        <w:t>的</w:t>
      </w:r>
      <w:r>
        <w:rPr>
          <w:rFonts w:asciiTheme="minorEastAsia" w:hAnsiTheme="minorEastAsia" w:eastAsiaTheme="minorEastAsia"/>
          <w:szCs w:val="21"/>
          <w:highlight w:val="none"/>
        </w:rPr>
        <w:t>成品管理</w:t>
      </w:r>
      <w:r>
        <w:rPr>
          <w:rFonts w:hint="eastAsia" w:asciiTheme="minorEastAsia" w:hAnsiTheme="minorEastAsia" w:eastAsiaTheme="minorEastAsia"/>
          <w:szCs w:val="21"/>
          <w:highlight w:val="none"/>
        </w:rPr>
        <w:t>工作</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做好标识，防雨措施，并受到</w:t>
      </w:r>
      <w:r>
        <w:rPr>
          <w:rFonts w:asciiTheme="minorEastAsia" w:hAnsiTheme="minorEastAsia" w:eastAsiaTheme="minorEastAsia"/>
          <w:szCs w:val="21"/>
          <w:highlight w:val="none"/>
        </w:rPr>
        <w:t>甲方监督</w:t>
      </w:r>
      <w:r>
        <w:rPr>
          <w:rFonts w:hint="eastAsia" w:asciiTheme="minorEastAsia" w:hAnsiTheme="minorEastAsia" w:eastAsiaTheme="minorEastAsia"/>
          <w:szCs w:val="21"/>
          <w:highlight w:val="none"/>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 xml:space="preserve">.4 </w:t>
      </w:r>
      <w:r>
        <w:rPr>
          <w:rFonts w:hint="eastAsia" w:asciiTheme="minorEastAsia" w:hAnsiTheme="minorEastAsia" w:eastAsiaTheme="minorEastAsia"/>
          <w:szCs w:val="21"/>
          <w:highlight w:val="none"/>
        </w:rPr>
        <w:t>负责</w:t>
      </w:r>
      <w:r>
        <w:rPr>
          <w:rFonts w:asciiTheme="minorEastAsia" w:hAnsiTheme="minorEastAsia" w:eastAsiaTheme="minorEastAsia"/>
          <w:szCs w:val="21"/>
          <w:highlight w:val="none"/>
        </w:rPr>
        <w:t>设备</w:t>
      </w:r>
      <w:r>
        <w:rPr>
          <w:rFonts w:hint="eastAsia" w:asciiTheme="minorEastAsia" w:hAnsiTheme="minorEastAsia" w:eastAsiaTheme="minorEastAsia"/>
          <w:szCs w:val="21"/>
          <w:highlight w:val="none"/>
        </w:rPr>
        <w:t>清洁保养及设备报障工作，并遵守甲方有关安健环的管理要求。</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 xml:space="preserve">.5 </w:t>
      </w:r>
      <w:r>
        <w:rPr>
          <w:rFonts w:hint="eastAsia" w:asciiTheme="minorEastAsia" w:hAnsiTheme="minorEastAsia" w:eastAsiaTheme="minorEastAsia"/>
          <w:szCs w:val="21"/>
          <w:highlight w:val="none"/>
        </w:rPr>
        <w:t>建议本辅助业务人员</w:t>
      </w:r>
      <w:r>
        <w:rPr>
          <w:rFonts w:asciiTheme="minorEastAsia" w:hAnsiTheme="minorEastAsia" w:eastAsiaTheme="minorEastAsia"/>
          <w:szCs w:val="21"/>
          <w:highlight w:val="none"/>
        </w:rPr>
        <w:t>1人。</w:t>
      </w:r>
    </w:p>
    <w:p>
      <w:pPr>
        <w:spacing w:line="360" w:lineRule="auto"/>
        <w:ind w:firstLine="422" w:firstLineChars="200"/>
        <w:rPr>
          <w:rFonts w:ascii="宋体" w:hAnsi="宋体" w:cs="仿宋_GB2312"/>
          <w:b/>
          <w:bCs/>
          <w:szCs w:val="21"/>
          <w:highlight w:val="none"/>
        </w:rPr>
      </w:pPr>
      <w:r>
        <w:rPr>
          <w:rFonts w:hint="eastAsia" w:asciiTheme="minorEastAsia" w:hAnsiTheme="minorEastAsia" w:eastAsiaTheme="minorEastAsia"/>
          <w:b/>
          <w:szCs w:val="21"/>
          <w:highlight w:val="none"/>
        </w:rPr>
        <w:t>7</w:t>
      </w:r>
      <w:r>
        <w:rPr>
          <w:rFonts w:hint="eastAsia" w:ascii="宋体" w:hAnsi="宋体" w:cs="仿宋_GB2312"/>
          <w:b/>
          <w:bCs/>
          <w:szCs w:val="21"/>
          <w:highlight w:val="none"/>
        </w:rPr>
        <w:t>设备检修辅助业务</w:t>
      </w:r>
    </w:p>
    <w:p>
      <w:pPr>
        <w:spacing w:line="360" w:lineRule="auto"/>
        <w:ind w:firstLine="422" w:firstLineChars="200"/>
        <w:rPr>
          <w:rFonts w:ascii="Calibri" w:hAnsi="Calibri" w:cs="Calibri"/>
          <w:color w:val="000000"/>
          <w:kern w:val="0"/>
          <w:szCs w:val="21"/>
          <w:highlight w:val="none"/>
        </w:rPr>
      </w:pPr>
      <w:r>
        <w:rPr>
          <w:rFonts w:hint="eastAsia" w:ascii="宋体" w:hAnsi="宋体" w:cs="仿宋_GB2312"/>
          <w:b/>
          <w:bCs/>
          <w:szCs w:val="21"/>
          <w:highlight w:val="none"/>
        </w:rPr>
        <w:t>7</w:t>
      </w:r>
      <w:r>
        <w:rPr>
          <w:rFonts w:ascii="宋体" w:hAnsi="宋体" w:cs="仿宋_GB2312"/>
          <w:b/>
          <w:bCs/>
          <w:szCs w:val="21"/>
          <w:highlight w:val="none"/>
        </w:rPr>
        <w:t xml:space="preserve">.1 </w:t>
      </w:r>
      <w:r>
        <w:rPr>
          <w:rFonts w:hint="eastAsia" w:ascii="Calibri" w:hAnsi="Calibri" w:cs="Calibri"/>
          <w:color w:val="000000"/>
          <w:kern w:val="0"/>
          <w:szCs w:val="21"/>
          <w:highlight w:val="none"/>
        </w:rPr>
        <w:t>机务工作：与甲方人员一起执行加气生产线、脱硫系统、分选系统、恒益电厂灰库、排渣系统的机械维修（包括保养、日常检修、应急抢修、安全整改、停产检修）、技术改造工作。</w:t>
      </w:r>
    </w:p>
    <w:p>
      <w:pPr>
        <w:spacing w:line="360" w:lineRule="auto"/>
        <w:ind w:firstLine="420" w:firstLineChars="200"/>
        <w:rPr>
          <w:rFonts w:ascii="Calibri" w:hAnsi="Calibri" w:cs="Calibri"/>
          <w:color w:val="000000"/>
          <w:kern w:val="0"/>
          <w:szCs w:val="21"/>
          <w:highlight w:val="none"/>
        </w:rPr>
      </w:pPr>
      <w:r>
        <w:rPr>
          <w:rFonts w:hint="eastAsia" w:ascii="Calibri" w:hAnsi="Calibri" w:cs="Calibri"/>
          <w:color w:val="000000"/>
          <w:kern w:val="0"/>
          <w:szCs w:val="21"/>
          <w:highlight w:val="none"/>
        </w:rPr>
        <w:t>7</w:t>
      </w:r>
      <w:r>
        <w:rPr>
          <w:rFonts w:ascii="Calibri" w:hAnsi="Calibri" w:cs="Calibri"/>
          <w:color w:val="000000"/>
          <w:kern w:val="0"/>
          <w:szCs w:val="21"/>
          <w:highlight w:val="none"/>
        </w:rPr>
        <w:t xml:space="preserve">.2 </w:t>
      </w:r>
      <w:r>
        <w:rPr>
          <w:rFonts w:hint="eastAsia" w:ascii="Calibri" w:hAnsi="Calibri" w:cs="Calibri"/>
          <w:color w:val="000000"/>
          <w:kern w:val="0"/>
          <w:szCs w:val="21"/>
          <w:highlight w:val="none"/>
        </w:rPr>
        <w:t>电气工作：负责周一至周五</w:t>
      </w:r>
      <w:r>
        <w:rPr>
          <w:rFonts w:ascii="Calibri" w:hAnsi="Calibri" w:cs="Calibri"/>
          <w:color w:val="000000"/>
          <w:kern w:val="0"/>
          <w:szCs w:val="21"/>
          <w:highlight w:val="none"/>
        </w:rPr>
        <w:t>16</w:t>
      </w:r>
      <w:r>
        <w:rPr>
          <w:rFonts w:hint="eastAsia" w:ascii="Calibri" w:hAnsi="Calibri" w:cs="Calibri"/>
          <w:color w:val="000000"/>
          <w:kern w:val="0"/>
          <w:szCs w:val="21"/>
          <w:highlight w:val="none"/>
        </w:rPr>
        <w:t>：</w:t>
      </w:r>
      <w:r>
        <w:rPr>
          <w:rFonts w:ascii="Calibri" w:hAnsi="Calibri" w:cs="Calibri"/>
          <w:color w:val="000000"/>
          <w:kern w:val="0"/>
          <w:szCs w:val="21"/>
          <w:highlight w:val="none"/>
        </w:rPr>
        <w:t>30</w:t>
      </w:r>
      <w:r>
        <w:rPr>
          <w:rFonts w:hint="eastAsia" w:ascii="Calibri" w:hAnsi="Calibri" w:cs="Calibri"/>
          <w:color w:val="000000"/>
          <w:kern w:val="0"/>
          <w:szCs w:val="21"/>
          <w:highlight w:val="none"/>
        </w:rPr>
        <w:t>至第二天早上</w:t>
      </w:r>
      <w:r>
        <w:rPr>
          <w:rFonts w:ascii="Calibri" w:hAnsi="Calibri" w:cs="Calibri"/>
          <w:color w:val="000000"/>
          <w:kern w:val="0"/>
          <w:szCs w:val="21"/>
          <w:highlight w:val="none"/>
        </w:rPr>
        <w:t>8</w:t>
      </w:r>
      <w:r>
        <w:rPr>
          <w:rFonts w:hint="eastAsia" w:ascii="Calibri" w:hAnsi="Calibri" w:cs="Calibri"/>
          <w:color w:val="000000"/>
          <w:kern w:val="0"/>
          <w:szCs w:val="21"/>
          <w:highlight w:val="none"/>
        </w:rPr>
        <w:t>：</w:t>
      </w:r>
      <w:r>
        <w:rPr>
          <w:rFonts w:ascii="Calibri" w:hAnsi="Calibri" w:cs="Calibri"/>
          <w:color w:val="000000"/>
          <w:kern w:val="0"/>
          <w:szCs w:val="21"/>
          <w:highlight w:val="none"/>
        </w:rPr>
        <w:t>30</w:t>
      </w:r>
      <w:r>
        <w:rPr>
          <w:rFonts w:hint="eastAsia" w:ascii="Calibri" w:hAnsi="Calibri" w:cs="Calibri"/>
          <w:color w:val="000000"/>
          <w:kern w:val="0"/>
          <w:szCs w:val="21"/>
          <w:highlight w:val="none"/>
        </w:rPr>
        <w:t>；周六日及法定节假日</w:t>
      </w:r>
      <w:r>
        <w:rPr>
          <w:rFonts w:ascii="Calibri" w:hAnsi="Calibri" w:cs="Calibri"/>
          <w:color w:val="000000"/>
          <w:kern w:val="0"/>
          <w:szCs w:val="21"/>
          <w:highlight w:val="none"/>
        </w:rPr>
        <w:t>24</w:t>
      </w:r>
      <w:r>
        <w:rPr>
          <w:rFonts w:hint="eastAsia" w:ascii="Calibri" w:hAnsi="Calibri" w:cs="Calibri"/>
          <w:color w:val="000000"/>
          <w:kern w:val="0"/>
          <w:szCs w:val="21"/>
          <w:highlight w:val="none"/>
        </w:rPr>
        <w:t>小时值班；周一至周五</w:t>
      </w:r>
      <w:r>
        <w:rPr>
          <w:rFonts w:ascii="Calibri" w:hAnsi="Calibri" w:cs="Calibri"/>
          <w:color w:val="000000"/>
          <w:kern w:val="0"/>
          <w:szCs w:val="21"/>
          <w:highlight w:val="none"/>
        </w:rPr>
        <w:t>8</w:t>
      </w:r>
      <w:r>
        <w:rPr>
          <w:rFonts w:hint="eastAsia" w:ascii="Calibri" w:hAnsi="Calibri" w:cs="Calibri"/>
          <w:color w:val="000000"/>
          <w:kern w:val="0"/>
          <w:szCs w:val="21"/>
          <w:highlight w:val="none"/>
        </w:rPr>
        <w:t>：</w:t>
      </w:r>
      <w:r>
        <w:rPr>
          <w:rFonts w:ascii="Calibri" w:hAnsi="Calibri" w:cs="Calibri"/>
          <w:color w:val="000000"/>
          <w:kern w:val="0"/>
          <w:szCs w:val="21"/>
          <w:highlight w:val="none"/>
        </w:rPr>
        <w:t>30</w:t>
      </w:r>
      <w:r>
        <w:rPr>
          <w:rFonts w:hint="eastAsia" w:ascii="Calibri" w:hAnsi="Calibri" w:cs="Calibri"/>
          <w:color w:val="000000"/>
          <w:kern w:val="0"/>
          <w:szCs w:val="21"/>
          <w:highlight w:val="none"/>
        </w:rPr>
        <w:t>至</w:t>
      </w:r>
      <w:r>
        <w:rPr>
          <w:rFonts w:ascii="Calibri" w:hAnsi="Calibri" w:cs="Calibri"/>
          <w:color w:val="000000"/>
          <w:kern w:val="0"/>
          <w:szCs w:val="21"/>
          <w:highlight w:val="none"/>
        </w:rPr>
        <w:t>16</w:t>
      </w:r>
      <w:r>
        <w:rPr>
          <w:rFonts w:hint="eastAsia" w:ascii="Calibri" w:hAnsi="Calibri" w:cs="Calibri"/>
          <w:color w:val="000000"/>
          <w:kern w:val="0"/>
          <w:szCs w:val="21"/>
          <w:highlight w:val="none"/>
        </w:rPr>
        <w:t>：</w:t>
      </w:r>
      <w:r>
        <w:rPr>
          <w:rFonts w:ascii="Calibri" w:hAnsi="Calibri" w:cs="Calibri"/>
          <w:color w:val="000000"/>
          <w:kern w:val="0"/>
          <w:szCs w:val="21"/>
          <w:highlight w:val="none"/>
        </w:rPr>
        <w:t>30</w:t>
      </w:r>
      <w:r>
        <w:rPr>
          <w:rFonts w:hint="eastAsia" w:ascii="Calibri" w:hAnsi="Calibri" w:cs="Calibri"/>
          <w:color w:val="000000"/>
          <w:kern w:val="0"/>
          <w:szCs w:val="21"/>
          <w:highlight w:val="none"/>
        </w:rPr>
        <w:t>至少</w:t>
      </w:r>
      <w:r>
        <w:rPr>
          <w:rFonts w:ascii="Calibri" w:hAnsi="Calibri" w:cs="Calibri"/>
          <w:color w:val="000000"/>
          <w:kern w:val="0"/>
          <w:szCs w:val="21"/>
          <w:highlight w:val="none"/>
        </w:rPr>
        <w:t>1</w:t>
      </w:r>
      <w:r>
        <w:rPr>
          <w:rFonts w:hint="eastAsia" w:ascii="Calibri" w:hAnsi="Calibri" w:cs="Calibri"/>
          <w:color w:val="000000"/>
          <w:kern w:val="0"/>
          <w:szCs w:val="21"/>
          <w:highlight w:val="none"/>
        </w:rPr>
        <w:t>人协助甲方工作人员执行加气生产线、脱硫系统、分选系统、恒益电厂灰库、排渣系统的电气维修（包括保养、日常检修、应急抢修、安全整改、停产检修）、技术改造工作。</w:t>
      </w:r>
    </w:p>
    <w:p>
      <w:pPr>
        <w:spacing w:line="360" w:lineRule="auto"/>
        <w:ind w:firstLine="420" w:firstLineChars="200"/>
        <w:rPr>
          <w:rFonts w:asciiTheme="minorEastAsia" w:hAnsiTheme="minorEastAsia" w:eastAsiaTheme="minorEastAsia"/>
          <w:szCs w:val="21"/>
          <w:highlight w:val="none"/>
        </w:rPr>
      </w:pPr>
      <w:r>
        <w:rPr>
          <w:rFonts w:hint="eastAsia" w:cs="Calibri" w:asciiTheme="minorEastAsia" w:hAnsiTheme="minorEastAsia" w:eastAsiaTheme="minorEastAsia"/>
          <w:color w:val="000000"/>
          <w:kern w:val="0"/>
          <w:szCs w:val="21"/>
          <w:highlight w:val="none"/>
        </w:rPr>
        <w:t>7</w:t>
      </w:r>
      <w:r>
        <w:rPr>
          <w:rFonts w:cs="Calibri" w:asciiTheme="minorEastAsia" w:hAnsiTheme="minorEastAsia" w:eastAsiaTheme="minorEastAsia"/>
          <w:color w:val="000000"/>
          <w:kern w:val="0"/>
          <w:szCs w:val="21"/>
          <w:highlight w:val="none"/>
        </w:rPr>
        <w:t xml:space="preserve">.3 </w:t>
      </w:r>
      <w:r>
        <w:rPr>
          <w:rFonts w:hint="eastAsia" w:cs="Calibri" w:asciiTheme="minorEastAsia" w:hAnsiTheme="minorEastAsia" w:eastAsiaTheme="minorEastAsia"/>
          <w:color w:val="000000"/>
          <w:kern w:val="0"/>
          <w:szCs w:val="21"/>
          <w:highlight w:val="none"/>
        </w:rPr>
        <w:t>建议</w:t>
      </w:r>
      <w:r>
        <w:rPr>
          <w:rFonts w:hint="eastAsia" w:asciiTheme="minorEastAsia" w:hAnsiTheme="minorEastAsia" w:eastAsiaTheme="minorEastAsia"/>
          <w:szCs w:val="21"/>
          <w:highlight w:val="none"/>
        </w:rPr>
        <w:t>机务检修人员</w:t>
      </w:r>
      <w:r>
        <w:rPr>
          <w:rFonts w:asciiTheme="minorEastAsia" w:hAnsiTheme="minorEastAsia" w:eastAsiaTheme="minorEastAsia"/>
          <w:szCs w:val="21"/>
          <w:highlight w:val="none"/>
        </w:rPr>
        <w:t>2人，须具有2年以上设备维修经验且熟悉机务检修工作，其中持有效焊工证的不少于2人，焊工人员熟悉各种环境下作业，有一定焊接水平。45岁以下，男性，吃苦耐劳，身体健康，具备高空、高温作业的身体素质。</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w:t>
      </w: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建议</w:t>
      </w:r>
      <w:r>
        <w:rPr>
          <w:rFonts w:hint="eastAsia" w:cs="Calibri" w:asciiTheme="minorEastAsia" w:hAnsiTheme="minorEastAsia" w:eastAsiaTheme="minorEastAsia"/>
          <w:kern w:val="0"/>
          <w:szCs w:val="21"/>
          <w:highlight w:val="none"/>
        </w:rPr>
        <w:t>电气检修人员</w:t>
      </w:r>
      <w:r>
        <w:rPr>
          <w:rFonts w:cs="Calibri" w:asciiTheme="minorEastAsia" w:hAnsiTheme="minorEastAsia" w:eastAsiaTheme="minorEastAsia"/>
          <w:kern w:val="0"/>
          <w:szCs w:val="21"/>
          <w:highlight w:val="none"/>
        </w:rPr>
        <w:t>4</w:t>
      </w:r>
      <w:r>
        <w:rPr>
          <w:rFonts w:hint="eastAsia" w:cs="Calibri" w:asciiTheme="minorEastAsia" w:hAnsiTheme="minorEastAsia" w:eastAsiaTheme="minorEastAsia"/>
          <w:kern w:val="0"/>
          <w:szCs w:val="21"/>
          <w:highlight w:val="none"/>
        </w:rPr>
        <w:t>人，须</w:t>
      </w:r>
      <w:r>
        <w:rPr>
          <w:rFonts w:hint="eastAsia" w:asciiTheme="minorEastAsia" w:hAnsiTheme="minorEastAsia" w:eastAsiaTheme="minorEastAsia"/>
          <w:szCs w:val="21"/>
          <w:highlight w:val="none"/>
        </w:rPr>
        <w:t>具有</w:t>
      </w:r>
      <w:r>
        <w:rPr>
          <w:rFonts w:asciiTheme="minorEastAsia" w:hAnsiTheme="minorEastAsia" w:eastAsiaTheme="minorEastAsia"/>
          <w:szCs w:val="21"/>
          <w:highlight w:val="none"/>
        </w:rPr>
        <w:t>3年以上电气维修经验且熟悉电气检修工作，持电气维修</w:t>
      </w:r>
      <w:r>
        <w:rPr>
          <w:rFonts w:hint="eastAsia" w:asciiTheme="minorEastAsia" w:hAnsiTheme="minorEastAsia" w:eastAsiaTheme="minorEastAsia"/>
          <w:szCs w:val="21"/>
          <w:highlight w:val="none"/>
        </w:rPr>
        <w:t>作业上岗证，熟悉常规动力、照明设备维修；了解常用开关、仪表、</w:t>
      </w:r>
      <w:r>
        <w:rPr>
          <w:rFonts w:asciiTheme="minorEastAsia" w:hAnsiTheme="minorEastAsia" w:eastAsiaTheme="minorEastAsia"/>
          <w:szCs w:val="21"/>
          <w:highlight w:val="none"/>
        </w:rPr>
        <w:t>PLC、变频器工作原理。50岁以下，身体健康，具备高空、高温作业的身体素质。需要上夜班。</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7.5 除公司明确春节放假设备检修辅助业务人员可以减少配置外，其余时间机务检修人员在每天12小时内，不少于4人。</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7.6 因夜班抢修，影响第二天人员上班的，乙方需要采取增加人员或其他有效措施保证甲方正常生产。</w:t>
      </w: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ind w:firstLine="420" w:firstLineChars="200"/>
        <w:rPr>
          <w:rFonts w:asciiTheme="minorEastAsia" w:hAnsiTheme="minorEastAsia" w:eastAsiaTheme="minorEastAsia"/>
          <w:szCs w:val="21"/>
          <w:highlight w:val="none"/>
        </w:rPr>
      </w:pPr>
    </w:p>
    <w:p>
      <w:pPr>
        <w:spacing w:line="360" w:lineRule="auto"/>
        <w:rPr>
          <w:rFonts w:asciiTheme="minorEastAsia" w:hAnsiTheme="minorEastAsia" w:eastAsiaTheme="minorEastAsia"/>
          <w:szCs w:val="21"/>
          <w:highlight w:val="none"/>
        </w:rPr>
      </w:pPr>
    </w:p>
    <w:p>
      <w:pPr>
        <w:ind w:firstLine="3268" w:firstLineChars="1550"/>
        <w:jc w:val="left"/>
        <w:rPr>
          <w:rFonts w:asciiTheme="minorEastAsia" w:hAnsiTheme="minorEastAsia" w:eastAsiaTheme="minorEastAsia"/>
          <w:b/>
          <w:szCs w:val="21"/>
          <w:highlight w:val="none"/>
        </w:rPr>
      </w:pPr>
    </w:p>
    <w:p>
      <w:pPr>
        <w:ind w:firstLine="3268" w:firstLineChars="1550"/>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辅助业务工作量估算表</w:t>
      </w:r>
    </w:p>
    <w:tbl>
      <w:tblPr>
        <w:tblStyle w:val="42"/>
        <w:tblW w:w="827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
        <w:gridCol w:w="3082"/>
        <w:gridCol w:w="1588"/>
        <w:gridCol w:w="2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trPr>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序号</w:t>
            </w:r>
          </w:p>
        </w:tc>
        <w:tc>
          <w:tcPr>
            <w:tcW w:w="3082" w:type="dxa"/>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辅助业务内容</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工作量</w:t>
            </w:r>
          </w:p>
        </w:tc>
        <w:tc>
          <w:tcPr>
            <w:tcW w:w="2831"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备注（建议至少配置人员）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发货辅助业务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2</w:t>
            </w:r>
          </w:p>
        </w:tc>
        <w:tc>
          <w:tcPr>
            <w:tcW w:w="3082"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叉运辅助业务</w:t>
            </w:r>
          </w:p>
        </w:tc>
        <w:tc>
          <w:tcPr>
            <w:tcW w:w="1588"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8人（负责叉车</w:t>
            </w:r>
            <w:r>
              <w:rPr>
                <w:rFonts w:hint="eastAsia" w:asciiTheme="minorEastAsia" w:hAnsiTheme="minorEastAsia" w:eastAsiaTheme="minorEastAsia"/>
                <w:szCs w:val="21"/>
                <w:highlight w:val="none"/>
              </w:rPr>
              <w:t>定期维护保养及维修工作。</w:t>
            </w:r>
            <w:r>
              <w:rPr>
                <w:rFonts w:asciiTheme="minorEastAsia" w:hAnsiTheme="minorEastAsia" w:eastAsiaTheme="minorEastAsia"/>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3</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质检辅助业务（内检）</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4</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质检辅助业务（外检）</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5</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锯场辅助业务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6</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磨房制浆辅助业务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6人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7</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铝粉制浆辅助业务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8</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静停辅助业务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9</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涂刷辅助业务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10</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翻转辅助业务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11</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切割辅助业务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12</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地翻台辅助业务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13</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蒸养辅助业务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14</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半成品翻转吊运辅助业务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15</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半成品切割辅助业务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16</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半成品堆垛及地翻辅助业务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17</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成品分垛及分掰辅助业务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18</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成品夹坯吊运辅助业务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宋体" w:hAnsi="宋体"/>
                <w:szCs w:val="21"/>
                <w:highlight w:val="none"/>
              </w:rPr>
              <w:t>19</w:t>
            </w:r>
          </w:p>
        </w:tc>
        <w:tc>
          <w:tcPr>
            <w:tcW w:w="3082" w:type="dxa"/>
          </w:tcPr>
          <w:p>
            <w:pPr>
              <w:jc w:val="left"/>
              <w:rPr>
                <w:rFonts w:asciiTheme="minorEastAsia" w:hAnsiTheme="minorEastAsia" w:eastAsiaTheme="minorEastAsia"/>
                <w:szCs w:val="21"/>
                <w:highlight w:val="none"/>
              </w:rPr>
            </w:pPr>
            <w:r>
              <w:rPr>
                <w:rFonts w:hint="eastAsia" w:ascii="宋体" w:hAnsi="宋体"/>
                <w:szCs w:val="21"/>
                <w:highlight w:val="none"/>
              </w:rPr>
              <w:t>产品套袋及手动打包辅助业务</w:t>
            </w:r>
          </w:p>
        </w:tc>
        <w:tc>
          <w:tcPr>
            <w:tcW w:w="1588" w:type="dxa"/>
          </w:tcPr>
          <w:p>
            <w:pPr>
              <w:jc w:val="left"/>
              <w:rPr>
                <w:rFonts w:asciiTheme="minorEastAsia" w:hAnsiTheme="minorEastAsia" w:eastAsiaTheme="minorEastAsia"/>
                <w:szCs w:val="21"/>
                <w:highlight w:val="none"/>
              </w:rPr>
            </w:pPr>
            <w:r>
              <w:rPr>
                <w:rFonts w:hint="eastAsia" w:ascii="宋体" w:hAnsi="宋体"/>
                <w:szCs w:val="21"/>
                <w:highlight w:val="none"/>
              </w:rPr>
              <w:t>一项</w:t>
            </w:r>
          </w:p>
        </w:tc>
        <w:tc>
          <w:tcPr>
            <w:tcW w:w="2831" w:type="dxa"/>
          </w:tcPr>
          <w:p>
            <w:pPr>
              <w:jc w:val="left"/>
              <w:rPr>
                <w:rFonts w:asciiTheme="minorEastAsia" w:hAnsiTheme="minorEastAsia" w:eastAsiaTheme="minorEastAsia"/>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宋体" w:hAnsi="宋体"/>
                <w:szCs w:val="21"/>
                <w:highlight w:val="none"/>
              </w:rPr>
              <w:t>20</w:t>
            </w:r>
          </w:p>
        </w:tc>
        <w:tc>
          <w:tcPr>
            <w:tcW w:w="3082" w:type="dxa"/>
          </w:tcPr>
          <w:p>
            <w:pPr>
              <w:jc w:val="left"/>
              <w:rPr>
                <w:rFonts w:asciiTheme="minorEastAsia" w:hAnsiTheme="minorEastAsia" w:eastAsiaTheme="minorEastAsia"/>
                <w:szCs w:val="21"/>
                <w:highlight w:val="none"/>
              </w:rPr>
            </w:pPr>
            <w:r>
              <w:rPr>
                <w:rFonts w:hint="eastAsia" w:ascii="宋体" w:hAnsi="宋体"/>
                <w:szCs w:val="21"/>
                <w:highlight w:val="none"/>
              </w:rPr>
              <w:t>生产原材料配料及周转辅助业务</w:t>
            </w:r>
          </w:p>
        </w:tc>
        <w:tc>
          <w:tcPr>
            <w:tcW w:w="1588" w:type="dxa"/>
          </w:tcPr>
          <w:p>
            <w:pPr>
              <w:jc w:val="left"/>
              <w:rPr>
                <w:rFonts w:asciiTheme="minorEastAsia" w:hAnsiTheme="minorEastAsia" w:eastAsiaTheme="minorEastAsia"/>
                <w:szCs w:val="21"/>
                <w:highlight w:val="none"/>
              </w:rPr>
            </w:pPr>
            <w:r>
              <w:rPr>
                <w:rFonts w:hint="eastAsia" w:ascii="宋体" w:hAnsi="宋体"/>
                <w:szCs w:val="21"/>
                <w:highlight w:val="none"/>
              </w:rPr>
              <w:t>一项</w:t>
            </w:r>
          </w:p>
        </w:tc>
        <w:tc>
          <w:tcPr>
            <w:tcW w:w="2831" w:type="dxa"/>
          </w:tcPr>
          <w:p>
            <w:pPr>
              <w:jc w:val="left"/>
              <w:rPr>
                <w:rFonts w:asciiTheme="minorEastAsia" w:hAnsiTheme="minorEastAsia" w:eastAsiaTheme="minorEastAsia"/>
                <w:szCs w:val="21"/>
                <w:highlight w:val="none"/>
              </w:rPr>
            </w:pPr>
            <w:r>
              <w:rPr>
                <w:rFonts w:hint="eastAsia" w:ascii="宋体" w:hAnsi="宋体"/>
                <w:szCs w:val="21"/>
                <w:highlight w:val="none"/>
              </w:rPr>
              <w:t>2人（自配备铲车一台）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ascii="宋体" w:hAnsi="宋体"/>
                <w:szCs w:val="21"/>
                <w:highlight w:val="none"/>
              </w:rPr>
              <w:t>21</w:t>
            </w:r>
          </w:p>
        </w:tc>
        <w:tc>
          <w:tcPr>
            <w:tcW w:w="3082" w:type="dxa"/>
          </w:tcPr>
          <w:p>
            <w:pPr>
              <w:jc w:val="left"/>
              <w:rPr>
                <w:rFonts w:asciiTheme="minorEastAsia" w:hAnsiTheme="minorEastAsia" w:eastAsiaTheme="minorEastAsia"/>
                <w:szCs w:val="21"/>
                <w:highlight w:val="none"/>
              </w:rPr>
            </w:pPr>
            <w:r>
              <w:rPr>
                <w:rFonts w:hint="eastAsia" w:ascii="宋体" w:hAnsi="宋体"/>
                <w:szCs w:val="21"/>
                <w:highlight w:val="none"/>
              </w:rPr>
              <w:t>设备操作机动人员</w:t>
            </w:r>
          </w:p>
        </w:tc>
        <w:tc>
          <w:tcPr>
            <w:tcW w:w="1588" w:type="dxa"/>
          </w:tcPr>
          <w:p>
            <w:pPr>
              <w:jc w:val="left"/>
              <w:rPr>
                <w:rFonts w:asciiTheme="minorEastAsia" w:hAnsiTheme="minorEastAsia" w:eastAsiaTheme="minorEastAsia"/>
                <w:szCs w:val="21"/>
                <w:highlight w:val="none"/>
              </w:rPr>
            </w:pPr>
            <w:r>
              <w:rPr>
                <w:rFonts w:hint="eastAsia" w:ascii="宋体" w:hAnsi="宋体"/>
                <w:szCs w:val="21"/>
                <w:highlight w:val="none"/>
              </w:rPr>
              <w:t>一项</w:t>
            </w:r>
          </w:p>
        </w:tc>
        <w:tc>
          <w:tcPr>
            <w:tcW w:w="2831" w:type="dxa"/>
          </w:tcPr>
          <w:p>
            <w:pPr>
              <w:jc w:val="left"/>
              <w:rPr>
                <w:rFonts w:asciiTheme="minorEastAsia" w:hAnsiTheme="minorEastAsia" w:eastAsiaTheme="minorEastAsia"/>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成品分拣辅助业务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8人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23</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现场管理业务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24</w:t>
            </w:r>
          </w:p>
        </w:tc>
        <w:tc>
          <w:tcPr>
            <w:tcW w:w="3082"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其它辅助业务</w:t>
            </w:r>
          </w:p>
        </w:tc>
        <w:tc>
          <w:tcPr>
            <w:tcW w:w="1588"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jc w:val="left"/>
              <w:rPr>
                <w:rFonts w:asciiTheme="minorEastAsia" w:hAnsiTheme="minorEastAsia" w:eastAsiaTheme="minorEastAsia"/>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宋体" w:hAnsi="宋体"/>
                <w:szCs w:val="21"/>
                <w:highlight w:val="none"/>
              </w:rPr>
              <w:t>25</w:t>
            </w:r>
          </w:p>
        </w:tc>
        <w:tc>
          <w:tcPr>
            <w:tcW w:w="3082" w:type="dxa"/>
          </w:tcPr>
          <w:p>
            <w:pPr>
              <w:jc w:val="left"/>
              <w:rPr>
                <w:rFonts w:asciiTheme="minorEastAsia" w:hAnsiTheme="minorEastAsia" w:eastAsiaTheme="minorEastAsia"/>
                <w:szCs w:val="21"/>
                <w:highlight w:val="none"/>
              </w:rPr>
            </w:pPr>
            <w:r>
              <w:rPr>
                <w:rFonts w:hint="eastAsia" w:ascii="宋体" w:hAnsi="宋体"/>
                <w:szCs w:val="21"/>
                <w:highlight w:val="none"/>
              </w:rPr>
              <w:t>车间、道路、货场卫生业务</w:t>
            </w:r>
          </w:p>
        </w:tc>
        <w:tc>
          <w:tcPr>
            <w:tcW w:w="1588" w:type="dxa"/>
          </w:tcPr>
          <w:p>
            <w:pPr>
              <w:jc w:val="left"/>
              <w:rPr>
                <w:rFonts w:asciiTheme="minorEastAsia" w:hAnsiTheme="minorEastAsia" w:eastAsiaTheme="minorEastAsia"/>
                <w:szCs w:val="21"/>
                <w:highlight w:val="none"/>
              </w:rPr>
            </w:pPr>
            <w:r>
              <w:rPr>
                <w:rFonts w:hint="eastAsia" w:ascii="宋体" w:hAnsi="宋体"/>
                <w:szCs w:val="21"/>
                <w:highlight w:val="none"/>
              </w:rPr>
              <w:t>一项</w:t>
            </w:r>
          </w:p>
        </w:tc>
        <w:tc>
          <w:tcPr>
            <w:tcW w:w="2831" w:type="dxa"/>
          </w:tcPr>
          <w:p>
            <w:pPr>
              <w:jc w:val="left"/>
              <w:rPr>
                <w:rFonts w:asciiTheme="minorEastAsia" w:hAnsiTheme="minorEastAsia" w:eastAsiaTheme="minorEastAsia"/>
                <w:szCs w:val="21"/>
                <w:highlight w:val="none"/>
              </w:rPr>
            </w:pPr>
            <w:r>
              <w:rPr>
                <w:rFonts w:hint="eastAsia" w:ascii="宋体" w:hAnsi="宋体"/>
                <w:szCs w:val="21"/>
                <w:highlight w:val="none"/>
              </w:rPr>
              <w:t>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3" w:hRule="atLeast"/>
        </w:trPr>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26</w:t>
            </w:r>
          </w:p>
        </w:tc>
        <w:tc>
          <w:tcPr>
            <w:tcW w:w="3082"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各业务区域卫生清洁及零星辅助业务</w:t>
            </w:r>
          </w:p>
        </w:tc>
        <w:tc>
          <w:tcPr>
            <w:tcW w:w="1588"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widowControl/>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配备工具等，自行安排（见各业务区域卫生清洁及零星辅助业务的主要内容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771" w:type="dxa"/>
            <w:vAlign w:val="center"/>
          </w:tcPr>
          <w:p>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7</w:t>
            </w:r>
          </w:p>
        </w:tc>
        <w:tc>
          <w:tcPr>
            <w:tcW w:w="3082" w:type="dxa"/>
            <w:vAlign w:val="center"/>
          </w:tcPr>
          <w:p>
            <w:pPr>
              <w:rPr>
                <w:rFonts w:asciiTheme="minorEastAsia" w:hAnsiTheme="minorEastAsia" w:eastAsiaTheme="minorEastAsia"/>
                <w:szCs w:val="21"/>
                <w:highlight w:val="none"/>
              </w:rPr>
            </w:pPr>
            <w:r>
              <w:rPr>
                <w:rFonts w:asciiTheme="minorEastAsia" w:hAnsiTheme="minorEastAsia" w:eastAsiaTheme="minorEastAsia"/>
                <w:szCs w:val="21"/>
                <w:highlight w:val="none"/>
              </w:rPr>
              <w:t>炉渣、脱硫石膏</w:t>
            </w:r>
            <w:r>
              <w:rPr>
                <w:rFonts w:hint="eastAsia" w:asciiTheme="minorEastAsia" w:hAnsiTheme="minorEastAsia" w:eastAsiaTheme="minorEastAsia"/>
                <w:szCs w:val="21"/>
                <w:highlight w:val="none"/>
              </w:rPr>
              <w:t>业务</w:t>
            </w:r>
          </w:p>
        </w:tc>
        <w:tc>
          <w:tcPr>
            <w:tcW w:w="1588"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widowControl/>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每年约</w:t>
            </w:r>
            <w:r>
              <w:rPr>
                <w:rFonts w:asciiTheme="minorEastAsia" w:hAnsiTheme="minorEastAsia" w:eastAsiaTheme="minorEastAsia"/>
                <w:szCs w:val="21"/>
                <w:highlight w:val="none"/>
              </w:rPr>
              <w:t>1.65万吨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trPr>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28</w:t>
            </w:r>
          </w:p>
        </w:tc>
        <w:tc>
          <w:tcPr>
            <w:tcW w:w="3082" w:type="dxa"/>
            <w:vAlign w:val="center"/>
          </w:tcPr>
          <w:p>
            <w:pPr>
              <w:rPr>
                <w:rFonts w:asciiTheme="minorEastAsia" w:hAnsiTheme="minorEastAsia" w:eastAsiaTheme="minorEastAsia"/>
                <w:szCs w:val="21"/>
                <w:highlight w:val="none"/>
              </w:rPr>
            </w:pPr>
            <w:r>
              <w:rPr>
                <w:rFonts w:hint="eastAsia" w:ascii="宋体" w:hAnsi="宋体" w:cs="仿宋_GB2312"/>
                <w:bCs/>
                <w:szCs w:val="21"/>
                <w:highlight w:val="none"/>
              </w:rPr>
              <w:t>设备检修辅助业务</w:t>
            </w:r>
          </w:p>
        </w:tc>
        <w:tc>
          <w:tcPr>
            <w:tcW w:w="1588"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widowControl/>
              <w:rPr>
                <w:rFonts w:asciiTheme="minorEastAsia" w:hAnsiTheme="minorEastAsia" w:eastAsiaTheme="minorEastAsia"/>
                <w:szCs w:val="21"/>
                <w:highlight w:val="none"/>
              </w:rPr>
            </w:pPr>
            <w:r>
              <w:rPr>
                <w:rFonts w:asciiTheme="minorEastAsia" w:hAnsiTheme="minorEastAsia" w:eastAsiaTheme="minorEastAsia"/>
                <w:szCs w:val="21"/>
                <w:highlight w:val="none"/>
              </w:rPr>
              <w:t>6人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 w:hRule="atLeast"/>
        </w:trPr>
        <w:tc>
          <w:tcPr>
            <w:tcW w:w="771" w:type="dxa"/>
            <w:vAlign w:val="center"/>
          </w:tcPr>
          <w:p>
            <w:pPr>
              <w:jc w:val="center"/>
              <w:rPr>
                <w:rFonts w:asciiTheme="minorEastAsia" w:hAnsiTheme="minorEastAsia" w:eastAsiaTheme="minorEastAsia"/>
                <w:szCs w:val="21"/>
                <w:highlight w:val="none"/>
              </w:rPr>
            </w:pPr>
            <w:r>
              <w:rPr>
                <w:rFonts w:hint="eastAsia" w:ascii="宋体" w:hAnsi="宋体"/>
                <w:szCs w:val="21"/>
                <w:highlight w:val="none"/>
              </w:rPr>
              <w:t>39</w:t>
            </w:r>
          </w:p>
        </w:tc>
        <w:tc>
          <w:tcPr>
            <w:tcW w:w="3082" w:type="dxa"/>
            <w:vAlign w:val="center"/>
          </w:tcPr>
          <w:p>
            <w:pPr>
              <w:rPr>
                <w:rFonts w:ascii="宋体" w:hAnsi="宋体" w:cs="仿宋_GB2312"/>
                <w:bCs/>
                <w:szCs w:val="21"/>
                <w:highlight w:val="none"/>
              </w:rPr>
            </w:pPr>
            <w:r>
              <w:rPr>
                <w:rFonts w:hint="eastAsia" w:ascii="宋体" w:hAnsi="宋体"/>
                <w:szCs w:val="21"/>
                <w:highlight w:val="none"/>
              </w:rPr>
              <w:t>生产线机动工作</w:t>
            </w:r>
          </w:p>
        </w:tc>
        <w:tc>
          <w:tcPr>
            <w:tcW w:w="1588"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一项</w:t>
            </w:r>
          </w:p>
        </w:tc>
        <w:tc>
          <w:tcPr>
            <w:tcW w:w="2831" w:type="dxa"/>
          </w:tcPr>
          <w:p>
            <w:pPr>
              <w:widowControl/>
              <w:rPr>
                <w:rFonts w:asciiTheme="minorEastAsia" w:hAnsiTheme="minorEastAsia" w:eastAsiaTheme="minorEastAsia"/>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1"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3082" w:type="dxa"/>
            <w:vAlign w:val="center"/>
          </w:tcPr>
          <w:p>
            <w:pPr>
              <w:rPr>
                <w:rFonts w:asciiTheme="minorEastAsia" w:hAnsiTheme="minorEastAsia" w:eastAsiaTheme="minorEastAsia"/>
                <w:szCs w:val="21"/>
                <w:highlight w:val="none"/>
              </w:rPr>
            </w:pPr>
          </w:p>
        </w:tc>
        <w:tc>
          <w:tcPr>
            <w:tcW w:w="1588" w:type="dxa"/>
            <w:vAlign w:val="center"/>
          </w:tcPr>
          <w:p>
            <w:pPr>
              <w:rPr>
                <w:rFonts w:asciiTheme="minorEastAsia" w:hAnsiTheme="minorEastAsia" w:eastAsiaTheme="minorEastAsia"/>
                <w:szCs w:val="21"/>
                <w:highlight w:val="none"/>
              </w:rPr>
            </w:pPr>
          </w:p>
        </w:tc>
        <w:tc>
          <w:tcPr>
            <w:tcW w:w="2831" w:type="dxa"/>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62</w:t>
            </w:r>
            <w:r>
              <w:rPr>
                <w:rFonts w:asciiTheme="minorEastAsia" w:hAnsiTheme="minorEastAsia" w:eastAsiaTheme="minorEastAsia"/>
                <w:szCs w:val="21"/>
                <w:highlight w:val="none"/>
              </w:rPr>
              <w:t>人</w:t>
            </w:r>
          </w:p>
        </w:tc>
      </w:tr>
    </w:tbl>
    <w:p>
      <w:pPr>
        <w:widowControl/>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注：未明确强调具体人员配置数量的工作任务乙方可安排兼职人员，但必须按照甲方要求完成相关工作任务。</w:t>
      </w:r>
    </w:p>
    <w:p>
      <w:pPr>
        <w:widowControl/>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p>
    <w:p>
      <w:pPr>
        <w:widowControl/>
        <w:ind w:firstLine="2001" w:firstLineChars="949"/>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各业务区域卫生清洁及零星辅助业务的主要内容</w:t>
      </w:r>
    </w:p>
    <w:tbl>
      <w:tblPr>
        <w:tblStyle w:val="42"/>
        <w:tblW w:w="827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8"/>
        <w:gridCol w:w="1510"/>
        <w:gridCol w:w="6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blHeader/>
        </w:trPr>
        <w:tc>
          <w:tcPr>
            <w:tcW w:w="458"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
                <w:bCs/>
                <w:color w:val="000000"/>
                <w:kern w:val="0"/>
                <w:szCs w:val="21"/>
                <w:highlight w:val="none"/>
              </w:rPr>
              <w:t>序号</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
                <w:bCs/>
                <w:color w:val="000000"/>
                <w:kern w:val="0"/>
                <w:szCs w:val="21"/>
                <w:highlight w:val="none"/>
              </w:rPr>
              <w:t>名称</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
                <w:bCs/>
                <w:color w:val="000000"/>
                <w:kern w:val="0"/>
                <w:szCs w:val="21"/>
                <w:highlight w:val="none"/>
              </w:rPr>
              <w:t>卫生要求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磨机房</w:t>
            </w:r>
          </w:p>
        </w:tc>
        <w:tc>
          <w:tcPr>
            <w:tcW w:w="6304" w:type="dxa"/>
          </w:tcPr>
          <w:p>
            <w:pPr>
              <w:widowControl/>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磨机房内</w:t>
            </w:r>
            <w:r>
              <w:rPr>
                <w:rFonts w:cs="宋体" w:asciiTheme="minorEastAsia" w:hAnsiTheme="minorEastAsia" w:eastAsiaTheme="minorEastAsia"/>
                <w:color w:val="000000"/>
                <w:kern w:val="0"/>
                <w:szCs w:val="21"/>
                <w:highlight w:val="none"/>
              </w:rPr>
              <w:t>3台磨机、3套搅拌装置等所有设备、管阀及地面、墙壁、各层平台、楼梯、栏杆的</w:t>
            </w:r>
            <w:r>
              <w:rPr>
                <w:rFonts w:hint="eastAsia" w:cs="宋体" w:asciiTheme="minorEastAsia" w:hAnsiTheme="minorEastAsia" w:eastAsiaTheme="minorEastAsia"/>
                <w:color w:val="000000"/>
                <w:kern w:val="0"/>
                <w:szCs w:val="21"/>
                <w:highlight w:val="none"/>
              </w:rPr>
              <w:t>的油污、杂物、落料、积尘的每天清扫清洁；磨机出口筛余废料的收集、清运到厂内废料堆放区。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2</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砂皮带输送</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砂渣上料皮带输送设备及其地面、各层平台、楼梯、栏杆的油污、杂物、落料、积尘的每天清扫清洁。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3</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石膏库及搅拌装置清洁</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石膏库地面、墙壁，石膏搅拌装置、浆液输送管阀的油污、杂物、落料、积尘的每天清扫清洁。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4</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罐区（含粉煤灰制浆区域）清洁</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储罐、管阀、称量设备、地面、墙壁、各层平台、楼梯、栏杆的的油污、杂物、落料、积尘的每天清扫清洁。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5</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配料楼、辅助用房区域清洁</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储罐、输送设备、管阀、称量设备、地面、墙壁、各层平台、楼梯、栏杆的的油污、杂物、落料、积尘的每天清扫清洁。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445" w:hRule="atLeast"/>
        </w:trPr>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6</w:t>
            </w:r>
          </w:p>
        </w:tc>
        <w:tc>
          <w:tcPr>
            <w:tcW w:w="1510"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静停、切割区清洁</w:t>
            </w:r>
          </w:p>
        </w:tc>
        <w:tc>
          <w:tcPr>
            <w:tcW w:w="6304" w:type="dxa"/>
          </w:tcPr>
          <w:p>
            <w:pPr>
              <w:widowControl/>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浇注地坑冲扫清洁、静停区模箱漏浆清理、合模前侧板及空模箱内结料清理、切割区地坑外落料清理、地翻台落料清理，保持本区域地面清洁；浇注搅拌机、输送轨道、翻转吊具、切割机组、地翻台、刷灰机等设备的油污、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7</w:t>
            </w:r>
          </w:p>
        </w:tc>
        <w:tc>
          <w:tcPr>
            <w:tcW w:w="1510"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半成品、成品段清洁</w:t>
            </w:r>
          </w:p>
        </w:tc>
        <w:tc>
          <w:tcPr>
            <w:tcW w:w="6304" w:type="dxa"/>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半成品堆垛吊机、半成品输送轨道、釜前吊具、搭桥装置、蒸压釜、成品输送轨道、釜前摆渡车、成品分垛吊机、掰板机等。</w:t>
            </w:r>
          </w:p>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设备及其所在区域的油污、杂物、落料、积尘的每天清扫清洁。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8</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涂脱模剂</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模箱堵漏、涂脱模剂，防止脱模剂洒漏污染地面，保持工作区域的清洁。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9</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釜区清洁</w:t>
            </w:r>
          </w:p>
        </w:tc>
        <w:tc>
          <w:tcPr>
            <w:tcW w:w="6304" w:type="dxa"/>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釜前区设备、地面、墙壁、楼梯、栏杆的油污、杂物、落料、积尘的每天清扫清洁。</w:t>
            </w:r>
          </w:p>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釜体区设备、地面、墙壁、楼梯、栏杆的油污、杂物、落料、积尘的</w:t>
            </w:r>
            <w:r>
              <w:rPr>
                <w:rFonts w:hint="eastAsia" w:ascii="宋体" w:hAnsi="宋体" w:cs="宋体"/>
                <w:color w:val="000000"/>
                <w:kern w:val="0"/>
                <w:szCs w:val="21"/>
                <w:highlight w:val="none"/>
              </w:rPr>
              <w:t>至少</w:t>
            </w:r>
            <w:r>
              <w:rPr>
                <w:rFonts w:hint="eastAsia" w:cs="宋体" w:asciiTheme="minorEastAsia" w:hAnsiTheme="minorEastAsia" w:eastAsiaTheme="minorEastAsia"/>
                <w:color w:val="000000"/>
                <w:kern w:val="0"/>
                <w:szCs w:val="21"/>
                <w:highlight w:val="none"/>
              </w:rPr>
              <w:t>每月清扫清洁</w:t>
            </w:r>
            <w:r>
              <w:rPr>
                <w:rFonts w:hint="eastAsia" w:ascii="宋体" w:hAnsi="宋体" w:cs="宋体"/>
                <w:color w:val="000000"/>
                <w:kern w:val="0"/>
                <w:szCs w:val="21"/>
                <w:highlight w:val="none"/>
              </w:rPr>
              <w:t>1次</w:t>
            </w:r>
            <w:r>
              <w:rPr>
                <w:rFonts w:hint="eastAsia" w:cs="宋体" w:asciiTheme="minorEastAsia" w:hAnsiTheme="minorEastAsia" w:eastAsiaTheme="minorEastAsia"/>
                <w:color w:val="000000"/>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10</w:t>
            </w:r>
          </w:p>
        </w:tc>
        <w:tc>
          <w:tcPr>
            <w:tcW w:w="1510"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室外罐顶、天面设备、管道、地面、阀门、楼梯、栏杆等</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根据需要清洁。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11</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环厂道路卫生</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环厂道路路面每天按要求清洁。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12</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定期、非定期项目</w:t>
            </w:r>
          </w:p>
        </w:tc>
        <w:tc>
          <w:tcPr>
            <w:tcW w:w="6304" w:type="dxa"/>
          </w:tcPr>
          <w:p>
            <w:pPr>
              <w:widowControl/>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磨前料浆罐</w:t>
            </w:r>
            <w:r>
              <w:rPr>
                <w:rFonts w:cs="宋体" w:asciiTheme="minorEastAsia" w:hAnsiTheme="minorEastAsia" w:eastAsiaTheme="minorEastAsia"/>
                <w:color w:val="000000"/>
                <w:kern w:val="0"/>
                <w:szCs w:val="21"/>
                <w:highlight w:val="none"/>
              </w:rPr>
              <w:t>3个、磨机入口3个、磨机出口3个、</w:t>
            </w:r>
            <w:r>
              <w:rPr>
                <w:rFonts w:hint="eastAsia" w:cs="宋体" w:asciiTheme="minorEastAsia" w:hAnsiTheme="minorEastAsia" w:eastAsiaTheme="minorEastAsia"/>
                <w:color w:val="000000"/>
                <w:kern w:val="0"/>
                <w:szCs w:val="21"/>
                <w:highlight w:val="none"/>
              </w:rPr>
              <w:t>磨后罐</w:t>
            </w:r>
            <w:r>
              <w:rPr>
                <w:rFonts w:cs="宋体" w:asciiTheme="minorEastAsia" w:hAnsiTheme="minorEastAsia" w:eastAsiaTheme="minorEastAsia"/>
                <w:color w:val="000000"/>
                <w:kern w:val="0"/>
                <w:szCs w:val="21"/>
                <w:highlight w:val="none"/>
              </w:rPr>
              <w:t>3个</w:t>
            </w:r>
            <w:r>
              <w:rPr>
                <w:rFonts w:hint="eastAsia" w:cs="宋体" w:asciiTheme="minorEastAsia" w:hAnsiTheme="minorEastAsia" w:eastAsiaTheme="minorEastAsia"/>
                <w:color w:val="000000"/>
                <w:kern w:val="0"/>
                <w:szCs w:val="21"/>
                <w:highlight w:val="none"/>
              </w:rPr>
              <w:t>；粉煤灰制浆罐</w:t>
            </w:r>
            <w:r>
              <w:rPr>
                <w:rFonts w:cs="宋体" w:asciiTheme="minorEastAsia" w:hAnsiTheme="minorEastAsia" w:eastAsiaTheme="minorEastAsia"/>
                <w:color w:val="000000"/>
                <w:kern w:val="0"/>
                <w:szCs w:val="21"/>
                <w:highlight w:val="none"/>
              </w:rPr>
              <w:t xml:space="preserve">2个、罐区料浆罐8个、地坑三个，石膏打浆机1台； </w:t>
            </w:r>
            <w:r>
              <w:rPr>
                <w:rFonts w:hint="eastAsia" w:cs="宋体" w:asciiTheme="minorEastAsia" w:hAnsiTheme="minorEastAsia" w:eastAsiaTheme="minorEastAsia"/>
                <w:color w:val="000000"/>
                <w:kern w:val="0"/>
                <w:szCs w:val="21"/>
                <w:highlight w:val="none"/>
              </w:rPr>
              <w:t>配料楼料浆罐</w:t>
            </w:r>
            <w:r>
              <w:rPr>
                <w:rFonts w:cs="宋体" w:asciiTheme="minorEastAsia" w:hAnsiTheme="minorEastAsia" w:eastAsiaTheme="minorEastAsia"/>
                <w:color w:val="000000"/>
                <w:kern w:val="0"/>
                <w:szCs w:val="21"/>
                <w:highlight w:val="none"/>
              </w:rPr>
              <w:t>2个，料浆计量称1台、浇注搅拌机1台,浇注地坑1个；切割地沟、切割地坑1个； 8条蒸压</w:t>
            </w:r>
            <w:r>
              <w:rPr>
                <w:rFonts w:hint="eastAsia" w:cs="宋体" w:asciiTheme="minorEastAsia" w:hAnsiTheme="minorEastAsia" w:eastAsiaTheme="minorEastAsia"/>
                <w:color w:val="000000"/>
                <w:kern w:val="0"/>
                <w:szCs w:val="21"/>
                <w:highlight w:val="none"/>
              </w:rPr>
              <w:t>釜排污口及基座等各处结料的清理；负责蒸压釜内废料的清理；高温水池、中温水池、低温水池每年</w:t>
            </w:r>
            <w:r>
              <w:rPr>
                <w:rFonts w:cs="宋体" w:asciiTheme="minorEastAsia" w:hAnsiTheme="minorEastAsia" w:eastAsiaTheme="minorEastAsia"/>
                <w:color w:val="000000"/>
                <w:kern w:val="0"/>
                <w:szCs w:val="21"/>
                <w:highlight w:val="none"/>
              </w:rPr>
              <w:t>1次的底部沉淀物清理</w:t>
            </w:r>
            <w:r>
              <w:rPr>
                <w:rFonts w:hint="eastAsia" w:ascii="宋体" w:hAnsi="宋体" w:cs="宋体"/>
                <w:color w:val="000000"/>
                <w:kern w:val="0"/>
                <w:szCs w:val="21"/>
                <w:highlight w:val="none"/>
              </w:rPr>
              <w:t>；其余生产原材料地坑、罐内积料清理。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13</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Cs/>
                <w:kern w:val="0"/>
                <w:szCs w:val="21"/>
                <w:highlight w:val="none"/>
              </w:rPr>
              <w:t>临时辅助检修清洁</w:t>
            </w:r>
          </w:p>
        </w:tc>
        <w:tc>
          <w:tcPr>
            <w:tcW w:w="6304"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日常检修时，按检修要求清洁设备及设备周边积料。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14</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Cs/>
                <w:kern w:val="0"/>
                <w:szCs w:val="21"/>
                <w:highlight w:val="none"/>
              </w:rPr>
              <w:t>模框清洁</w:t>
            </w:r>
          </w:p>
        </w:tc>
        <w:tc>
          <w:tcPr>
            <w:tcW w:w="6304"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模框表面卫生每周清洁一个循环</w:t>
            </w:r>
            <w:r>
              <w:rPr>
                <w:rFonts w:hint="eastAsia" w:ascii="宋体" w:hAnsi="宋体" w:cs="宋体"/>
                <w:color w:val="000000"/>
                <w:kern w:val="0"/>
                <w:szCs w:val="21"/>
                <w:highlight w:val="none"/>
              </w:rPr>
              <w:t>，保持模具清洁，表面无油污、积料</w:t>
            </w:r>
            <w:r>
              <w:rPr>
                <w:rFonts w:hint="eastAsia" w:cs="宋体" w:asciiTheme="minorEastAsia" w:hAnsiTheme="minorEastAsia" w:eastAsiaTheme="minorEastAsia"/>
                <w:color w:val="000000"/>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15</w:t>
            </w:r>
          </w:p>
        </w:tc>
        <w:tc>
          <w:tcPr>
            <w:tcW w:w="1510" w:type="dxa"/>
            <w:vAlign w:val="center"/>
          </w:tcPr>
          <w:p>
            <w:pPr>
              <w:jc w:val="left"/>
              <w:rPr>
                <w:rFonts w:asciiTheme="minorEastAsia" w:hAnsiTheme="minorEastAsia" w:eastAsiaTheme="minorEastAsia"/>
                <w:szCs w:val="21"/>
                <w:highlight w:val="none"/>
              </w:rPr>
            </w:pPr>
            <w:r>
              <w:rPr>
                <w:rFonts w:hint="eastAsia" w:ascii="宋体" w:hAnsi="宋体" w:cs="宋体"/>
                <w:bCs/>
                <w:kern w:val="0"/>
                <w:szCs w:val="21"/>
                <w:highlight w:val="none"/>
              </w:rPr>
              <w:t>侧板</w:t>
            </w:r>
            <w:r>
              <w:rPr>
                <w:rFonts w:hint="eastAsia" w:cs="宋体" w:asciiTheme="minorEastAsia" w:hAnsiTheme="minorEastAsia" w:eastAsiaTheme="minorEastAsia"/>
                <w:bCs/>
                <w:kern w:val="0"/>
                <w:szCs w:val="21"/>
                <w:highlight w:val="none"/>
              </w:rPr>
              <w:t>清洁</w:t>
            </w:r>
          </w:p>
        </w:tc>
        <w:tc>
          <w:tcPr>
            <w:tcW w:w="6304" w:type="dxa"/>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全厂所有</w:t>
            </w:r>
            <w:r>
              <w:rPr>
                <w:rFonts w:hint="eastAsia" w:ascii="宋体" w:hAnsi="宋体" w:cs="宋体"/>
                <w:color w:val="000000"/>
                <w:kern w:val="0"/>
                <w:szCs w:val="21"/>
                <w:highlight w:val="none"/>
              </w:rPr>
              <w:t>侧板需要时</w:t>
            </w:r>
            <w:r>
              <w:rPr>
                <w:rFonts w:cs="宋体" w:asciiTheme="minorEastAsia" w:hAnsiTheme="minorEastAsia" w:eastAsiaTheme="minorEastAsia"/>
                <w:color w:val="000000"/>
                <w:kern w:val="0"/>
                <w:szCs w:val="21"/>
                <w:highlight w:val="none"/>
              </w:rPr>
              <w:t>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16</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Cs/>
                <w:kern w:val="0"/>
                <w:szCs w:val="21"/>
                <w:highlight w:val="none"/>
              </w:rPr>
              <w:t>清洁卫生工具</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所有清洁工具（包括不限于斗车、铁铲、风镐等等）均由乙方自行负责配置及维护。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color w:val="000000"/>
                <w:kern w:val="0"/>
                <w:szCs w:val="21"/>
                <w:highlight w:val="none"/>
              </w:rPr>
              <w:t>17</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Cs/>
                <w:kern w:val="0"/>
                <w:szCs w:val="21"/>
                <w:highlight w:val="none"/>
              </w:rPr>
              <w:t>辅助项目</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color w:val="000000"/>
                <w:kern w:val="0"/>
                <w:szCs w:val="21"/>
                <w:highlight w:val="none"/>
              </w:rPr>
              <w:t>甲方计划停产时间段，需安排</w:t>
            </w:r>
            <w:r>
              <w:rPr>
                <w:rFonts w:cs="宋体" w:asciiTheme="minorEastAsia" w:hAnsiTheme="minorEastAsia" w:eastAsiaTheme="minorEastAsia"/>
                <w:color w:val="000000"/>
                <w:kern w:val="0"/>
                <w:szCs w:val="21"/>
                <w:highlight w:val="none"/>
              </w:rPr>
              <w:t>6人协助检修。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58" w:type="dxa"/>
            <w:vAlign w:val="center"/>
          </w:tcPr>
          <w:p>
            <w:pPr>
              <w:jc w:val="left"/>
              <w:rPr>
                <w:rFonts w:asciiTheme="minorEastAsia" w:hAnsiTheme="minorEastAsia" w:eastAsiaTheme="minorEastAsia"/>
                <w:szCs w:val="21"/>
                <w:highlight w:val="none"/>
              </w:rPr>
            </w:pPr>
            <w:r>
              <w:rPr>
                <w:rFonts w:cs="宋体" w:asciiTheme="minorEastAsia" w:hAnsiTheme="minorEastAsia" w:eastAsiaTheme="minorEastAsia"/>
                <w:kern w:val="0"/>
                <w:szCs w:val="21"/>
                <w:highlight w:val="none"/>
              </w:rPr>
              <w:t>18</w:t>
            </w:r>
          </w:p>
        </w:tc>
        <w:tc>
          <w:tcPr>
            <w:tcW w:w="1510"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bCs/>
                <w:kern w:val="0"/>
                <w:szCs w:val="21"/>
                <w:highlight w:val="none"/>
              </w:rPr>
              <w:t>原料归堆上料</w:t>
            </w:r>
          </w:p>
        </w:tc>
        <w:tc>
          <w:tcPr>
            <w:tcW w:w="6304" w:type="dxa"/>
            <w:vAlign w:val="center"/>
          </w:tcPr>
          <w:p>
            <w:pPr>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负责使用铲车（铲车由乙方提供）将生产用原材料（砂、渣及石膏等）的推堆上料</w:t>
            </w:r>
            <w:r>
              <w:rPr>
                <w:rFonts w:hint="eastAsia" w:ascii="宋体" w:hAnsi="宋体" w:cs="宋体"/>
                <w:kern w:val="0"/>
                <w:szCs w:val="21"/>
                <w:highlight w:val="none"/>
              </w:rPr>
              <w:t>及料堆覆盖</w:t>
            </w:r>
            <w:r>
              <w:rPr>
                <w:rFonts w:hint="eastAsia" w:cs="宋体" w:asciiTheme="minorEastAsia" w:hAnsiTheme="minorEastAsia" w:eastAsiaTheme="minorEastAsia"/>
                <w:kern w:val="0"/>
                <w:szCs w:val="21"/>
                <w:highlight w:val="none"/>
              </w:rPr>
              <w:t>。</w:t>
            </w:r>
          </w:p>
        </w:tc>
      </w:tr>
    </w:tbl>
    <w:p>
      <w:pPr>
        <w:rPr>
          <w:rFonts w:ascii="宋体" w:hAnsi="宋体"/>
          <w:szCs w:val="21"/>
          <w:highlight w:val="none"/>
        </w:rPr>
      </w:pPr>
      <w:r>
        <w:rPr>
          <w:rFonts w:ascii="宋体" w:hAnsi="宋体"/>
          <w:szCs w:val="21"/>
          <w:highlight w:val="none"/>
        </w:rPr>
        <w:br w:type="page"/>
      </w:r>
    </w:p>
    <w:p>
      <w:pPr>
        <w:rPr>
          <w:rFonts w:ascii="宋体" w:hAnsi="宋体"/>
          <w:b/>
          <w:sz w:val="24"/>
          <w:highlight w:val="none"/>
        </w:rPr>
      </w:pPr>
      <w:r>
        <w:rPr>
          <w:rFonts w:hint="eastAsia" w:ascii="宋体" w:hAnsi="宋体"/>
          <w:b/>
          <w:sz w:val="24"/>
          <w:highlight w:val="none"/>
        </w:rPr>
        <w:t>附件2:</w:t>
      </w:r>
    </w:p>
    <w:p>
      <w:pPr>
        <w:widowControl/>
        <w:snapToGrid w:val="0"/>
        <w:jc w:val="center"/>
        <w:rPr>
          <w:rFonts w:ascii="宋体" w:hAnsi="宋体"/>
          <w:sz w:val="36"/>
          <w:highlight w:val="none"/>
        </w:rPr>
      </w:pPr>
      <w:r>
        <w:rPr>
          <w:rFonts w:hint="eastAsia" w:ascii="宋体" w:hAnsi="宋体"/>
          <w:sz w:val="36"/>
          <w:highlight w:val="none"/>
        </w:rPr>
        <w:t>加气砌块生产辅助业务外委安健环管理协议</w:t>
      </w:r>
    </w:p>
    <w:p>
      <w:pPr>
        <w:tabs>
          <w:tab w:val="left" w:pos="2250"/>
        </w:tabs>
        <w:spacing w:line="560" w:lineRule="exact"/>
        <w:rPr>
          <w:rFonts w:ascii="宋体" w:hAnsi="宋体"/>
          <w:sz w:val="28"/>
          <w:szCs w:val="28"/>
          <w:highlight w:val="none"/>
        </w:rPr>
      </w:pPr>
    </w:p>
    <w:p>
      <w:pPr>
        <w:tabs>
          <w:tab w:val="left" w:pos="2250"/>
        </w:tabs>
        <w:spacing w:line="560" w:lineRule="exact"/>
        <w:rPr>
          <w:rFonts w:ascii="宋体" w:hAnsi="宋体"/>
          <w:szCs w:val="21"/>
          <w:highlight w:val="none"/>
        </w:rPr>
      </w:pPr>
      <w:r>
        <w:rPr>
          <w:rFonts w:hint="eastAsia" w:ascii="宋体" w:hAnsi="宋体"/>
          <w:szCs w:val="21"/>
          <w:highlight w:val="none"/>
        </w:rPr>
        <w:t>甲方：佛山市恒益环保建材有限公司</w:t>
      </w:r>
      <w:r>
        <w:rPr>
          <w:rFonts w:ascii="宋体" w:hAnsi="宋体"/>
          <w:szCs w:val="21"/>
          <w:highlight w:val="none"/>
        </w:rPr>
        <w:tab/>
      </w:r>
    </w:p>
    <w:p>
      <w:pPr>
        <w:spacing w:line="560" w:lineRule="exact"/>
        <w:rPr>
          <w:rFonts w:ascii="宋体" w:hAnsi="宋体"/>
          <w:szCs w:val="21"/>
          <w:highlight w:val="none"/>
        </w:rPr>
      </w:pPr>
      <w:r>
        <w:rPr>
          <w:rFonts w:hint="eastAsia" w:ascii="宋体" w:hAnsi="宋体"/>
          <w:szCs w:val="21"/>
          <w:highlight w:val="none"/>
        </w:rPr>
        <w:t>乙方：</w:t>
      </w:r>
    </w:p>
    <w:p>
      <w:pPr>
        <w:spacing w:line="560" w:lineRule="exact"/>
        <w:rPr>
          <w:rFonts w:ascii="宋体" w:hAnsi="宋体"/>
          <w:szCs w:val="21"/>
          <w:highlight w:val="none"/>
        </w:rPr>
      </w:pPr>
    </w:p>
    <w:p>
      <w:pPr>
        <w:spacing w:line="360" w:lineRule="auto"/>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为确保甲乙双方工作人员职业安全健康和项目实施过程文明环保，甲方与乙方依照国家和政府的有关法律法规，就本项目实施过程中的安健环管理事项、双方权利与义务协商一致，达成以下协议：</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一、甲方安健环管理责任与义务：</w:t>
      </w:r>
    </w:p>
    <w:p>
      <w:pPr>
        <w:pStyle w:val="210"/>
        <w:numPr>
          <w:ilvl w:val="0"/>
          <w:numId w:val="13"/>
        </w:numPr>
        <w:tabs>
          <w:tab w:val="left" w:pos="0"/>
        </w:tabs>
        <w:spacing w:line="360" w:lineRule="auto"/>
        <w:ind w:left="0" w:firstLine="426"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提供甲方安健环有关制度</w:t>
      </w:r>
      <w:r>
        <w:rPr>
          <w:rFonts w:hint="eastAsia" w:asciiTheme="minorEastAsia" w:hAnsiTheme="minorEastAsia" w:eastAsiaTheme="minorEastAsia"/>
          <w:bCs/>
          <w:szCs w:val="21"/>
          <w:highlight w:val="none"/>
        </w:rPr>
        <w:t>（含上级主管部门的有关安健环管理文件）</w:t>
      </w:r>
      <w:r>
        <w:rPr>
          <w:rFonts w:hint="eastAsia" w:asciiTheme="minorEastAsia" w:hAnsiTheme="minorEastAsia" w:eastAsiaTheme="minorEastAsia"/>
          <w:szCs w:val="21"/>
          <w:highlight w:val="none"/>
        </w:rPr>
        <w:t>复印件给乙方作为安健环教育管理的一项资料。甲方督促乙方制定相应的安全管理制度，要求乙方对其工作人员进行安全培训教育，并经考核合格后才准上岗工作。</w:t>
      </w:r>
    </w:p>
    <w:p>
      <w:pPr>
        <w:pStyle w:val="210"/>
        <w:numPr>
          <w:ilvl w:val="0"/>
          <w:numId w:val="13"/>
        </w:numPr>
        <w:tabs>
          <w:tab w:val="left" w:pos="420"/>
        </w:tabs>
        <w:spacing w:line="360" w:lineRule="auto"/>
        <w:ind w:firstLine="6"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负责对乙方特种作业工作人员入厂上岗前的资格证审查及备案。</w:t>
      </w:r>
    </w:p>
    <w:p>
      <w:pPr>
        <w:pStyle w:val="210"/>
        <w:numPr>
          <w:ilvl w:val="0"/>
          <w:numId w:val="13"/>
        </w:numPr>
        <w:tabs>
          <w:tab w:val="left" w:pos="420"/>
        </w:tabs>
        <w:spacing w:line="360" w:lineRule="auto"/>
        <w:ind w:firstLine="6"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向乙方提供承包项目业务内各岗位职业病防治的专项体检指引。</w:t>
      </w:r>
    </w:p>
    <w:p>
      <w:pPr>
        <w:pStyle w:val="210"/>
        <w:numPr>
          <w:ilvl w:val="0"/>
          <w:numId w:val="13"/>
        </w:numPr>
        <w:spacing w:line="360" w:lineRule="auto"/>
        <w:ind w:left="0" w:firstLine="426"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向乙方提供甲方厂内环境、职业危害因素防范及劳动保护、危险源辨识及告知等安全管理规定，要求乙方严格执行。</w:t>
      </w:r>
    </w:p>
    <w:p>
      <w:pPr>
        <w:pStyle w:val="210"/>
        <w:numPr>
          <w:ilvl w:val="0"/>
          <w:numId w:val="13"/>
        </w:numPr>
        <w:tabs>
          <w:tab w:val="left" w:pos="420"/>
        </w:tabs>
        <w:spacing w:line="360" w:lineRule="auto"/>
        <w:ind w:firstLine="6" w:firstLineChars="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对乙方资质进行以下内容审查：</w:t>
      </w:r>
    </w:p>
    <w:p>
      <w:pPr>
        <w:pStyle w:val="210"/>
        <w:numPr>
          <w:ilvl w:val="1"/>
          <w:numId w:val="14"/>
        </w:numPr>
        <w:spacing w:line="360" w:lineRule="auto"/>
        <w:ind w:hanging="414" w:firstLineChars="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政府有关部门核发的营业执照和相关资质证书、法人代表资格证书。</w:t>
      </w:r>
    </w:p>
    <w:p>
      <w:pPr>
        <w:pStyle w:val="210"/>
        <w:numPr>
          <w:ilvl w:val="1"/>
          <w:numId w:val="14"/>
        </w:numPr>
        <w:spacing w:line="360" w:lineRule="auto"/>
        <w:ind w:hanging="414" w:firstLineChars="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相关人员有关本项目的技术资质、安健环资质、身体职业健康证明等。</w:t>
      </w:r>
    </w:p>
    <w:p>
      <w:pPr>
        <w:pStyle w:val="210"/>
        <w:numPr>
          <w:ilvl w:val="1"/>
          <w:numId w:val="14"/>
        </w:numPr>
        <w:spacing w:line="360" w:lineRule="auto"/>
        <w:ind w:hanging="414" w:firstLineChars="0"/>
        <w:rPr>
          <w:rFonts w:asciiTheme="minorEastAsia" w:hAnsiTheme="minorEastAsia" w:eastAsiaTheme="minorEastAsia"/>
          <w:spacing w:val="-6"/>
          <w:szCs w:val="21"/>
          <w:highlight w:val="none"/>
        </w:rPr>
      </w:pPr>
      <w:r>
        <w:rPr>
          <w:rFonts w:hint="eastAsia" w:asciiTheme="minorEastAsia" w:hAnsiTheme="minorEastAsia" w:eastAsiaTheme="minorEastAsia"/>
          <w:bCs/>
          <w:spacing w:val="-6"/>
          <w:szCs w:val="21"/>
          <w:highlight w:val="none"/>
        </w:rPr>
        <w:t>关于本项目的各项安健环管理制度以及安健环管理和保障架构网络图和人员名单。</w:t>
      </w:r>
    </w:p>
    <w:p>
      <w:pPr>
        <w:pStyle w:val="210"/>
        <w:numPr>
          <w:ilvl w:val="1"/>
          <w:numId w:val="14"/>
        </w:numPr>
        <w:spacing w:line="360" w:lineRule="auto"/>
        <w:ind w:hanging="414" w:firstLineChars="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其它投标时提供的相关资质证明。</w:t>
      </w:r>
    </w:p>
    <w:p>
      <w:pPr>
        <w:pStyle w:val="210"/>
        <w:numPr>
          <w:ilvl w:val="0"/>
          <w:numId w:val="14"/>
        </w:numPr>
        <w:spacing w:line="360" w:lineRule="auto"/>
        <w:ind w:firstLine="6" w:firstLineChars="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检查乙方所派工作人员是否符合国家、地方、行业的有关法律、法规的要求。</w:t>
      </w:r>
    </w:p>
    <w:p>
      <w:pPr>
        <w:pStyle w:val="210"/>
        <w:numPr>
          <w:ilvl w:val="0"/>
          <w:numId w:val="14"/>
        </w:numPr>
        <w:tabs>
          <w:tab w:val="left" w:pos="0"/>
          <w:tab w:val="clear" w:pos="420"/>
        </w:tabs>
        <w:spacing w:line="360" w:lineRule="auto"/>
        <w:ind w:left="0" w:firstLine="426"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有权监督乙方在承包项目业务实施现场的安健环管理、督促乙方落实业务现场安健环防范措施。</w:t>
      </w:r>
    </w:p>
    <w:p>
      <w:pPr>
        <w:pStyle w:val="210"/>
        <w:numPr>
          <w:ilvl w:val="0"/>
          <w:numId w:val="14"/>
        </w:numPr>
        <w:tabs>
          <w:tab w:val="left" w:pos="0"/>
          <w:tab w:val="clear" w:pos="420"/>
        </w:tabs>
        <w:spacing w:line="360" w:lineRule="auto"/>
        <w:ind w:left="0" w:firstLine="426" w:firstLineChars="0"/>
        <w:rPr>
          <w:rFonts w:asciiTheme="minorEastAsia" w:hAnsiTheme="minorEastAsia" w:eastAsiaTheme="minorEastAsia"/>
          <w:szCs w:val="21"/>
          <w:highlight w:val="none"/>
        </w:rPr>
      </w:pPr>
      <w:r>
        <w:rPr>
          <w:rFonts w:hint="eastAsia" w:asciiTheme="minorEastAsia" w:hAnsiTheme="minorEastAsia" w:eastAsiaTheme="minorEastAsia"/>
          <w:spacing w:val="-4"/>
          <w:szCs w:val="21"/>
          <w:highlight w:val="none"/>
        </w:rPr>
        <w:t>不得违章指挥或强令乙方工作人员冒险作业，承担因违章指挥导致发生事故的相应责任。</w:t>
      </w:r>
    </w:p>
    <w:p>
      <w:pPr>
        <w:pStyle w:val="210"/>
        <w:numPr>
          <w:ilvl w:val="0"/>
          <w:numId w:val="14"/>
        </w:numPr>
        <w:tabs>
          <w:tab w:val="left" w:pos="142"/>
          <w:tab w:val="clear" w:pos="420"/>
        </w:tabs>
        <w:spacing w:line="360" w:lineRule="auto"/>
        <w:ind w:left="0" w:firstLine="426"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有权对乙方进行安健环检查，对发现的问题及时提出整改意见，并限期整改完毕，同时按考核规定给予相应的处罚。</w:t>
      </w:r>
    </w:p>
    <w:p>
      <w:pPr>
        <w:pStyle w:val="210"/>
        <w:numPr>
          <w:ilvl w:val="0"/>
          <w:numId w:val="14"/>
        </w:numPr>
        <w:spacing w:line="360" w:lineRule="auto"/>
        <w:ind w:firstLine="6"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检查乙方是否按规定向工人配发符合安全标准的卫生防护用品及劳保用品。</w:t>
      </w:r>
    </w:p>
    <w:p>
      <w:pPr>
        <w:pStyle w:val="210"/>
        <w:numPr>
          <w:ilvl w:val="0"/>
          <w:numId w:val="14"/>
        </w:numPr>
        <w:tabs>
          <w:tab w:val="left" w:pos="0"/>
          <w:tab w:val="clear" w:pos="420"/>
        </w:tabs>
        <w:spacing w:line="360" w:lineRule="auto"/>
        <w:ind w:left="0" w:firstLine="426"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甲方管理人员不负责</w:t>
      </w:r>
      <w:r>
        <w:rPr>
          <w:rFonts w:asciiTheme="minorEastAsia" w:hAnsiTheme="minorEastAsia" w:eastAsiaTheme="minorEastAsia"/>
          <w:bCs/>
          <w:szCs w:val="21"/>
          <w:highlight w:val="none"/>
        </w:rPr>
        <w:t>24</w:t>
      </w:r>
      <w:r>
        <w:rPr>
          <w:rFonts w:hint="eastAsia" w:asciiTheme="minorEastAsia" w:hAnsiTheme="minorEastAsia" w:eastAsiaTheme="minorEastAsia"/>
          <w:bCs/>
          <w:szCs w:val="21"/>
          <w:highlight w:val="none"/>
        </w:rPr>
        <w:t>小时监督乙方的具体工作，但一经发现乙方有不符合安全及违规行为，有随时制止和处罚的权利。</w:t>
      </w:r>
    </w:p>
    <w:p>
      <w:pPr>
        <w:pStyle w:val="21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二、乙方安健环管理责任与义务：</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（一）遵守法律法规</w:t>
      </w:r>
    </w:p>
    <w:p>
      <w:pPr>
        <w:spacing w:line="42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持证上岗：</w:t>
      </w:r>
      <w:r>
        <w:rPr>
          <w:rFonts w:cs="宋体" w:asciiTheme="minorEastAsia" w:hAnsiTheme="minorEastAsia" w:eastAsiaTheme="minorEastAsia"/>
          <w:color w:val="333333"/>
          <w:kern w:val="0"/>
          <w:szCs w:val="21"/>
          <w:highlight w:val="none"/>
        </w:rPr>
        <w:t>乙方的特种作业人员应持有政府有关部门颁发的有效证件，持证上岗</w:t>
      </w:r>
      <w:r>
        <w:rPr>
          <w:rFonts w:hint="eastAsia" w:cs="宋体" w:asciiTheme="minorEastAsia" w:hAnsiTheme="minorEastAsia" w:eastAsiaTheme="minorEastAsia"/>
          <w:color w:val="333333"/>
          <w:kern w:val="0"/>
          <w:szCs w:val="21"/>
          <w:highlight w:val="none"/>
        </w:rPr>
        <w:t>,</w:t>
      </w:r>
      <w:r>
        <w:rPr>
          <w:rFonts w:asciiTheme="minorEastAsia" w:hAnsiTheme="minorEastAsia" w:eastAsiaTheme="minorEastAsia"/>
          <w:szCs w:val="21"/>
          <w:highlight w:val="none"/>
        </w:rPr>
        <w:t>提供相关的资质证明</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如电工、焊工、高空作业等特种作业人员上岗资质证</w:t>
      </w:r>
      <w:r>
        <w:rPr>
          <w:rFonts w:hint="eastAsia" w:asciiTheme="minorEastAsia" w:hAnsiTheme="minorEastAsia" w:eastAsiaTheme="minorEastAsia"/>
          <w:szCs w:val="21"/>
          <w:highlight w:val="none"/>
        </w:rPr>
        <w:t>；特种设备及特种工器具也必须持有效合格证件，乙方必须向甲方提供有效从事相关作业的资质证明（或人员特种资质证书），并对其真实性负责。</w:t>
      </w:r>
    </w:p>
    <w:p>
      <w:pPr>
        <w:spacing w:line="42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2．严格遵守《中华人民共和国消防法》和《机关、团体、企业、事业单位消防安全管理规定》，做好施工现场的消防管理工作。</w:t>
      </w:r>
    </w:p>
    <w:p>
      <w:pPr>
        <w:spacing w:line="42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(1)建立消防安全管理制度和明确消防安全责任。</w:t>
      </w:r>
    </w:p>
    <w:p>
      <w:pPr>
        <w:spacing w:line="42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(2)对施工人员进行消防安全教育培训。</w:t>
      </w:r>
    </w:p>
    <w:p>
      <w:pPr>
        <w:spacing w:line="42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(3)确保消防设施和器材齐全、完好、有效。</w:t>
      </w:r>
    </w:p>
    <w:p>
      <w:pPr>
        <w:spacing w:line="420" w:lineRule="exact"/>
        <w:ind w:firstLine="480"/>
        <w:rPr>
          <w:rFonts w:asciiTheme="minorEastAsia" w:hAnsiTheme="minorEastAsia" w:eastAsiaTheme="minorEastAsia"/>
          <w:szCs w:val="21"/>
          <w:highlight w:val="none"/>
        </w:rPr>
      </w:pPr>
      <w:r>
        <w:rPr>
          <w:rFonts w:asciiTheme="minorEastAsia" w:hAnsiTheme="minorEastAsia" w:eastAsiaTheme="minorEastAsia"/>
          <w:szCs w:val="21"/>
          <w:highlight w:val="none"/>
        </w:rPr>
        <w:t>3．乙方严格遵守国家</w:t>
      </w:r>
      <w:r>
        <w:rPr>
          <w:rFonts w:hint="eastAsia" w:asciiTheme="minorEastAsia" w:hAnsiTheme="minorEastAsia" w:eastAsiaTheme="minorEastAsia"/>
          <w:szCs w:val="21"/>
          <w:highlight w:val="none"/>
        </w:rPr>
        <w:t>、地方、行业</w:t>
      </w:r>
      <w:r>
        <w:rPr>
          <w:rFonts w:asciiTheme="minorEastAsia" w:hAnsiTheme="minorEastAsia" w:eastAsiaTheme="minorEastAsia"/>
          <w:szCs w:val="21"/>
          <w:highlight w:val="none"/>
        </w:rPr>
        <w:t>安全生产、消防</w:t>
      </w:r>
      <w:r>
        <w:rPr>
          <w:rFonts w:hint="eastAsia" w:asciiTheme="minorEastAsia" w:hAnsiTheme="minorEastAsia" w:eastAsiaTheme="minorEastAsia"/>
          <w:szCs w:val="21"/>
          <w:highlight w:val="none"/>
        </w:rPr>
        <w:t>、环保及职业病防治等方面</w:t>
      </w:r>
      <w:r>
        <w:rPr>
          <w:rFonts w:asciiTheme="minorEastAsia" w:hAnsiTheme="minorEastAsia" w:eastAsiaTheme="minorEastAsia"/>
          <w:szCs w:val="21"/>
          <w:highlight w:val="none"/>
        </w:rPr>
        <w:t>法律法规要求，遵守甲方的相关规章制度。</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4.</w:t>
      </w:r>
      <w:r>
        <w:rPr>
          <w:rFonts w:cs="宋体" w:asciiTheme="minorEastAsia" w:hAnsiTheme="minorEastAsia" w:eastAsiaTheme="minorEastAsia"/>
          <w:color w:val="333333"/>
          <w:kern w:val="0"/>
          <w:szCs w:val="21"/>
          <w:highlight w:val="none"/>
        </w:rPr>
        <w:t>严禁使用未成年人、童工和不适合现场安全施工要求的老、弱、病、残人员进行施工，否则造成后果由乙方负责。</w:t>
      </w:r>
    </w:p>
    <w:p>
      <w:pPr>
        <w:pStyle w:val="210"/>
        <w:spacing w:line="360" w:lineRule="auto"/>
        <w:ind w:firstLine="367" w:firstLineChars="175"/>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乙方应建立安健环管理机构和安健环管理制度，提供安全管理责任人及相关业务安全员名单，并向甲方安健环管理部备案。</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乙方应建立工作票管理架构，提供三种人人员名单并提交甲方安健环备案。乙方在承包项目业务实施现场工作时需严格执行甲方工作票甲乙双方双签制，三种人对现场施工安全负起相应责任。</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（二）作业人员要求</w:t>
      </w:r>
    </w:p>
    <w:p>
      <w:pPr>
        <w:spacing w:line="360" w:lineRule="auto"/>
        <w:ind w:firstLine="404" w:firstLineChars="200"/>
        <w:rPr>
          <w:rFonts w:asciiTheme="minorEastAsia" w:hAnsiTheme="minorEastAsia" w:eastAsiaTheme="minorEastAsia"/>
          <w:spacing w:val="-4"/>
          <w:szCs w:val="21"/>
          <w:highlight w:val="none"/>
        </w:rPr>
      </w:pPr>
      <w:r>
        <w:rPr>
          <w:rFonts w:hint="eastAsia" w:asciiTheme="minorEastAsia" w:hAnsiTheme="minorEastAsia" w:eastAsiaTheme="minorEastAsia"/>
          <w:spacing w:val="-4"/>
          <w:szCs w:val="21"/>
          <w:highlight w:val="none"/>
        </w:rPr>
        <w:t>7</w:t>
      </w:r>
      <w:r>
        <w:rPr>
          <w:rFonts w:asciiTheme="minorEastAsia" w:hAnsiTheme="minorEastAsia" w:eastAsiaTheme="minorEastAsia"/>
          <w:spacing w:val="-4"/>
          <w:szCs w:val="21"/>
          <w:highlight w:val="none"/>
        </w:rPr>
        <w:t>.</w:t>
      </w:r>
      <w:r>
        <w:rPr>
          <w:rFonts w:hint="eastAsia" w:asciiTheme="minorEastAsia" w:hAnsiTheme="minorEastAsia" w:eastAsiaTheme="minorEastAsia"/>
          <w:spacing w:val="-4"/>
          <w:szCs w:val="21"/>
          <w:highlight w:val="none"/>
        </w:rPr>
        <w:t>乙方新录用在甲方厂区工作的人员，乙方需组织进行所承包项目内各项业务的培训和安健环培训教育及考核合格报经甲方同意后，</w:t>
      </w:r>
      <w:r>
        <w:rPr>
          <w:rFonts w:hint="eastAsia" w:cs="宋体" w:asciiTheme="minorEastAsia" w:hAnsiTheme="minorEastAsia" w:eastAsiaTheme="minorEastAsia"/>
          <w:color w:val="333333"/>
          <w:kern w:val="0"/>
          <w:szCs w:val="21"/>
          <w:highlight w:val="none"/>
        </w:rPr>
        <w:t>在进厂前必须接受甲方安排的进厂三级安全教育并经甲方考核合格后，</w:t>
      </w:r>
      <w:r>
        <w:rPr>
          <w:rFonts w:hint="eastAsia" w:asciiTheme="minorEastAsia" w:hAnsiTheme="minorEastAsia" w:eastAsiaTheme="minorEastAsia"/>
          <w:spacing w:val="-4"/>
          <w:szCs w:val="21"/>
          <w:highlight w:val="none"/>
        </w:rPr>
        <w:t>办理出入厂证件后方可进入甲方厂区工作。</w:t>
      </w:r>
    </w:p>
    <w:p>
      <w:pPr>
        <w:spacing w:line="42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乙方对已录用的在甲方厂区工作的人员，应做好日常管理和定期安健环教育，应对其工人进行每月至少一次的安健环教育活动，并做好记录，受教育者必须签名，接受甲方监督。乙方应于签订合同后</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个月内提供一份最新的人员名单和定期安健环教育的记录到甲方安健环管理部备案，并通知甲方。</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9. 乙方作业人员</w:t>
      </w:r>
      <w:r>
        <w:rPr>
          <w:rFonts w:cs="宋体" w:asciiTheme="minorEastAsia" w:hAnsiTheme="minorEastAsia" w:eastAsiaTheme="minorEastAsia"/>
          <w:color w:val="333333"/>
          <w:kern w:val="0"/>
          <w:szCs w:val="21"/>
          <w:highlight w:val="none"/>
        </w:rPr>
        <w:t>开工前</w:t>
      </w:r>
      <w:r>
        <w:rPr>
          <w:rFonts w:hint="eastAsia" w:cs="宋体" w:asciiTheme="minorEastAsia" w:hAnsiTheme="minorEastAsia" w:eastAsiaTheme="minorEastAsia"/>
          <w:color w:val="333333"/>
          <w:kern w:val="0"/>
          <w:szCs w:val="21"/>
          <w:highlight w:val="none"/>
        </w:rPr>
        <w:t>必须接受甲方安排的</w:t>
      </w:r>
      <w:r>
        <w:rPr>
          <w:rFonts w:cs="宋体" w:asciiTheme="minorEastAsia" w:hAnsiTheme="minorEastAsia" w:eastAsiaTheme="minorEastAsia"/>
          <w:color w:val="333333"/>
          <w:kern w:val="0"/>
          <w:szCs w:val="21"/>
          <w:highlight w:val="none"/>
        </w:rPr>
        <w:t>安全技术交底，全体</w:t>
      </w:r>
      <w:r>
        <w:rPr>
          <w:rFonts w:hint="eastAsia" w:cs="宋体" w:asciiTheme="minorEastAsia" w:hAnsiTheme="minorEastAsia" w:eastAsiaTheme="minorEastAsia"/>
          <w:color w:val="333333"/>
          <w:kern w:val="0"/>
          <w:szCs w:val="21"/>
          <w:highlight w:val="none"/>
        </w:rPr>
        <w:t>作业</w:t>
      </w:r>
      <w:r>
        <w:rPr>
          <w:rFonts w:cs="宋体" w:asciiTheme="minorEastAsia" w:hAnsiTheme="minorEastAsia" w:eastAsiaTheme="minorEastAsia"/>
          <w:color w:val="333333"/>
          <w:kern w:val="0"/>
          <w:szCs w:val="21"/>
          <w:highlight w:val="none"/>
        </w:rPr>
        <w:t>人员均应掌握工程特点及施工安全措施。</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乙方新录用在甲方厂区工作的人员，应在上岗前进行职业健康体检并符合要求才准上岗。体检报告复印件交甲方安健环部备案。</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应建立录用人员个人职业卫生健康档案，乙方对已录用的在甲方厂区工作的人员，应按有关法规每年定期进行职业体检。乙方应提供一份最新的员工健康状况记录（体检结果一览表）到甲方安健环管理部备案。</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乙方已录用的在甲方厂区工作的人员，如不再于甲方厂区工作，乙方应对其进行离职职业体检。体检报告复印件交甲方安健环部留底。乙方已录用人员不得从事在甲方厂区的其他公司兼职工作。</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应建立个人防护投入台帐，对已录用的在甲方厂区工作的人员，应购置发放合格安全及卫生等劳保用品，乙方应每半年提供一份最新的卫生及劳保用品发放记录及所购劳保用品合格证明到甲方安健环管理部备案。乙方应保证乙方工作人员的职业卫生防护措施、劳动保护措施、劳动保护和卫生防护用品落实到位、按标准发放并有效使用。</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乙方对已录用的在甲方厂区工作的人员，应按有关法规购买包含工伤保险在内的社会保险或工伤保险。</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15</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乙方应按国家及地方有关规定，做好高温季节作业防暑工作。</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以上工作及及涉及费用均由乙方负责。</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（三）遵守甲方制度、规定及违约考核</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乙方应保证其人员遵守甲方的各项规章制度，遵守劳动纪律。</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18</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施工用电要求：</w:t>
      </w:r>
      <w:r>
        <w:rPr>
          <w:rFonts w:asciiTheme="minorEastAsia" w:hAnsiTheme="minorEastAsia" w:eastAsiaTheme="minorEastAsia"/>
          <w:szCs w:val="21"/>
          <w:highlight w:val="none"/>
        </w:rPr>
        <w:t>施工用电必须由甲方同意并办理</w:t>
      </w:r>
      <w:r>
        <w:rPr>
          <w:rFonts w:hint="eastAsia" w:asciiTheme="minorEastAsia" w:hAnsiTheme="minorEastAsia" w:eastAsiaTheme="minorEastAsia"/>
          <w:szCs w:val="21"/>
          <w:highlight w:val="none"/>
        </w:rPr>
        <w:t>临时用电审批。不得乱拉乱接</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每违反一次扣款</w:t>
      </w:r>
      <w:r>
        <w:rPr>
          <w:rFonts w:asciiTheme="minorEastAsia" w:hAnsiTheme="minorEastAsia" w:eastAsiaTheme="minorEastAsia"/>
          <w:szCs w:val="21"/>
          <w:highlight w:val="none"/>
        </w:rPr>
        <w:t>500元。</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19</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高空作业要求：</w:t>
      </w:r>
      <w:r>
        <w:rPr>
          <w:rFonts w:asciiTheme="minorEastAsia" w:hAnsiTheme="minorEastAsia" w:eastAsiaTheme="minorEastAsia"/>
          <w:szCs w:val="21"/>
          <w:highlight w:val="none"/>
        </w:rPr>
        <w:t xml:space="preserve">高空作业严格执行相关规定，必须做好安全防护措施，应配带安全带, </w:t>
      </w:r>
      <w:r>
        <w:rPr>
          <w:rFonts w:hint="eastAsia" w:asciiTheme="minorEastAsia" w:hAnsiTheme="minorEastAsia" w:eastAsiaTheme="minorEastAsia"/>
          <w:szCs w:val="21"/>
          <w:highlight w:val="none"/>
        </w:rPr>
        <w:t>并有专人监护</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违反规定每次扣款</w:t>
      </w:r>
      <w:r>
        <w:rPr>
          <w:rFonts w:asciiTheme="minorEastAsia" w:hAnsiTheme="minorEastAsia" w:eastAsiaTheme="minorEastAsia"/>
          <w:szCs w:val="21"/>
          <w:highlight w:val="none"/>
        </w:rPr>
        <w:t>500元。</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w:t>
      </w:r>
      <w:r>
        <w:rPr>
          <w:rFonts w:asciiTheme="minorEastAsia" w:hAnsiTheme="minorEastAsia" w:eastAsiaTheme="minorEastAsia"/>
          <w:szCs w:val="21"/>
          <w:highlight w:val="none"/>
        </w:rPr>
        <w:t>．易燃、易爆等危险品</w:t>
      </w:r>
      <w:r>
        <w:rPr>
          <w:rFonts w:hint="eastAsia" w:asciiTheme="minorEastAsia" w:hAnsiTheme="minorEastAsia" w:eastAsiaTheme="minorEastAsia"/>
          <w:szCs w:val="21"/>
          <w:highlight w:val="none"/>
        </w:rPr>
        <w:t>要求：</w:t>
      </w:r>
      <w:r>
        <w:rPr>
          <w:rFonts w:asciiTheme="minorEastAsia" w:hAnsiTheme="minorEastAsia" w:eastAsiaTheme="minorEastAsia"/>
          <w:szCs w:val="21"/>
          <w:highlight w:val="none"/>
        </w:rPr>
        <w:t xml:space="preserve">工程使用的易燃、易爆等危险品, </w:t>
      </w:r>
      <w:r>
        <w:rPr>
          <w:rFonts w:hint="eastAsia" w:asciiTheme="minorEastAsia" w:hAnsiTheme="minorEastAsia" w:eastAsiaTheme="minorEastAsia"/>
          <w:szCs w:val="21"/>
          <w:highlight w:val="none"/>
        </w:rPr>
        <w:t>应专门存放并由专人负责</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存放处要配置专用灭火器材，禁止己开启使用的危险品在施工现场存放过夜</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违反者每次扣款</w:t>
      </w:r>
      <w:r>
        <w:rPr>
          <w:rFonts w:asciiTheme="minorEastAsia" w:hAnsiTheme="minorEastAsia" w:eastAsiaTheme="minorEastAsia"/>
          <w:szCs w:val="21"/>
          <w:highlight w:val="none"/>
        </w:rPr>
        <w:t>300元，未配置专用灭火器材，每次</w:t>
      </w:r>
      <w:r>
        <w:rPr>
          <w:rFonts w:hint="eastAsia" w:asciiTheme="minorEastAsia" w:hAnsiTheme="minorEastAsia" w:eastAsiaTheme="minorEastAsia"/>
          <w:szCs w:val="21"/>
          <w:highlight w:val="none"/>
        </w:rPr>
        <w:t>扣</w:t>
      </w:r>
      <w:r>
        <w:rPr>
          <w:rFonts w:asciiTheme="minorEastAsia" w:hAnsiTheme="minorEastAsia" w:eastAsiaTheme="minorEastAsia"/>
          <w:szCs w:val="21"/>
          <w:highlight w:val="none"/>
        </w:rPr>
        <w:t>款500元。</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21.动火要求：</w:t>
      </w:r>
      <w:r>
        <w:rPr>
          <w:rFonts w:asciiTheme="minorEastAsia" w:hAnsiTheme="minorEastAsia" w:eastAsiaTheme="minorEastAsia"/>
          <w:szCs w:val="21"/>
          <w:highlight w:val="none"/>
        </w:rPr>
        <w:t>乙方必须严格执行各类防火、防爆制度，重点防火部位如需动火时由甲方责任单位办理动火工作票。</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22.动土要求：乙方施工作业如需开挖动土作业，则必须按照甲方规定和程序办理动土作业证。</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23.施工工具要求：</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（1）</w:t>
      </w:r>
      <w:r>
        <w:rPr>
          <w:rFonts w:cs="宋体" w:asciiTheme="minorEastAsia" w:hAnsiTheme="minorEastAsia" w:eastAsiaTheme="minorEastAsia"/>
          <w:color w:val="333333"/>
          <w:kern w:val="0"/>
          <w:szCs w:val="21"/>
          <w:highlight w:val="none"/>
        </w:rPr>
        <w:t>开工前应对施工机械、工器具及安全防护设施进行检查，并符合相关规定</w:t>
      </w:r>
      <w:r>
        <w:rPr>
          <w:rFonts w:hint="eastAsia" w:cs="宋体" w:asciiTheme="minorEastAsia" w:hAnsiTheme="minorEastAsia" w:eastAsiaTheme="minorEastAsia"/>
          <w:color w:val="333333"/>
          <w:kern w:val="0"/>
          <w:szCs w:val="21"/>
          <w:highlight w:val="none"/>
        </w:rPr>
        <w:t>。</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（2）</w:t>
      </w:r>
      <w:r>
        <w:rPr>
          <w:rFonts w:cs="宋体" w:asciiTheme="minorEastAsia" w:hAnsiTheme="minorEastAsia" w:eastAsiaTheme="minorEastAsia"/>
          <w:color w:val="333333"/>
          <w:kern w:val="0"/>
          <w:szCs w:val="21"/>
          <w:highlight w:val="none"/>
        </w:rPr>
        <w:t>乙方在施工期间所用的设备以及工具等由乙方自备。如乙方向甲方借用或租赁设备和工具，乙方应进行检验，一经接受，就表示乙方确认所借用或租赁的设备和工具合格，</w:t>
      </w:r>
      <w:r>
        <w:rPr>
          <w:rFonts w:hint="eastAsia" w:cs="宋体" w:asciiTheme="minorEastAsia" w:hAnsiTheme="minorEastAsia" w:eastAsiaTheme="minorEastAsia"/>
          <w:color w:val="333333"/>
          <w:kern w:val="0"/>
          <w:szCs w:val="21"/>
          <w:highlight w:val="none"/>
        </w:rPr>
        <w:t>乙方负责</w:t>
      </w:r>
      <w:r>
        <w:rPr>
          <w:rFonts w:cs="宋体" w:asciiTheme="minorEastAsia" w:hAnsiTheme="minorEastAsia" w:eastAsiaTheme="minorEastAsia"/>
          <w:color w:val="333333"/>
          <w:kern w:val="0"/>
          <w:szCs w:val="21"/>
          <w:highlight w:val="none"/>
        </w:rPr>
        <w:t>设备和工具的保管、维修以及使用过程中产生的故障、损坏修复和赔偿，造成人身事故由乙方承担责任。</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24．工程废弃物及生活垃圾要求：乙方必须对施工过程中产生的废弃物（如石棉、含油抹布、废弃电池、废油漆罐、工程垃圾等）单独及时自行回收处理。</w:t>
      </w:r>
      <w:r>
        <w:rPr>
          <w:rFonts w:cs="宋体" w:asciiTheme="minorEastAsia" w:hAnsiTheme="minorEastAsia" w:eastAsiaTheme="minorEastAsia"/>
          <w:color w:val="333333"/>
          <w:kern w:val="0"/>
          <w:szCs w:val="21"/>
          <w:highlight w:val="none"/>
        </w:rPr>
        <w:t>生活垃圾应按规定集中清倒到</w:t>
      </w:r>
      <w:r>
        <w:rPr>
          <w:rFonts w:hint="eastAsia" w:cs="宋体" w:asciiTheme="minorEastAsia" w:hAnsiTheme="minorEastAsia" w:eastAsiaTheme="minorEastAsia"/>
          <w:color w:val="333333"/>
          <w:kern w:val="0"/>
          <w:szCs w:val="21"/>
          <w:highlight w:val="none"/>
        </w:rPr>
        <w:t>甲方</w:t>
      </w:r>
      <w:r>
        <w:rPr>
          <w:rFonts w:cs="宋体" w:asciiTheme="minorEastAsia" w:hAnsiTheme="minorEastAsia" w:eastAsiaTheme="minorEastAsia"/>
          <w:color w:val="333333"/>
          <w:kern w:val="0"/>
          <w:szCs w:val="21"/>
          <w:highlight w:val="none"/>
        </w:rPr>
        <w:t>指定地点,</w:t>
      </w:r>
      <w:r>
        <w:rPr>
          <w:rFonts w:hint="eastAsia" w:cs="宋体" w:asciiTheme="minorEastAsia" w:hAnsiTheme="minorEastAsia" w:eastAsiaTheme="minorEastAsia"/>
          <w:color w:val="333333"/>
          <w:kern w:val="0"/>
          <w:szCs w:val="21"/>
          <w:highlight w:val="none"/>
        </w:rPr>
        <w:t>有违规乱抛乱洒的。每发现一次扣款</w:t>
      </w:r>
      <w:r>
        <w:rPr>
          <w:rFonts w:cs="宋体" w:asciiTheme="minorEastAsia" w:hAnsiTheme="minorEastAsia" w:eastAsiaTheme="minorEastAsia"/>
          <w:color w:val="333333"/>
          <w:kern w:val="0"/>
          <w:szCs w:val="21"/>
          <w:highlight w:val="none"/>
        </w:rPr>
        <w:t>200元</w:t>
      </w:r>
      <w:r>
        <w:rPr>
          <w:rFonts w:hint="eastAsia" w:cs="宋体" w:asciiTheme="minorEastAsia" w:hAnsiTheme="minorEastAsia" w:eastAsiaTheme="minorEastAsia"/>
          <w:color w:val="333333"/>
          <w:kern w:val="0"/>
          <w:szCs w:val="21"/>
          <w:highlight w:val="none"/>
        </w:rPr>
        <w:t>。</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25.施工范围周边环境绿化要求：</w:t>
      </w:r>
      <w:r>
        <w:rPr>
          <w:rFonts w:cs="宋体" w:asciiTheme="minorEastAsia" w:hAnsiTheme="minorEastAsia" w:eastAsiaTheme="minorEastAsia"/>
          <w:color w:val="333333"/>
          <w:kern w:val="0"/>
          <w:szCs w:val="21"/>
          <w:highlight w:val="none"/>
        </w:rPr>
        <w:t>乙方</w:t>
      </w:r>
      <w:r>
        <w:rPr>
          <w:rFonts w:hint="eastAsia" w:cs="宋体" w:asciiTheme="minorEastAsia" w:hAnsiTheme="minorEastAsia" w:eastAsiaTheme="minorEastAsia"/>
          <w:color w:val="333333"/>
          <w:kern w:val="0"/>
          <w:szCs w:val="21"/>
          <w:highlight w:val="none"/>
        </w:rPr>
        <w:t>必须</w:t>
      </w:r>
      <w:r>
        <w:rPr>
          <w:rFonts w:cs="宋体" w:asciiTheme="minorEastAsia" w:hAnsiTheme="minorEastAsia" w:eastAsiaTheme="minorEastAsia"/>
          <w:color w:val="333333"/>
          <w:kern w:val="0"/>
          <w:szCs w:val="21"/>
          <w:highlight w:val="none"/>
        </w:rPr>
        <w:t>维护周边现场的绿化</w:t>
      </w:r>
      <w:r>
        <w:rPr>
          <w:rFonts w:hint="eastAsia" w:cs="宋体" w:asciiTheme="minorEastAsia" w:hAnsiTheme="minorEastAsia" w:eastAsiaTheme="minorEastAsia"/>
          <w:color w:val="333333"/>
          <w:kern w:val="0"/>
          <w:szCs w:val="21"/>
          <w:highlight w:val="none"/>
        </w:rPr>
        <w:t>，</w:t>
      </w:r>
      <w:r>
        <w:rPr>
          <w:rFonts w:cs="宋体" w:asciiTheme="minorEastAsia" w:hAnsiTheme="minorEastAsia" w:eastAsiaTheme="minorEastAsia"/>
          <w:color w:val="333333"/>
          <w:kern w:val="0"/>
          <w:szCs w:val="21"/>
          <w:highlight w:val="none"/>
        </w:rPr>
        <w:t>保证周围树木、草皮的正常生长，凡发生损坏树木、草皮的，扣乙方该项事故修复费用的150%。</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26.施工作业环境要求：</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（1）</w:t>
      </w:r>
      <w:r>
        <w:rPr>
          <w:rFonts w:cs="宋体" w:asciiTheme="minorEastAsia" w:hAnsiTheme="minorEastAsia" w:eastAsiaTheme="minorEastAsia"/>
          <w:color w:val="333333"/>
          <w:kern w:val="0"/>
          <w:szCs w:val="21"/>
          <w:highlight w:val="none"/>
        </w:rPr>
        <w:t>乙方对所处的施工区域、作业环境等应认真检查，发现隐患应及时向甲方反映，落实整改后方可进行施工，一经施工，就表示乙方确认施工场所符合安全要求和处于安全状态。乙方应对施工过程中产生的后果自行负责。</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（2）</w:t>
      </w:r>
      <w:r>
        <w:rPr>
          <w:rFonts w:cs="宋体" w:asciiTheme="minorEastAsia" w:hAnsiTheme="minorEastAsia" w:eastAsiaTheme="minorEastAsia"/>
          <w:color w:val="333333"/>
          <w:kern w:val="0"/>
          <w:szCs w:val="21"/>
          <w:highlight w:val="none"/>
        </w:rPr>
        <w:t>乙方在施工中，应保证地下管道、管线、电缆及高低压架空线、通讯线路的安全，遇有问题应及时</w:t>
      </w:r>
      <w:r>
        <w:rPr>
          <w:rFonts w:hint="eastAsia" w:cs="宋体" w:asciiTheme="minorEastAsia" w:hAnsiTheme="minorEastAsia" w:eastAsiaTheme="minorEastAsia"/>
          <w:color w:val="333333"/>
          <w:kern w:val="0"/>
          <w:szCs w:val="21"/>
          <w:highlight w:val="none"/>
        </w:rPr>
        <w:t>与</w:t>
      </w:r>
      <w:r>
        <w:rPr>
          <w:rFonts w:cs="宋体" w:asciiTheme="minorEastAsia" w:hAnsiTheme="minorEastAsia" w:eastAsiaTheme="minorEastAsia"/>
          <w:color w:val="333333"/>
          <w:kern w:val="0"/>
          <w:szCs w:val="21"/>
          <w:highlight w:val="none"/>
        </w:rPr>
        <w:t>甲方联系，采取保护措施。</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（3）乙方必须保护好厂区相关设备及建筑物，</w:t>
      </w:r>
      <w:r>
        <w:rPr>
          <w:rFonts w:cs="宋体" w:asciiTheme="minorEastAsia" w:hAnsiTheme="minorEastAsia" w:eastAsiaTheme="minorEastAsia"/>
          <w:color w:val="333333"/>
          <w:kern w:val="0"/>
          <w:szCs w:val="21"/>
          <w:highlight w:val="none"/>
        </w:rPr>
        <w:t>如因乙方原因造成甲方的相关设备及建筑物损坏，乙方除负责修复外,还应按甲方直接经济损失的150%进行赔偿。</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4）甲方各类安全防护设施、遮拦、安全标志牌、警告牌、接地线等不得擅自拆除、更动，如确实需要拆除、更动的，需要经施工负责人和甲乙方指派的安全管理人员同意并办理手续后，并采取必要可靠的安全措施方能拆除、更动现场安全设施。</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27.生活区要求：</w:t>
      </w:r>
      <w:r>
        <w:rPr>
          <w:rFonts w:cs="宋体" w:asciiTheme="minorEastAsia" w:hAnsiTheme="minorEastAsia" w:eastAsiaTheme="minorEastAsia"/>
          <w:color w:val="333333"/>
          <w:kern w:val="0"/>
          <w:szCs w:val="21"/>
          <w:highlight w:val="none"/>
        </w:rPr>
        <w:t xml:space="preserve">临时生活区应遵守甲方有关规定, </w:t>
      </w:r>
      <w:r>
        <w:rPr>
          <w:rFonts w:hint="eastAsia" w:cs="宋体" w:asciiTheme="minorEastAsia" w:hAnsiTheme="minorEastAsia" w:eastAsiaTheme="minorEastAsia"/>
          <w:color w:val="333333"/>
          <w:kern w:val="0"/>
          <w:szCs w:val="21"/>
          <w:highlight w:val="none"/>
        </w:rPr>
        <w:t>禁止使用煤气炉以及电炉、电加热棒等不安全用电产品。有违规使用煤气炉、违规用电的，每次扣款</w:t>
      </w:r>
      <w:r>
        <w:rPr>
          <w:rFonts w:cs="宋体" w:asciiTheme="minorEastAsia" w:hAnsiTheme="minorEastAsia" w:eastAsiaTheme="minorEastAsia"/>
          <w:color w:val="333333"/>
          <w:kern w:val="0"/>
          <w:szCs w:val="21"/>
          <w:highlight w:val="none"/>
        </w:rPr>
        <w:t>300元。</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28</w:t>
      </w:r>
      <w:r>
        <w:rPr>
          <w:rFonts w:cs="宋体" w:asciiTheme="minorEastAsia" w:hAnsiTheme="minorEastAsia" w:eastAsiaTheme="minorEastAsia"/>
          <w:color w:val="333333"/>
          <w:kern w:val="0"/>
          <w:szCs w:val="21"/>
          <w:highlight w:val="none"/>
        </w:rPr>
        <w:t>.</w:t>
      </w:r>
      <w:r>
        <w:rPr>
          <w:rFonts w:hint="eastAsia" w:cs="宋体" w:asciiTheme="minorEastAsia" w:hAnsiTheme="minorEastAsia" w:eastAsiaTheme="minorEastAsia"/>
          <w:color w:val="333333"/>
          <w:kern w:val="0"/>
          <w:szCs w:val="21"/>
          <w:highlight w:val="none"/>
        </w:rPr>
        <w:t>乙方人员必须遵守甲方厂区安全文明卫生制度，进入工作现场必须佩戴卫生防护用品和戴安全帽，配戴厂牌，没有佩戴卫生防护用品每次扣乙方</w:t>
      </w:r>
      <w:r>
        <w:rPr>
          <w:rFonts w:cs="宋体" w:asciiTheme="minorEastAsia" w:hAnsiTheme="minorEastAsia" w:eastAsiaTheme="minorEastAsia"/>
          <w:color w:val="333333"/>
          <w:kern w:val="0"/>
          <w:szCs w:val="21"/>
          <w:highlight w:val="none"/>
        </w:rPr>
        <w:t>100元</w:t>
      </w:r>
      <w:r>
        <w:rPr>
          <w:rFonts w:hint="eastAsia" w:cs="宋体" w:asciiTheme="minorEastAsia" w:hAnsiTheme="minorEastAsia" w:eastAsiaTheme="minorEastAsia"/>
          <w:color w:val="333333"/>
          <w:kern w:val="0"/>
          <w:szCs w:val="21"/>
          <w:highlight w:val="none"/>
        </w:rPr>
        <w:t>/次/人，没有戴安全帽每次扣罚</w:t>
      </w:r>
      <w:r>
        <w:rPr>
          <w:rFonts w:cs="宋体" w:asciiTheme="minorEastAsia" w:hAnsiTheme="minorEastAsia" w:eastAsiaTheme="minorEastAsia"/>
          <w:color w:val="333333"/>
          <w:kern w:val="0"/>
          <w:szCs w:val="21"/>
          <w:highlight w:val="none"/>
        </w:rPr>
        <w:t>200元</w:t>
      </w:r>
      <w:r>
        <w:rPr>
          <w:rFonts w:hint="eastAsia" w:cs="宋体" w:asciiTheme="minorEastAsia" w:hAnsiTheme="minorEastAsia" w:eastAsiaTheme="minorEastAsia"/>
          <w:color w:val="333333"/>
          <w:kern w:val="0"/>
          <w:szCs w:val="21"/>
          <w:highlight w:val="none"/>
        </w:rPr>
        <w:t>/次/人,</w:t>
      </w:r>
      <w:r>
        <w:rPr>
          <w:rFonts w:cs="宋体" w:asciiTheme="minorEastAsia" w:hAnsiTheme="minorEastAsia" w:eastAsiaTheme="minorEastAsia"/>
          <w:color w:val="333333"/>
          <w:kern w:val="0"/>
          <w:szCs w:val="21"/>
          <w:highlight w:val="none"/>
        </w:rPr>
        <w:t xml:space="preserve"> 每发现一次不</w:t>
      </w:r>
      <w:r>
        <w:rPr>
          <w:rFonts w:hint="eastAsia" w:cs="宋体" w:asciiTheme="minorEastAsia" w:hAnsiTheme="minorEastAsia" w:eastAsiaTheme="minorEastAsia"/>
          <w:color w:val="333333"/>
          <w:kern w:val="0"/>
          <w:szCs w:val="21"/>
          <w:highlight w:val="none"/>
        </w:rPr>
        <w:t>正确佩</w:t>
      </w:r>
      <w:r>
        <w:rPr>
          <w:rFonts w:cs="宋体" w:asciiTheme="minorEastAsia" w:hAnsiTheme="minorEastAsia" w:eastAsiaTheme="minorEastAsia"/>
          <w:color w:val="333333"/>
          <w:kern w:val="0"/>
          <w:szCs w:val="21"/>
          <w:highlight w:val="none"/>
        </w:rPr>
        <w:t>戴安全帽</w:t>
      </w:r>
      <w:r>
        <w:rPr>
          <w:rFonts w:hint="eastAsia" w:cs="宋体" w:asciiTheme="minorEastAsia" w:hAnsiTheme="minorEastAsia" w:eastAsiaTheme="minorEastAsia"/>
          <w:color w:val="333333"/>
          <w:kern w:val="0"/>
          <w:szCs w:val="21"/>
          <w:highlight w:val="none"/>
        </w:rPr>
        <w:t>的</w:t>
      </w:r>
      <w:r>
        <w:rPr>
          <w:rFonts w:cs="宋体" w:asciiTheme="minorEastAsia" w:hAnsiTheme="minorEastAsia" w:eastAsiaTheme="minorEastAsia"/>
          <w:color w:val="333333"/>
          <w:kern w:val="0"/>
          <w:szCs w:val="21"/>
          <w:highlight w:val="none"/>
        </w:rPr>
        <w:t>扣</w:t>
      </w:r>
      <w:r>
        <w:rPr>
          <w:rFonts w:hint="eastAsia" w:cs="宋体" w:asciiTheme="minorEastAsia" w:hAnsiTheme="minorEastAsia" w:eastAsiaTheme="minorEastAsia"/>
          <w:color w:val="333333"/>
          <w:kern w:val="0"/>
          <w:szCs w:val="21"/>
          <w:highlight w:val="none"/>
        </w:rPr>
        <w:t>罚</w:t>
      </w:r>
      <w:r>
        <w:rPr>
          <w:rFonts w:cs="宋体" w:asciiTheme="minorEastAsia" w:hAnsiTheme="minorEastAsia" w:eastAsiaTheme="minorEastAsia"/>
          <w:color w:val="333333"/>
          <w:kern w:val="0"/>
          <w:szCs w:val="21"/>
          <w:highlight w:val="none"/>
        </w:rPr>
        <w:t>乙方</w:t>
      </w:r>
      <w:r>
        <w:rPr>
          <w:rFonts w:hint="eastAsia" w:cs="宋体" w:asciiTheme="minorEastAsia" w:hAnsiTheme="minorEastAsia" w:eastAsiaTheme="minorEastAsia"/>
          <w:color w:val="333333"/>
          <w:kern w:val="0"/>
          <w:szCs w:val="21"/>
          <w:highlight w:val="none"/>
        </w:rPr>
        <w:t>1</w:t>
      </w:r>
      <w:r>
        <w:rPr>
          <w:rFonts w:cs="宋体" w:asciiTheme="minorEastAsia" w:hAnsiTheme="minorEastAsia" w:eastAsiaTheme="minorEastAsia"/>
          <w:color w:val="333333"/>
          <w:kern w:val="0"/>
          <w:szCs w:val="21"/>
          <w:highlight w:val="none"/>
        </w:rPr>
        <w:t>00元</w:t>
      </w:r>
      <w:r>
        <w:rPr>
          <w:rFonts w:hint="eastAsia" w:cs="宋体" w:asciiTheme="minorEastAsia" w:hAnsiTheme="minorEastAsia" w:eastAsiaTheme="minorEastAsia"/>
          <w:color w:val="333333"/>
          <w:kern w:val="0"/>
          <w:szCs w:val="21"/>
          <w:highlight w:val="none"/>
        </w:rPr>
        <w:t>/次/人。乙方在厂区内工作的人员应随时注意避让各种自动移动设备。禁止任何人在移动设备下停留或通过；厂区内非指定区域严禁吸烟、严禁在厂区内赌博，违反扣罚</w:t>
      </w:r>
      <w:r>
        <w:rPr>
          <w:rFonts w:cs="宋体" w:asciiTheme="minorEastAsia" w:hAnsiTheme="minorEastAsia" w:eastAsiaTheme="minorEastAsia"/>
          <w:color w:val="333333"/>
          <w:kern w:val="0"/>
          <w:szCs w:val="21"/>
          <w:highlight w:val="none"/>
        </w:rPr>
        <w:t>500元</w:t>
      </w:r>
      <w:r>
        <w:rPr>
          <w:rFonts w:hint="eastAsia" w:cs="宋体" w:asciiTheme="minorEastAsia" w:hAnsiTheme="minorEastAsia" w:eastAsiaTheme="minorEastAsia"/>
          <w:color w:val="333333"/>
          <w:kern w:val="0"/>
          <w:szCs w:val="21"/>
          <w:highlight w:val="none"/>
        </w:rPr>
        <w:t>/次/人。</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29</w:t>
      </w:r>
      <w:r>
        <w:rPr>
          <w:rFonts w:cs="宋体" w:asciiTheme="minorEastAsia" w:hAnsiTheme="minorEastAsia" w:eastAsiaTheme="minorEastAsia"/>
          <w:color w:val="333333"/>
          <w:kern w:val="0"/>
          <w:szCs w:val="21"/>
          <w:highlight w:val="none"/>
        </w:rPr>
        <w:t>.</w:t>
      </w:r>
      <w:r>
        <w:rPr>
          <w:rFonts w:hint="eastAsia" w:cs="宋体" w:asciiTheme="minorEastAsia" w:hAnsiTheme="minorEastAsia" w:eastAsiaTheme="minorEastAsia"/>
          <w:color w:val="333333"/>
          <w:kern w:val="0"/>
          <w:szCs w:val="21"/>
          <w:highlight w:val="none"/>
        </w:rPr>
        <w:t>乙方所有工作人员未经甲方许可禁止进入生产厂房。严禁触动非自身工作范围内的设备、设施。</w:t>
      </w:r>
    </w:p>
    <w:p>
      <w:pPr>
        <w:spacing w:line="420" w:lineRule="exact"/>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color w:val="333333"/>
          <w:kern w:val="0"/>
          <w:szCs w:val="21"/>
          <w:highlight w:val="none"/>
        </w:rPr>
        <w:t>30</w:t>
      </w:r>
      <w:r>
        <w:rPr>
          <w:rFonts w:cs="宋体" w:asciiTheme="minorEastAsia" w:hAnsiTheme="minorEastAsia" w:eastAsiaTheme="minorEastAsia"/>
          <w:color w:val="333333"/>
          <w:kern w:val="0"/>
          <w:szCs w:val="21"/>
          <w:highlight w:val="none"/>
        </w:rPr>
        <w:t>.</w:t>
      </w:r>
      <w:r>
        <w:rPr>
          <w:rFonts w:hint="eastAsia" w:cs="宋体" w:asciiTheme="minorEastAsia" w:hAnsiTheme="minorEastAsia" w:eastAsiaTheme="minorEastAsia"/>
          <w:color w:val="333333"/>
          <w:kern w:val="0"/>
          <w:szCs w:val="21"/>
          <w:highlight w:val="none"/>
        </w:rPr>
        <w:t>凡发现乙方人员有其他上述未列明</w:t>
      </w:r>
      <w:r>
        <w:rPr>
          <w:rFonts w:hint="eastAsia" w:asciiTheme="minorEastAsia" w:hAnsiTheme="minorEastAsia" w:eastAsiaTheme="minorEastAsia"/>
          <w:szCs w:val="21"/>
          <w:highlight w:val="none"/>
        </w:rPr>
        <w:t>的违章行为及未履行上述责任和义务的，除赔偿甲方损失外，按不低于</w:t>
      </w:r>
      <w:r>
        <w:rPr>
          <w:rFonts w:asciiTheme="minorEastAsia" w:hAnsiTheme="minorEastAsia" w:eastAsiaTheme="minorEastAsia"/>
          <w:szCs w:val="21"/>
          <w:highlight w:val="none"/>
        </w:rPr>
        <w:t>100</w:t>
      </w:r>
      <w:r>
        <w:rPr>
          <w:rFonts w:hint="eastAsia" w:asciiTheme="minorEastAsia" w:hAnsiTheme="minorEastAsia" w:eastAsiaTheme="minorEastAsia"/>
          <w:szCs w:val="21"/>
          <w:highlight w:val="none"/>
        </w:rPr>
        <w:t>元</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项·人</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次的标准扣罚，（参照甲方安健环考核标准执行）并由乙方管理人员对违章人员进行教育。每月累计处罚达</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次以上的，从第</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次起每次加扣乙方管理责任</w:t>
      </w:r>
      <w:r>
        <w:rPr>
          <w:rFonts w:asciiTheme="minorEastAsia" w:hAnsiTheme="minorEastAsia" w:eastAsiaTheme="minorEastAsia"/>
          <w:szCs w:val="21"/>
          <w:highlight w:val="none"/>
        </w:rPr>
        <w:t>500</w:t>
      </w:r>
      <w:r>
        <w:rPr>
          <w:rFonts w:hint="eastAsia" w:asciiTheme="minorEastAsia" w:hAnsiTheme="minorEastAsia" w:eastAsiaTheme="minorEastAsia"/>
          <w:szCs w:val="21"/>
          <w:highlight w:val="none"/>
        </w:rPr>
        <w:t>元</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次，同一人重复违章的，甲方有权要求乙方更换人员。</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（四）</w:t>
      </w:r>
      <w:r>
        <w:rPr>
          <w:rFonts w:hint="eastAsia" w:asciiTheme="minorEastAsia" w:hAnsiTheme="minorEastAsia" w:eastAsiaTheme="minorEastAsia"/>
          <w:szCs w:val="21"/>
          <w:highlight w:val="none"/>
        </w:rPr>
        <w:t>现场安健环管理：</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asciiTheme="minorEastAsia" w:hAnsiTheme="minorEastAsia" w:eastAsiaTheme="minorEastAsia"/>
          <w:szCs w:val="21"/>
          <w:highlight w:val="none"/>
        </w:rPr>
        <w:t>31.</w:t>
      </w:r>
      <w:r>
        <w:rPr>
          <w:rFonts w:cs="宋体" w:asciiTheme="minorEastAsia" w:hAnsiTheme="minorEastAsia" w:eastAsiaTheme="minorEastAsia"/>
          <w:color w:val="333333"/>
          <w:kern w:val="0"/>
          <w:szCs w:val="21"/>
          <w:highlight w:val="none"/>
        </w:rPr>
        <w:t>乙方应接受甲方的安全监督</w:t>
      </w:r>
      <w:r>
        <w:rPr>
          <w:rFonts w:hint="eastAsia" w:cs="宋体" w:asciiTheme="minorEastAsia" w:hAnsiTheme="minorEastAsia" w:eastAsiaTheme="minorEastAsia"/>
          <w:color w:val="333333"/>
          <w:kern w:val="0"/>
          <w:szCs w:val="21"/>
          <w:highlight w:val="none"/>
        </w:rPr>
        <w:t>、检查</w:t>
      </w:r>
      <w:r>
        <w:rPr>
          <w:rFonts w:cs="宋体" w:asciiTheme="minorEastAsia" w:hAnsiTheme="minorEastAsia" w:eastAsiaTheme="minorEastAsia"/>
          <w:color w:val="333333"/>
          <w:kern w:val="0"/>
          <w:szCs w:val="21"/>
          <w:highlight w:val="none"/>
        </w:rPr>
        <w:t>和指导，对甲方的工程管理、</w:t>
      </w:r>
      <w:r>
        <w:rPr>
          <w:rFonts w:hint="eastAsia" w:cs="宋体" w:asciiTheme="minorEastAsia" w:hAnsiTheme="minorEastAsia" w:eastAsiaTheme="minorEastAsia"/>
          <w:color w:val="333333"/>
          <w:kern w:val="0"/>
          <w:szCs w:val="21"/>
          <w:highlight w:val="none"/>
        </w:rPr>
        <w:t>安健环</w:t>
      </w:r>
      <w:r>
        <w:rPr>
          <w:rFonts w:cs="宋体" w:asciiTheme="minorEastAsia" w:hAnsiTheme="minorEastAsia" w:eastAsiaTheme="minorEastAsia"/>
          <w:color w:val="333333"/>
          <w:kern w:val="0"/>
          <w:szCs w:val="21"/>
          <w:highlight w:val="none"/>
        </w:rPr>
        <w:t>部门所提出的意见应及时整改。</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32.乙方每月必须组织作业人员进行安全学习，并做好安全学习记录，提交甲方存档备查。</w:t>
      </w:r>
    </w:p>
    <w:p>
      <w:pPr>
        <w:spacing w:line="420" w:lineRule="exact"/>
        <w:ind w:firstLine="420" w:firstLineChars="200"/>
        <w:rPr>
          <w:rFonts w:cs="宋体" w:asciiTheme="minorEastAsia" w:hAnsiTheme="minorEastAsia" w:eastAsiaTheme="minorEastAsia"/>
          <w:color w:val="333333"/>
          <w:kern w:val="0"/>
          <w:szCs w:val="21"/>
          <w:highlight w:val="none"/>
        </w:rPr>
      </w:pPr>
      <w:r>
        <w:rPr>
          <w:rFonts w:hint="eastAsia" w:cs="宋体" w:asciiTheme="minorEastAsia" w:hAnsiTheme="minorEastAsia" w:eastAsiaTheme="minorEastAsia"/>
          <w:color w:val="333333"/>
          <w:kern w:val="0"/>
          <w:szCs w:val="21"/>
          <w:highlight w:val="none"/>
        </w:rPr>
        <w:t>33.乙方每月必须组织施工现场安全大检查，检查安全隐患、检查违章指挥、违章作业等“三违”情况，并限期整改。</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34</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乙方应指定安全管理人员，每天定期巡查现场，纠正违章，做好各项安健环管理工作。</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35</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甲方安全管理标准同样适用于乙方，乙方人员应按照有关规程、规范、标准和甲方作业指导书及安健环相关要求进行操作，不得违章作业和野蛮施工，因乙方违章作业和野蛮施工造成的损失由乙方负全责。</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36</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如乙方不按法规或甲方规章制度的要求落实相关安健环工作的，或者不落实甲方提出的书面整改通知的，除按规定处罚外相关一切后果及损失由乙方全部承担。</w:t>
      </w:r>
    </w:p>
    <w:p>
      <w:pPr>
        <w:pStyle w:val="210"/>
        <w:spacing w:line="360" w:lineRule="auto"/>
        <w:ind w:firstLine="371" w:firstLineChars="17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37</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乙方负责承包项目实施现场的安健环管理并向甲方负责，乙方服从甲方对施工现场的消防安全管理，乙方应配合甲方进行各项专项应急演练，提升乙方人员自救能力。</w:t>
      </w:r>
    </w:p>
    <w:p>
      <w:pPr>
        <w:spacing w:line="42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（五）事故责任及事故异常处理</w:t>
      </w:r>
    </w:p>
    <w:p>
      <w:pPr>
        <w:spacing w:line="42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38.</w:t>
      </w:r>
      <w:r>
        <w:rPr>
          <w:rFonts w:hint="eastAsia" w:cs="宋体" w:asciiTheme="minorEastAsia" w:hAnsiTheme="minorEastAsia" w:eastAsiaTheme="minorEastAsia"/>
          <w:color w:val="333333"/>
          <w:kern w:val="0"/>
          <w:szCs w:val="21"/>
          <w:highlight w:val="none"/>
        </w:rPr>
        <w:t>划分甲乙双方安健环责任的原则是“谁施工谁负责”。</w:t>
      </w:r>
    </w:p>
    <w:p>
      <w:pPr>
        <w:spacing w:line="42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39.</w:t>
      </w:r>
      <w:r>
        <w:rPr>
          <w:rFonts w:asciiTheme="minorEastAsia" w:hAnsiTheme="minorEastAsia" w:eastAsiaTheme="minorEastAsia"/>
          <w:szCs w:val="21"/>
          <w:highlight w:val="none"/>
        </w:rPr>
        <w:t>乙方</w:t>
      </w:r>
      <w:r>
        <w:rPr>
          <w:rFonts w:hint="eastAsia" w:asciiTheme="minorEastAsia" w:hAnsiTheme="minorEastAsia" w:eastAsiaTheme="minorEastAsia"/>
          <w:szCs w:val="21"/>
          <w:highlight w:val="none"/>
        </w:rPr>
        <w:t>对所属的工作人员人身安全负全部责任，</w:t>
      </w:r>
      <w:r>
        <w:rPr>
          <w:rFonts w:asciiTheme="minorEastAsia" w:hAnsiTheme="minorEastAsia" w:eastAsiaTheme="minorEastAsia"/>
          <w:szCs w:val="21"/>
          <w:highlight w:val="none"/>
        </w:rPr>
        <w:t>负责承担因乙方及其工人原因所发生的一切事故的全部</w:t>
      </w:r>
      <w:r>
        <w:rPr>
          <w:rFonts w:hint="eastAsia" w:asciiTheme="minorEastAsia" w:hAnsiTheme="minorEastAsia" w:eastAsiaTheme="minorEastAsia"/>
          <w:szCs w:val="21"/>
          <w:highlight w:val="none"/>
        </w:rPr>
        <w:t>经济责任及法律责任，并承担事故所造成甲方的损失</w:t>
      </w:r>
      <w:r>
        <w:rPr>
          <w:rFonts w:asciiTheme="minorEastAsia" w:hAnsiTheme="minorEastAsia" w:eastAsiaTheme="minorEastAsia"/>
          <w:szCs w:val="21"/>
          <w:highlight w:val="none"/>
        </w:rPr>
        <w:t>。</w:t>
      </w:r>
    </w:p>
    <w:p>
      <w:pPr>
        <w:spacing w:line="420" w:lineRule="exact"/>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color w:val="333333"/>
          <w:kern w:val="0"/>
          <w:szCs w:val="21"/>
          <w:highlight w:val="none"/>
        </w:rPr>
        <w:t>40.</w:t>
      </w:r>
      <w:r>
        <w:rPr>
          <w:rFonts w:cs="宋体" w:asciiTheme="minorEastAsia" w:hAnsiTheme="minorEastAsia" w:eastAsiaTheme="minorEastAsia"/>
          <w:color w:val="333333"/>
          <w:kern w:val="0"/>
          <w:szCs w:val="21"/>
          <w:highlight w:val="none"/>
        </w:rPr>
        <w:t>发生事故</w:t>
      </w:r>
      <w:r>
        <w:rPr>
          <w:rFonts w:hint="eastAsia" w:cs="宋体" w:asciiTheme="minorEastAsia" w:hAnsiTheme="minorEastAsia" w:eastAsiaTheme="minorEastAsia"/>
          <w:color w:val="333333"/>
          <w:kern w:val="0"/>
          <w:szCs w:val="21"/>
          <w:highlight w:val="none"/>
        </w:rPr>
        <w:t>、异常或</w:t>
      </w:r>
      <w:r>
        <w:rPr>
          <w:rFonts w:cs="宋体" w:asciiTheme="minorEastAsia" w:hAnsiTheme="minorEastAsia" w:eastAsiaTheme="minorEastAsia"/>
          <w:color w:val="333333"/>
          <w:kern w:val="0"/>
          <w:szCs w:val="21"/>
          <w:highlight w:val="none"/>
        </w:rPr>
        <w:t>危及安全生产的情况，</w:t>
      </w:r>
      <w:r>
        <w:rPr>
          <w:rFonts w:hint="eastAsia" w:cs="宋体" w:asciiTheme="minorEastAsia" w:hAnsiTheme="minorEastAsia" w:eastAsiaTheme="minorEastAsia"/>
          <w:color w:val="333333"/>
          <w:kern w:val="0"/>
          <w:szCs w:val="21"/>
          <w:highlight w:val="none"/>
        </w:rPr>
        <w:t>乙方必须立即组织处理、并</w:t>
      </w:r>
      <w:r>
        <w:rPr>
          <w:rFonts w:cs="宋体" w:asciiTheme="minorEastAsia" w:hAnsiTheme="minorEastAsia" w:eastAsiaTheme="minorEastAsia"/>
          <w:color w:val="333333"/>
          <w:kern w:val="0"/>
          <w:szCs w:val="21"/>
          <w:highlight w:val="none"/>
        </w:rPr>
        <w:t>立即报告甲方工程管理、</w:t>
      </w:r>
      <w:r>
        <w:rPr>
          <w:rFonts w:hint="eastAsia" w:cs="宋体" w:asciiTheme="minorEastAsia" w:hAnsiTheme="minorEastAsia" w:eastAsiaTheme="minorEastAsia"/>
          <w:color w:val="333333"/>
          <w:kern w:val="0"/>
          <w:szCs w:val="21"/>
          <w:highlight w:val="none"/>
        </w:rPr>
        <w:t>安健环</w:t>
      </w:r>
      <w:r>
        <w:rPr>
          <w:rFonts w:cs="宋体" w:asciiTheme="minorEastAsia" w:hAnsiTheme="minorEastAsia" w:eastAsiaTheme="minorEastAsia"/>
          <w:color w:val="333333"/>
          <w:kern w:val="0"/>
          <w:szCs w:val="21"/>
          <w:highlight w:val="none"/>
        </w:rPr>
        <w:t>部门。</w:t>
      </w:r>
      <w:r>
        <w:rPr>
          <w:rFonts w:hint="eastAsia" w:asciiTheme="minorEastAsia" w:hAnsiTheme="minorEastAsia" w:eastAsiaTheme="minorEastAsia"/>
          <w:szCs w:val="21"/>
          <w:highlight w:val="none"/>
        </w:rPr>
        <w:t>在</w:t>
      </w:r>
      <w:r>
        <w:rPr>
          <w:rFonts w:asciiTheme="minorEastAsia" w:hAnsiTheme="minorEastAsia" w:eastAsiaTheme="minorEastAsia"/>
          <w:szCs w:val="21"/>
          <w:highlight w:val="none"/>
        </w:rPr>
        <w:t>48</w:t>
      </w:r>
      <w:r>
        <w:rPr>
          <w:rFonts w:hint="eastAsia" w:asciiTheme="minorEastAsia" w:hAnsiTheme="minorEastAsia" w:eastAsiaTheme="minorEastAsia"/>
          <w:szCs w:val="21"/>
          <w:highlight w:val="none"/>
        </w:rPr>
        <w:t>小时内提供人员受伤及分析报告给甲方，甲方有权根据事件起因责成乙方进行整改和处罚。</w:t>
      </w:r>
    </w:p>
    <w:p>
      <w:pPr>
        <w:spacing w:line="360" w:lineRule="auto"/>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三、乙方确保达到安全目标：无人员伤亡，无设备损坏，无环境污染、无职业病发生、无治安偷盗案件。</w:t>
      </w:r>
    </w:p>
    <w:p>
      <w:pPr>
        <w:spacing w:line="360" w:lineRule="auto"/>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四、乙方负责其工作人员的安全责任（含安全、环保、职业病、消防、治安等方面），因乙方原因造成的一切责任（包括由此所导致的第三方人员及财产损失的经济和法律责任）由乙方完全承担。</w:t>
      </w:r>
    </w:p>
    <w:p>
      <w:pPr>
        <w:spacing w:line="360" w:lineRule="auto"/>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五、乙方进入甲方现场的工作人员必须是经体检合格并确认无职业病患者，如乙方在工作人员工作前未能提供工作人员职业病体检证明的不准安排进场工作，由此引起的职业病责任由乙方完全承担。</w:t>
      </w:r>
    </w:p>
    <w:p>
      <w:pPr>
        <w:spacing w:line="360" w:lineRule="auto"/>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六、在合同承包期内，乙方在甲方区域内发生的任何安全、消防、职业病、治安等事故（件）的统计考核指标及一切罚款和赔偿计入乙方责任，由乙方承担相应法律和经济责任。</w:t>
      </w:r>
    </w:p>
    <w:p>
      <w:pPr>
        <w:spacing w:line="400" w:lineRule="exact"/>
        <w:ind w:firstLine="420" w:firstLineChars="200"/>
        <w:rPr>
          <w:rFonts w:asciiTheme="minorEastAsia" w:hAnsiTheme="minorEastAsia" w:eastAsiaTheme="minorEastAsia"/>
          <w:color w:val="000000"/>
          <w:szCs w:val="21"/>
          <w:highlight w:val="none"/>
        </w:rPr>
      </w:pPr>
      <w:r>
        <w:rPr>
          <w:rFonts w:hint="eastAsia" w:asciiTheme="minorEastAsia" w:hAnsiTheme="minorEastAsia" w:eastAsiaTheme="minorEastAsia"/>
          <w:szCs w:val="21"/>
          <w:highlight w:val="none"/>
        </w:rPr>
        <w:t>七、本安健环管理协议双方共同遵守执行，如一方违反给对方造成安健环事件或经济损失，均由违反一方按实际损失或双方协商进行赔偿。</w:t>
      </w:r>
    </w:p>
    <w:p>
      <w:pPr>
        <w:spacing w:line="400" w:lineRule="exact"/>
        <w:rPr>
          <w:rFonts w:ascii="宋体" w:hAnsi="宋体"/>
          <w:b/>
          <w:color w:val="000000"/>
          <w:sz w:val="24"/>
          <w:highlight w:val="none"/>
        </w:rPr>
      </w:pPr>
    </w:p>
    <w:p>
      <w:pPr>
        <w:spacing w:line="400" w:lineRule="exact"/>
        <w:rPr>
          <w:rFonts w:ascii="宋体" w:hAnsi="宋体"/>
          <w:b/>
          <w:color w:val="000000"/>
          <w:sz w:val="24"/>
          <w:highlight w:val="none"/>
        </w:rPr>
      </w:pPr>
    </w:p>
    <w:p>
      <w:pPr>
        <w:spacing w:line="400" w:lineRule="exact"/>
        <w:rPr>
          <w:rFonts w:ascii="宋体" w:hAnsi="宋体"/>
          <w:b/>
          <w:color w:val="000000"/>
          <w:sz w:val="24"/>
          <w:highlight w:val="none"/>
        </w:rPr>
      </w:pPr>
    </w:p>
    <w:p>
      <w:pPr>
        <w:ind w:firstLine="241" w:firstLineChars="100"/>
        <w:rPr>
          <w:rFonts w:ascii="宋体" w:hAnsi="宋体"/>
          <w:b/>
          <w:sz w:val="24"/>
          <w:highlight w:val="none"/>
        </w:rPr>
      </w:pPr>
      <w:r>
        <w:rPr>
          <w:rFonts w:hint="eastAsia" w:ascii="宋体" w:hAnsi="宋体"/>
          <w:b/>
          <w:sz w:val="24"/>
          <w:highlight w:val="none"/>
        </w:rPr>
        <w:t>附件3：</w:t>
      </w:r>
    </w:p>
    <w:p>
      <w:pPr>
        <w:ind w:firstLine="241" w:firstLineChars="100"/>
        <w:jc w:val="center"/>
        <w:rPr>
          <w:rFonts w:ascii="宋体" w:hAnsi="宋体"/>
          <w:b/>
          <w:sz w:val="24"/>
          <w:highlight w:val="none"/>
        </w:rPr>
      </w:pPr>
      <w:r>
        <w:rPr>
          <w:rFonts w:hint="eastAsia" w:ascii="宋体" w:hAnsi="宋体"/>
          <w:b/>
          <w:sz w:val="24"/>
          <w:highlight w:val="none"/>
        </w:rPr>
        <w:t>乙方工作人员确认名单</w:t>
      </w:r>
    </w:p>
    <w:p>
      <w:pPr>
        <w:rPr>
          <w:rFonts w:ascii="宋体" w:hAnsi="宋体"/>
          <w:szCs w:val="21"/>
          <w:highlight w:val="none"/>
        </w:rPr>
      </w:pPr>
    </w:p>
    <w:tbl>
      <w:tblPr>
        <w:tblStyle w:val="42"/>
        <w:tblW w:w="98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972"/>
        <w:gridCol w:w="1440"/>
        <w:gridCol w:w="2520"/>
        <w:gridCol w:w="1982"/>
        <w:gridCol w:w="1260"/>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jc w:val="center"/>
              <w:rPr>
                <w:rFonts w:ascii="宋体" w:hAnsi="宋体"/>
                <w:szCs w:val="21"/>
                <w:highlight w:val="none"/>
              </w:rPr>
            </w:pPr>
            <w:r>
              <w:rPr>
                <w:rFonts w:hint="eastAsia" w:ascii="宋体" w:hAnsi="宋体"/>
                <w:szCs w:val="21"/>
                <w:highlight w:val="none"/>
              </w:rPr>
              <w:t>序号</w:t>
            </w:r>
          </w:p>
        </w:tc>
        <w:tc>
          <w:tcPr>
            <w:tcW w:w="972" w:type="dxa"/>
          </w:tcPr>
          <w:p>
            <w:pPr>
              <w:jc w:val="center"/>
              <w:rPr>
                <w:rFonts w:ascii="宋体" w:hAnsi="宋体"/>
                <w:szCs w:val="21"/>
                <w:highlight w:val="none"/>
              </w:rPr>
            </w:pPr>
            <w:r>
              <w:rPr>
                <w:rFonts w:hint="eastAsia" w:ascii="宋体" w:hAnsi="宋体"/>
                <w:szCs w:val="21"/>
                <w:highlight w:val="none"/>
              </w:rPr>
              <w:t>姓名</w:t>
            </w:r>
          </w:p>
        </w:tc>
        <w:tc>
          <w:tcPr>
            <w:tcW w:w="1440" w:type="dxa"/>
          </w:tcPr>
          <w:p>
            <w:pPr>
              <w:jc w:val="center"/>
              <w:rPr>
                <w:rFonts w:ascii="宋体" w:hAnsi="宋体"/>
                <w:szCs w:val="21"/>
                <w:highlight w:val="none"/>
              </w:rPr>
            </w:pPr>
            <w:r>
              <w:rPr>
                <w:rFonts w:hint="eastAsia" w:ascii="宋体" w:hAnsi="宋体"/>
                <w:szCs w:val="21"/>
                <w:highlight w:val="none"/>
              </w:rPr>
              <w:t>身份证号码</w:t>
            </w:r>
          </w:p>
        </w:tc>
        <w:tc>
          <w:tcPr>
            <w:tcW w:w="2520" w:type="dxa"/>
          </w:tcPr>
          <w:p>
            <w:pPr>
              <w:jc w:val="center"/>
              <w:rPr>
                <w:rFonts w:ascii="宋体" w:hAnsi="宋体"/>
                <w:szCs w:val="21"/>
                <w:highlight w:val="none"/>
              </w:rPr>
            </w:pPr>
            <w:r>
              <w:rPr>
                <w:rFonts w:hint="eastAsia" w:ascii="宋体" w:hAnsi="宋体"/>
                <w:szCs w:val="21"/>
                <w:highlight w:val="none"/>
              </w:rPr>
              <w:t>与乙方的劳动合同期限</w:t>
            </w:r>
          </w:p>
        </w:tc>
        <w:tc>
          <w:tcPr>
            <w:tcW w:w="1982" w:type="dxa"/>
          </w:tcPr>
          <w:p>
            <w:pPr>
              <w:jc w:val="center"/>
              <w:rPr>
                <w:rFonts w:ascii="宋体" w:hAnsi="宋体"/>
                <w:szCs w:val="21"/>
                <w:highlight w:val="none"/>
              </w:rPr>
            </w:pPr>
            <w:r>
              <w:rPr>
                <w:rFonts w:hint="eastAsia" w:ascii="宋体" w:hAnsi="宋体"/>
                <w:szCs w:val="21"/>
                <w:highlight w:val="none"/>
              </w:rPr>
              <w:t>联系方式</w:t>
            </w:r>
          </w:p>
        </w:tc>
        <w:tc>
          <w:tcPr>
            <w:tcW w:w="1260" w:type="dxa"/>
          </w:tcPr>
          <w:p>
            <w:pPr>
              <w:jc w:val="center"/>
              <w:rPr>
                <w:rFonts w:ascii="宋体" w:hAnsi="宋体"/>
                <w:szCs w:val="21"/>
                <w:highlight w:val="none"/>
              </w:rPr>
            </w:pPr>
            <w:r>
              <w:rPr>
                <w:rFonts w:hint="eastAsia" w:ascii="宋体" w:hAnsi="宋体"/>
                <w:szCs w:val="21"/>
                <w:highlight w:val="none"/>
              </w:rPr>
              <w:t>签名确认</w:t>
            </w:r>
          </w:p>
        </w:tc>
        <w:tc>
          <w:tcPr>
            <w:tcW w:w="880" w:type="dxa"/>
          </w:tcPr>
          <w:p>
            <w:pPr>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jc w:val="center"/>
              <w:rPr>
                <w:rFonts w:ascii="宋体" w:hAnsi="宋体"/>
                <w:szCs w:val="21"/>
                <w:highlight w:val="none"/>
              </w:rPr>
            </w:pPr>
            <w:r>
              <w:rPr>
                <w:rFonts w:hint="eastAsia" w:ascii="宋体" w:hAnsi="宋体"/>
                <w:szCs w:val="21"/>
                <w:highlight w:val="none"/>
              </w:rPr>
              <w:t>1</w:t>
            </w:r>
          </w:p>
        </w:tc>
        <w:tc>
          <w:tcPr>
            <w:tcW w:w="972" w:type="dxa"/>
          </w:tcPr>
          <w:p>
            <w:pPr>
              <w:rPr>
                <w:rFonts w:ascii="宋体" w:hAnsi="宋体"/>
                <w:szCs w:val="21"/>
                <w:highlight w:val="none"/>
              </w:rPr>
            </w:pPr>
          </w:p>
        </w:tc>
        <w:tc>
          <w:tcPr>
            <w:tcW w:w="1440" w:type="dxa"/>
          </w:tcPr>
          <w:p>
            <w:pPr>
              <w:rPr>
                <w:rFonts w:ascii="宋体" w:hAnsi="宋体"/>
                <w:szCs w:val="21"/>
                <w:highlight w:val="none"/>
              </w:rPr>
            </w:pPr>
          </w:p>
        </w:tc>
        <w:tc>
          <w:tcPr>
            <w:tcW w:w="2520" w:type="dxa"/>
          </w:tcPr>
          <w:p>
            <w:pPr>
              <w:rPr>
                <w:rFonts w:ascii="宋体" w:hAnsi="宋体"/>
                <w:szCs w:val="21"/>
                <w:highlight w:val="none"/>
              </w:rPr>
            </w:pPr>
          </w:p>
        </w:tc>
        <w:tc>
          <w:tcPr>
            <w:tcW w:w="1982" w:type="dxa"/>
          </w:tcPr>
          <w:p>
            <w:pPr>
              <w:rPr>
                <w:rFonts w:ascii="宋体" w:hAnsi="宋体"/>
                <w:szCs w:val="21"/>
                <w:highlight w:val="none"/>
              </w:rPr>
            </w:pPr>
          </w:p>
        </w:tc>
        <w:tc>
          <w:tcPr>
            <w:tcW w:w="1260" w:type="dxa"/>
          </w:tcPr>
          <w:p>
            <w:pPr>
              <w:rPr>
                <w:rFonts w:ascii="宋体" w:hAnsi="宋体"/>
                <w:szCs w:val="21"/>
                <w:highlight w:val="none"/>
              </w:rPr>
            </w:pPr>
          </w:p>
        </w:tc>
        <w:tc>
          <w:tcPr>
            <w:tcW w:w="88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jc w:val="center"/>
              <w:rPr>
                <w:rFonts w:ascii="宋体" w:hAnsi="宋体"/>
                <w:szCs w:val="21"/>
                <w:highlight w:val="none"/>
              </w:rPr>
            </w:pPr>
            <w:r>
              <w:rPr>
                <w:rFonts w:hint="eastAsia" w:ascii="宋体" w:hAnsi="宋体"/>
                <w:szCs w:val="21"/>
                <w:highlight w:val="none"/>
              </w:rPr>
              <w:t>2</w:t>
            </w:r>
          </w:p>
        </w:tc>
        <w:tc>
          <w:tcPr>
            <w:tcW w:w="972" w:type="dxa"/>
          </w:tcPr>
          <w:p>
            <w:pPr>
              <w:rPr>
                <w:rFonts w:ascii="宋体" w:hAnsi="宋体"/>
                <w:szCs w:val="21"/>
                <w:highlight w:val="none"/>
              </w:rPr>
            </w:pPr>
          </w:p>
        </w:tc>
        <w:tc>
          <w:tcPr>
            <w:tcW w:w="1440" w:type="dxa"/>
          </w:tcPr>
          <w:p>
            <w:pPr>
              <w:rPr>
                <w:rFonts w:ascii="宋体" w:hAnsi="宋体"/>
                <w:szCs w:val="21"/>
                <w:highlight w:val="none"/>
              </w:rPr>
            </w:pPr>
          </w:p>
        </w:tc>
        <w:tc>
          <w:tcPr>
            <w:tcW w:w="2520" w:type="dxa"/>
          </w:tcPr>
          <w:p>
            <w:pPr>
              <w:rPr>
                <w:rFonts w:ascii="宋体" w:hAnsi="宋体"/>
                <w:szCs w:val="21"/>
                <w:highlight w:val="none"/>
              </w:rPr>
            </w:pPr>
          </w:p>
        </w:tc>
        <w:tc>
          <w:tcPr>
            <w:tcW w:w="1982" w:type="dxa"/>
          </w:tcPr>
          <w:p>
            <w:pPr>
              <w:rPr>
                <w:rFonts w:ascii="宋体" w:hAnsi="宋体"/>
                <w:szCs w:val="21"/>
                <w:highlight w:val="none"/>
              </w:rPr>
            </w:pPr>
          </w:p>
        </w:tc>
        <w:tc>
          <w:tcPr>
            <w:tcW w:w="1260" w:type="dxa"/>
          </w:tcPr>
          <w:p>
            <w:pPr>
              <w:rPr>
                <w:rFonts w:ascii="宋体" w:hAnsi="宋体"/>
                <w:szCs w:val="21"/>
                <w:highlight w:val="none"/>
              </w:rPr>
            </w:pPr>
          </w:p>
        </w:tc>
        <w:tc>
          <w:tcPr>
            <w:tcW w:w="88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jc w:val="center"/>
              <w:rPr>
                <w:rFonts w:ascii="宋体" w:hAnsi="宋体"/>
                <w:szCs w:val="21"/>
                <w:highlight w:val="none"/>
              </w:rPr>
            </w:pPr>
            <w:r>
              <w:rPr>
                <w:rFonts w:hint="eastAsia" w:ascii="宋体" w:hAnsi="宋体"/>
                <w:szCs w:val="21"/>
                <w:highlight w:val="none"/>
              </w:rPr>
              <w:t>3</w:t>
            </w:r>
          </w:p>
        </w:tc>
        <w:tc>
          <w:tcPr>
            <w:tcW w:w="972" w:type="dxa"/>
          </w:tcPr>
          <w:p>
            <w:pPr>
              <w:rPr>
                <w:rFonts w:ascii="宋体" w:hAnsi="宋体"/>
                <w:szCs w:val="21"/>
                <w:highlight w:val="none"/>
              </w:rPr>
            </w:pPr>
          </w:p>
        </w:tc>
        <w:tc>
          <w:tcPr>
            <w:tcW w:w="1440" w:type="dxa"/>
          </w:tcPr>
          <w:p>
            <w:pPr>
              <w:rPr>
                <w:rFonts w:ascii="宋体" w:hAnsi="宋体"/>
                <w:szCs w:val="21"/>
                <w:highlight w:val="none"/>
              </w:rPr>
            </w:pPr>
          </w:p>
        </w:tc>
        <w:tc>
          <w:tcPr>
            <w:tcW w:w="2520" w:type="dxa"/>
          </w:tcPr>
          <w:p>
            <w:pPr>
              <w:rPr>
                <w:rFonts w:ascii="宋体" w:hAnsi="宋体"/>
                <w:szCs w:val="21"/>
                <w:highlight w:val="none"/>
              </w:rPr>
            </w:pPr>
          </w:p>
        </w:tc>
        <w:tc>
          <w:tcPr>
            <w:tcW w:w="1982" w:type="dxa"/>
          </w:tcPr>
          <w:p>
            <w:pPr>
              <w:rPr>
                <w:rFonts w:ascii="宋体" w:hAnsi="宋体"/>
                <w:szCs w:val="21"/>
                <w:highlight w:val="none"/>
              </w:rPr>
            </w:pPr>
          </w:p>
        </w:tc>
        <w:tc>
          <w:tcPr>
            <w:tcW w:w="1260" w:type="dxa"/>
          </w:tcPr>
          <w:p>
            <w:pPr>
              <w:rPr>
                <w:rFonts w:ascii="宋体" w:hAnsi="宋体"/>
                <w:szCs w:val="21"/>
                <w:highlight w:val="none"/>
              </w:rPr>
            </w:pPr>
          </w:p>
        </w:tc>
        <w:tc>
          <w:tcPr>
            <w:tcW w:w="88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jc w:val="center"/>
              <w:rPr>
                <w:rFonts w:ascii="宋体" w:hAnsi="宋体"/>
                <w:szCs w:val="21"/>
                <w:highlight w:val="none"/>
              </w:rPr>
            </w:pPr>
            <w:r>
              <w:rPr>
                <w:rFonts w:hint="eastAsia" w:ascii="宋体" w:hAnsi="宋体"/>
                <w:szCs w:val="21"/>
                <w:highlight w:val="none"/>
              </w:rPr>
              <w:t>…</w:t>
            </w:r>
          </w:p>
        </w:tc>
        <w:tc>
          <w:tcPr>
            <w:tcW w:w="972" w:type="dxa"/>
          </w:tcPr>
          <w:p>
            <w:pPr>
              <w:rPr>
                <w:rFonts w:ascii="宋体" w:hAnsi="宋体"/>
                <w:szCs w:val="21"/>
                <w:highlight w:val="none"/>
              </w:rPr>
            </w:pPr>
          </w:p>
        </w:tc>
        <w:tc>
          <w:tcPr>
            <w:tcW w:w="1440" w:type="dxa"/>
          </w:tcPr>
          <w:p>
            <w:pPr>
              <w:rPr>
                <w:rFonts w:ascii="宋体" w:hAnsi="宋体"/>
                <w:szCs w:val="21"/>
                <w:highlight w:val="none"/>
              </w:rPr>
            </w:pPr>
          </w:p>
        </w:tc>
        <w:tc>
          <w:tcPr>
            <w:tcW w:w="2520" w:type="dxa"/>
          </w:tcPr>
          <w:p>
            <w:pPr>
              <w:rPr>
                <w:rFonts w:ascii="宋体" w:hAnsi="宋体"/>
                <w:szCs w:val="21"/>
                <w:highlight w:val="none"/>
              </w:rPr>
            </w:pPr>
          </w:p>
        </w:tc>
        <w:tc>
          <w:tcPr>
            <w:tcW w:w="1982" w:type="dxa"/>
          </w:tcPr>
          <w:p>
            <w:pPr>
              <w:rPr>
                <w:rFonts w:ascii="宋体" w:hAnsi="宋体"/>
                <w:szCs w:val="21"/>
                <w:highlight w:val="none"/>
              </w:rPr>
            </w:pPr>
          </w:p>
        </w:tc>
        <w:tc>
          <w:tcPr>
            <w:tcW w:w="1260" w:type="dxa"/>
          </w:tcPr>
          <w:p>
            <w:pPr>
              <w:rPr>
                <w:rFonts w:ascii="宋体" w:hAnsi="宋体"/>
                <w:szCs w:val="21"/>
                <w:highlight w:val="none"/>
              </w:rPr>
            </w:pPr>
          </w:p>
        </w:tc>
        <w:tc>
          <w:tcPr>
            <w:tcW w:w="88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jc w:val="center"/>
              <w:rPr>
                <w:rFonts w:ascii="宋体" w:hAnsi="宋体"/>
                <w:szCs w:val="21"/>
                <w:highlight w:val="none"/>
              </w:rPr>
            </w:pPr>
          </w:p>
        </w:tc>
        <w:tc>
          <w:tcPr>
            <w:tcW w:w="972" w:type="dxa"/>
          </w:tcPr>
          <w:p>
            <w:pPr>
              <w:rPr>
                <w:rFonts w:ascii="宋体" w:hAnsi="宋体"/>
                <w:szCs w:val="21"/>
                <w:highlight w:val="none"/>
              </w:rPr>
            </w:pPr>
          </w:p>
        </w:tc>
        <w:tc>
          <w:tcPr>
            <w:tcW w:w="1440" w:type="dxa"/>
          </w:tcPr>
          <w:p>
            <w:pPr>
              <w:rPr>
                <w:rFonts w:ascii="宋体" w:hAnsi="宋体"/>
                <w:szCs w:val="21"/>
                <w:highlight w:val="none"/>
              </w:rPr>
            </w:pPr>
          </w:p>
        </w:tc>
        <w:tc>
          <w:tcPr>
            <w:tcW w:w="2520" w:type="dxa"/>
          </w:tcPr>
          <w:p>
            <w:pPr>
              <w:rPr>
                <w:rFonts w:ascii="宋体" w:hAnsi="宋体"/>
                <w:szCs w:val="21"/>
                <w:highlight w:val="none"/>
              </w:rPr>
            </w:pPr>
          </w:p>
        </w:tc>
        <w:tc>
          <w:tcPr>
            <w:tcW w:w="1982" w:type="dxa"/>
          </w:tcPr>
          <w:p>
            <w:pPr>
              <w:rPr>
                <w:rFonts w:ascii="宋体" w:hAnsi="宋体"/>
                <w:szCs w:val="21"/>
                <w:highlight w:val="none"/>
              </w:rPr>
            </w:pPr>
          </w:p>
        </w:tc>
        <w:tc>
          <w:tcPr>
            <w:tcW w:w="1260" w:type="dxa"/>
          </w:tcPr>
          <w:p>
            <w:pPr>
              <w:rPr>
                <w:rFonts w:ascii="宋体" w:hAnsi="宋体"/>
                <w:szCs w:val="21"/>
                <w:highlight w:val="none"/>
              </w:rPr>
            </w:pPr>
          </w:p>
        </w:tc>
        <w:tc>
          <w:tcPr>
            <w:tcW w:w="88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jc w:val="center"/>
              <w:rPr>
                <w:rFonts w:ascii="宋体" w:hAnsi="宋体"/>
                <w:szCs w:val="21"/>
                <w:highlight w:val="none"/>
              </w:rPr>
            </w:pPr>
          </w:p>
        </w:tc>
        <w:tc>
          <w:tcPr>
            <w:tcW w:w="972" w:type="dxa"/>
          </w:tcPr>
          <w:p>
            <w:pPr>
              <w:rPr>
                <w:rFonts w:ascii="宋体" w:hAnsi="宋体"/>
                <w:szCs w:val="21"/>
                <w:highlight w:val="none"/>
              </w:rPr>
            </w:pPr>
          </w:p>
        </w:tc>
        <w:tc>
          <w:tcPr>
            <w:tcW w:w="1440" w:type="dxa"/>
          </w:tcPr>
          <w:p>
            <w:pPr>
              <w:rPr>
                <w:rFonts w:ascii="宋体" w:hAnsi="宋体"/>
                <w:szCs w:val="21"/>
                <w:highlight w:val="none"/>
              </w:rPr>
            </w:pPr>
          </w:p>
        </w:tc>
        <w:tc>
          <w:tcPr>
            <w:tcW w:w="2520" w:type="dxa"/>
          </w:tcPr>
          <w:p>
            <w:pPr>
              <w:rPr>
                <w:rFonts w:ascii="宋体" w:hAnsi="宋体"/>
                <w:szCs w:val="21"/>
                <w:highlight w:val="none"/>
              </w:rPr>
            </w:pPr>
          </w:p>
        </w:tc>
        <w:tc>
          <w:tcPr>
            <w:tcW w:w="1982" w:type="dxa"/>
          </w:tcPr>
          <w:p>
            <w:pPr>
              <w:rPr>
                <w:rFonts w:ascii="宋体" w:hAnsi="宋体"/>
                <w:szCs w:val="21"/>
                <w:highlight w:val="none"/>
              </w:rPr>
            </w:pPr>
          </w:p>
        </w:tc>
        <w:tc>
          <w:tcPr>
            <w:tcW w:w="1260" w:type="dxa"/>
          </w:tcPr>
          <w:p>
            <w:pPr>
              <w:rPr>
                <w:rFonts w:ascii="宋体" w:hAnsi="宋体"/>
                <w:szCs w:val="21"/>
                <w:highlight w:val="none"/>
              </w:rPr>
            </w:pPr>
          </w:p>
        </w:tc>
        <w:tc>
          <w:tcPr>
            <w:tcW w:w="880" w:type="dxa"/>
          </w:tcPr>
          <w:p>
            <w:pPr>
              <w:rPr>
                <w:rFonts w:ascii="宋体" w:hAnsi="宋体"/>
                <w:szCs w:val="21"/>
                <w:highlight w:val="none"/>
              </w:rPr>
            </w:pPr>
          </w:p>
        </w:tc>
      </w:tr>
    </w:tbl>
    <w:p>
      <w:pPr>
        <w:rPr>
          <w:rFonts w:ascii="宋体" w:hAnsi="宋体"/>
          <w:szCs w:val="21"/>
          <w:highlight w:val="none"/>
        </w:rPr>
      </w:pPr>
    </w:p>
    <w:p>
      <w:pPr>
        <w:spacing w:line="360" w:lineRule="auto"/>
        <w:ind w:firstLine="240" w:firstLineChars="100"/>
        <w:jc w:val="center"/>
        <w:rPr>
          <w:rFonts w:ascii="宋体" w:hAnsi="宋体"/>
          <w:sz w:val="24"/>
          <w:highlight w:val="none"/>
        </w:rPr>
      </w:pPr>
    </w:p>
    <w:p>
      <w:pPr>
        <w:spacing w:line="360" w:lineRule="auto"/>
        <w:ind w:firstLine="241" w:firstLineChars="100"/>
        <w:jc w:val="center"/>
        <w:rPr>
          <w:rFonts w:ascii="宋体" w:hAnsi="宋体"/>
          <w:b/>
          <w:sz w:val="24"/>
          <w:highlight w:val="none"/>
        </w:rPr>
      </w:pPr>
    </w:p>
    <w:p>
      <w:pPr>
        <w:spacing w:line="360" w:lineRule="auto"/>
        <w:ind w:firstLine="241" w:firstLineChars="100"/>
        <w:jc w:val="center"/>
        <w:rPr>
          <w:rFonts w:ascii="宋体" w:hAnsi="宋体"/>
          <w:b/>
          <w:sz w:val="24"/>
          <w:highlight w:val="none"/>
        </w:rPr>
      </w:pPr>
    </w:p>
    <w:p>
      <w:pPr>
        <w:spacing w:line="360" w:lineRule="auto"/>
        <w:ind w:firstLine="241" w:firstLineChars="100"/>
        <w:jc w:val="center"/>
        <w:rPr>
          <w:rFonts w:ascii="宋体" w:hAnsi="宋体"/>
          <w:b/>
          <w:sz w:val="24"/>
          <w:highlight w:val="none"/>
        </w:rPr>
      </w:pPr>
    </w:p>
    <w:p>
      <w:pPr>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rPr>
          <w:rFonts w:ascii="宋体" w:hAnsi="宋体"/>
          <w:b/>
          <w:sz w:val="24"/>
          <w:highlight w:val="none"/>
        </w:rPr>
      </w:pPr>
      <w:r>
        <w:rPr>
          <w:rFonts w:hint="eastAsia" w:ascii="宋体" w:hAnsi="宋体"/>
          <w:b/>
          <w:sz w:val="24"/>
          <w:highlight w:val="none"/>
        </w:rPr>
        <w:t>附件4：</w:t>
      </w:r>
    </w:p>
    <w:p>
      <w:pPr>
        <w:spacing w:line="360" w:lineRule="auto"/>
        <w:jc w:val="center"/>
        <w:rPr>
          <w:rFonts w:ascii="宋体" w:hAnsi="宋体"/>
          <w:b/>
          <w:sz w:val="24"/>
          <w:highlight w:val="none"/>
        </w:rPr>
      </w:pPr>
      <w:r>
        <w:rPr>
          <w:rFonts w:hint="eastAsia" w:ascii="宋体" w:hAnsi="宋体"/>
          <w:b/>
          <w:sz w:val="24"/>
          <w:highlight w:val="none"/>
        </w:rPr>
        <w:t>乙方工作人员声明</w:t>
      </w:r>
    </w:p>
    <w:p>
      <w:pPr>
        <w:spacing w:line="360" w:lineRule="auto"/>
        <w:ind w:firstLine="240" w:firstLineChars="100"/>
        <w:rPr>
          <w:rFonts w:ascii="宋体" w:hAnsi="宋体"/>
          <w:sz w:val="24"/>
          <w:highlight w:val="none"/>
        </w:rPr>
      </w:pPr>
    </w:p>
    <w:p>
      <w:pPr>
        <w:spacing w:line="360" w:lineRule="auto"/>
        <w:ind w:firstLine="210" w:firstLineChars="10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佛山市恒益环保建材有限公司       </w:t>
      </w:r>
      <w:r>
        <w:rPr>
          <w:rFonts w:hint="eastAsia" w:ascii="宋体" w:hAnsi="宋体"/>
          <w:szCs w:val="21"/>
          <w:highlight w:val="none"/>
        </w:rPr>
        <w:t>：</w:t>
      </w:r>
    </w:p>
    <w:p>
      <w:pPr>
        <w:spacing w:line="360" w:lineRule="auto"/>
        <w:ind w:left="210" w:leftChars="100" w:firstLine="420" w:firstLineChars="200"/>
        <w:rPr>
          <w:rFonts w:ascii="宋体" w:hAnsi="宋体"/>
          <w:szCs w:val="21"/>
          <w:highlight w:val="none"/>
        </w:rPr>
      </w:pPr>
      <w:r>
        <w:rPr>
          <w:rFonts w:hint="eastAsia" w:ascii="宋体" w:hAnsi="宋体"/>
          <w:szCs w:val="21"/>
          <w:highlight w:val="none"/>
        </w:rPr>
        <w:t>本人系的职工，与其存在合法的劳动关系。在劳动关系存续期间，已足额支付本人所有的劳动报酬，足额缴纳各项社会保险，并履行了其他所有义务。</w:t>
      </w:r>
    </w:p>
    <w:p>
      <w:pPr>
        <w:spacing w:line="360" w:lineRule="auto"/>
        <w:ind w:left="210" w:leftChars="100" w:firstLine="420" w:firstLineChars="200"/>
        <w:rPr>
          <w:rFonts w:ascii="宋体" w:hAnsi="宋体"/>
          <w:szCs w:val="21"/>
          <w:highlight w:val="none"/>
        </w:rPr>
      </w:pPr>
      <w:r>
        <w:rPr>
          <w:rFonts w:hint="eastAsia" w:ascii="宋体" w:hAnsi="宋体"/>
          <w:szCs w:val="21"/>
          <w:highlight w:val="none"/>
        </w:rPr>
        <w:t>本人作为的员工，不因从事 （） 与贵司签署的《</w:t>
      </w:r>
      <w:r>
        <w:rPr>
          <w:rFonts w:hint="eastAsia" w:ascii="宋体" w:hAnsi="宋体" w:cs="宋体"/>
          <w:szCs w:val="21"/>
          <w:highlight w:val="none"/>
        </w:rPr>
        <w:t>佛山市恒益环保建材有限公司加气砌块生产辅助业务外委项目承包</w:t>
      </w:r>
      <w:r>
        <w:rPr>
          <w:rFonts w:hint="eastAsia" w:ascii="宋体" w:hAnsi="宋体" w:cs="宋体"/>
          <w:bCs/>
          <w:szCs w:val="21"/>
          <w:highlight w:val="none"/>
        </w:rPr>
        <w:t>合同</w:t>
      </w:r>
      <w:r>
        <w:rPr>
          <w:rFonts w:hint="eastAsia" w:ascii="宋体" w:hAnsi="宋体"/>
          <w:szCs w:val="21"/>
          <w:highlight w:val="none"/>
        </w:rPr>
        <w:t>》项下的工作任务而在本人与贵方之间构成雇佣关系或事实劳动关系或其他任何劳动关系。</w:t>
      </w:r>
    </w:p>
    <w:p>
      <w:pPr>
        <w:spacing w:line="360" w:lineRule="auto"/>
        <w:ind w:firstLine="210" w:firstLineChars="100"/>
        <w:rPr>
          <w:rFonts w:ascii="宋体" w:hAnsi="宋体"/>
          <w:szCs w:val="21"/>
          <w:highlight w:val="none"/>
        </w:rPr>
      </w:pPr>
      <w:r>
        <w:rPr>
          <w:rFonts w:hint="eastAsia" w:ascii="宋体" w:hAnsi="宋体"/>
          <w:szCs w:val="21"/>
          <w:highlight w:val="none"/>
        </w:rPr>
        <w:t>本人已认真阅读上述内容且已充分理解其含义，并自愿做出上述声明。</w:t>
      </w:r>
    </w:p>
    <w:p>
      <w:pPr>
        <w:spacing w:line="360" w:lineRule="auto"/>
        <w:rPr>
          <w:rFonts w:ascii="宋体" w:hAnsi="宋体"/>
          <w:szCs w:val="21"/>
          <w:highlight w:val="none"/>
        </w:rPr>
      </w:pPr>
    </w:p>
    <w:p>
      <w:pPr>
        <w:spacing w:line="360" w:lineRule="auto"/>
        <w:ind w:firstLine="210" w:firstLineChars="100"/>
        <w:rPr>
          <w:rFonts w:ascii="宋体" w:hAnsi="宋体"/>
          <w:szCs w:val="21"/>
          <w:highlight w:val="none"/>
          <w:u w:val="single"/>
        </w:rPr>
      </w:pPr>
      <w:r>
        <w:rPr>
          <w:rFonts w:hint="eastAsia" w:ascii="宋体" w:hAnsi="宋体"/>
          <w:szCs w:val="21"/>
          <w:highlight w:val="none"/>
        </w:rPr>
        <w:t>签名：</w:t>
      </w:r>
      <w:r>
        <w:rPr>
          <w:rFonts w:hint="eastAsia" w:ascii="宋体" w:hAnsi="宋体"/>
          <w:szCs w:val="21"/>
          <w:highlight w:val="none"/>
          <w:u w:val="single"/>
        </w:rPr>
        <w:t xml:space="preserve">    （进场工作人员）    </w:t>
      </w:r>
    </w:p>
    <w:p>
      <w:pPr>
        <w:spacing w:line="360" w:lineRule="auto"/>
        <w:ind w:firstLine="210" w:firstLineChars="100"/>
        <w:rPr>
          <w:rFonts w:ascii="仿宋_GB2312" w:eastAsia="仿宋_GB2312"/>
          <w:szCs w:val="21"/>
          <w:highlight w:val="none"/>
        </w:rPr>
      </w:pPr>
      <w:r>
        <w:rPr>
          <w:rFonts w:hint="eastAsia" w:ascii="宋体" w:hAnsi="宋体"/>
          <w:szCs w:val="21"/>
          <w:highlight w:val="none"/>
        </w:rPr>
        <w:t>日期：</w:t>
      </w:r>
    </w:p>
    <w:p>
      <w:pPr>
        <w:rPr>
          <w:rFonts w:ascii="宋体" w:hAnsi="宋体"/>
          <w:b/>
          <w:sz w:val="24"/>
          <w:highlight w:val="none"/>
        </w:rPr>
      </w:pPr>
    </w:p>
    <w:p>
      <w:pPr>
        <w:rPr>
          <w:rFonts w:ascii="宋体" w:hAnsi="宋体"/>
          <w:b/>
          <w:sz w:val="24"/>
          <w:highlight w:val="none"/>
        </w:rPr>
      </w:pPr>
    </w:p>
    <w:p>
      <w:pPr>
        <w:rPr>
          <w:rFonts w:ascii="宋体" w:hAnsi="宋体"/>
          <w:b/>
          <w:sz w:val="24"/>
          <w:highlight w:val="none"/>
        </w:rPr>
      </w:pPr>
    </w:p>
    <w:p>
      <w:pPr>
        <w:rPr>
          <w:rFonts w:ascii="宋体" w:hAnsi="宋体"/>
          <w:b/>
          <w:sz w:val="24"/>
          <w:highlight w:val="none"/>
        </w:rPr>
      </w:pPr>
    </w:p>
    <w:p>
      <w:pPr>
        <w:rPr>
          <w:rFonts w:ascii="宋体" w:hAnsi="宋体"/>
          <w:b/>
          <w:sz w:val="24"/>
          <w:highlight w:val="none"/>
        </w:rPr>
      </w:pPr>
    </w:p>
    <w:p>
      <w:pPr>
        <w:rPr>
          <w:b/>
          <w:bCs/>
          <w:sz w:val="24"/>
          <w:highlight w:val="none"/>
        </w:rPr>
      </w:pPr>
      <w:r>
        <w:rPr>
          <w:rFonts w:hint="eastAsia" w:ascii="宋体" w:hAnsi="宋体"/>
          <w:b/>
          <w:sz w:val="24"/>
          <w:highlight w:val="none"/>
        </w:rPr>
        <w:t>附件5:</w:t>
      </w:r>
    </w:p>
    <w:p>
      <w:pPr>
        <w:adjustRightInd w:val="0"/>
        <w:snapToGrid w:val="0"/>
        <w:spacing w:line="360" w:lineRule="auto"/>
        <w:jc w:val="center"/>
        <w:rPr>
          <w:rFonts w:hint="eastAsia"/>
          <w:b/>
          <w:sz w:val="30"/>
          <w:szCs w:val="30"/>
          <w:highlight w:val="none"/>
        </w:rPr>
      </w:pPr>
      <w:r>
        <w:rPr>
          <w:rFonts w:hint="eastAsia"/>
          <w:b/>
          <w:sz w:val="30"/>
          <w:szCs w:val="30"/>
          <w:highlight w:val="none"/>
        </w:rPr>
        <w:t>佛山市恒益环保建材有限公司加气砌块生产辅助业务外委项目</w:t>
      </w:r>
    </w:p>
    <w:p>
      <w:pPr>
        <w:adjustRightInd w:val="0"/>
        <w:snapToGrid w:val="0"/>
        <w:spacing w:line="360" w:lineRule="auto"/>
        <w:jc w:val="center"/>
        <w:rPr>
          <w:b/>
          <w:sz w:val="30"/>
          <w:szCs w:val="30"/>
          <w:highlight w:val="none"/>
        </w:rPr>
      </w:pPr>
      <w:r>
        <w:rPr>
          <w:rFonts w:hint="eastAsia"/>
          <w:b/>
          <w:sz w:val="30"/>
          <w:szCs w:val="30"/>
          <w:highlight w:val="none"/>
        </w:rPr>
        <w:t>廉洁协议</w:t>
      </w:r>
    </w:p>
    <w:p>
      <w:pPr>
        <w:adjustRightInd w:val="0"/>
        <w:snapToGrid w:val="0"/>
        <w:spacing w:line="360" w:lineRule="auto"/>
        <w:jc w:val="center"/>
        <w:rPr>
          <w:sz w:val="30"/>
          <w:szCs w:val="30"/>
          <w:highlight w:val="none"/>
        </w:rPr>
      </w:pPr>
    </w:p>
    <w:p>
      <w:pPr>
        <w:spacing w:line="5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甲方</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佛山市恒益环保建材有限公司</w:t>
      </w:r>
    </w:p>
    <w:p>
      <w:pPr>
        <w:spacing w:line="5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乙方</w:t>
      </w:r>
      <w:r>
        <w:rPr>
          <w:rFonts w:asciiTheme="minorEastAsia" w:hAnsiTheme="minorEastAsia" w:eastAsiaTheme="minorEastAsia"/>
          <w:szCs w:val="21"/>
          <w:highlight w:val="none"/>
        </w:rPr>
        <w:t>:</w:t>
      </w:r>
    </w:p>
    <w:p>
      <w:pPr>
        <w:adjustRightInd w:val="0"/>
        <w:snapToGrid w:val="0"/>
        <w:spacing w:line="360" w:lineRule="auto"/>
        <w:rPr>
          <w:szCs w:val="21"/>
          <w:highlight w:val="none"/>
        </w:rPr>
      </w:pP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为了增强甲乙双方依法经营、廉洁从业意识，完善自我约束、自我监督机制，营造守法诚信、廉洁高效的工作环境，防止发生违法违纪行为，保护国家、集体和当事人的合法权益，根据中央、省和佛山市有关党风建设和反腐倡廉工作的各项规定，特订立本廉洁协议：</w:t>
      </w:r>
    </w:p>
    <w:p>
      <w:pPr>
        <w:adjustRightInd w:val="0"/>
        <w:snapToGrid w:val="0"/>
        <w:spacing w:line="360" w:lineRule="auto"/>
        <w:rPr>
          <w:rFonts w:asciiTheme="minorEastAsia" w:hAnsiTheme="minorEastAsia" w:eastAsiaTheme="minorEastAsia"/>
          <w:b/>
          <w:szCs w:val="21"/>
          <w:highlight w:val="none"/>
        </w:rPr>
      </w:pPr>
      <w:r>
        <w:rPr>
          <w:rFonts w:asciiTheme="minorEastAsia" w:hAnsiTheme="minorEastAsia" w:eastAsiaTheme="minorEastAsia"/>
          <w:b/>
          <w:szCs w:val="21"/>
          <w:highlight w:val="none"/>
        </w:rPr>
        <w:t xml:space="preserve"> 第一条 双方共同的责任和义务</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（一）严格遵守关于市场准入、招标投标、工程建设管理、物资采购、投资并购、国有资产处置等市场经济活动的法律法规制度以及党风建设和反腐倡廉工作的各项规定。</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（二）严格履行合同约定，自觉承担合同义务。</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（三）业务活动必须坚持公平、公正、公开和诚实守信的原则（除法律法规另有规定者外），不得为获取不正当利益，损害国家、集体和对方利益。</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（四）建立健全自我监督机制，开展廉洁教育，公布举报电话，监督并认真查处违法违纪行为。</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（五）发现对方在业务活动中有违规、违纪、违法行为的，应及时提醒对方，情节严重的，应向有关纪检监察部门举报。</w:t>
      </w:r>
    </w:p>
    <w:p>
      <w:pPr>
        <w:adjustRightInd w:val="0"/>
        <w:snapToGrid w:val="0"/>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第二条甲方的责任和义务</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甲方相关工作人员，在业务活动的事前、事中、事后，应遵守以下规定：</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（一）贯彻落实佛山市恒益环保建材有限公司有关党风廉政建设责任制及廉洁从业的规定，建立企业诚信档案； </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（二）按照公平、公正、公开和诚实守信的原则开展各项业务活动，为乙方提供公平的竞争环境与平台； </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（三）不准向乙方泄漏涉及有关业务活动的内部决策机密； </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（四）不准向乙方和相关单位索要或接受回扣、红包、礼金、购物卡、有价证券、贵重物品和好处费、感谢费等； </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（五）不准在乙方和相关单位报销任何应由甲方或个人支付的费用；</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（六）不准要求、暗示或接受乙方和相关单位为个人装修住房、婚丧嫁娶、配偶子女的工作安排以及境内外旅游等提供方便；</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（七）不准向乙方介绍配偶、子女、亲属参与</w:t>
      </w:r>
      <w:r>
        <w:rPr>
          <w:rFonts w:hint="eastAsia" w:asciiTheme="minorEastAsia" w:hAnsiTheme="minorEastAsia" w:eastAsiaTheme="minorEastAsia"/>
          <w:szCs w:val="21"/>
          <w:highlight w:val="none"/>
        </w:rPr>
        <w:t>与甲方有关的经济活动，不得以任何理由向乙方和相关单位推荐第三方单位；</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（八）不准参与影响相关工作正常和公正开展的其他活动；</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（九）不准违反《中共中央纪委关于严格禁止利用职务上的便利谋取不正当利益的若干规定》的内容。</w:t>
      </w:r>
    </w:p>
    <w:p>
      <w:pPr>
        <w:adjustRightInd w:val="0"/>
        <w:snapToGrid w:val="0"/>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第三条乙方的责任和义务</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乙方及其下属企业相关工作人员，在与甲方业务活动的交往过程中，应遵守以下规定： </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（一）不准以任何理由为甲方和相关单位报销应由对方或个人支付的费用；</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（二）不准以任何理由向甲方、甲方的母公司、上级主管部门负责人及其工作人员赠送回扣、红包、礼金、购物卡、有价证券、贵重物品和好处费、感谢费等；</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（三）不准以任何理由为甲方、与甲方相关的单位或个人提供高消费宴请及娱乐活动；</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（四）不准以任何理由为甲方、与甲方相关的单位或个人购置或提供通讯工具、交通工具和高档办公用品；</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（五）不准接受或暗示为甲方、与甲方相关的单位或个人装修住房、婚丧嫁取、配偶子女的工作安排以及境内外旅游等提供方便；</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（六）不准以谋取非正当利益为目的，擅自与甲方工作人员就业务问题进行私下商谈或者达成利益默契；</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（七）发现甲方工作人员有违反本廉洁协议规定的，应向甲方单位举报。佛山市恒益环保建材有限公司受理举报部门：纪检监察室；举报电话：0757-87573071；举报传真：0757-87663903</w:t>
      </w:r>
      <w:r>
        <w:rPr>
          <w:rFonts w:hint="eastAsia" w:asciiTheme="minorEastAsia" w:hAnsiTheme="minorEastAsia" w:eastAsiaTheme="minorEastAsia"/>
          <w:szCs w:val="21"/>
          <w:highlight w:val="none"/>
        </w:rPr>
        <w:t>；举报邮箱：</w:t>
      </w:r>
      <w:r>
        <w:rPr>
          <w:rFonts w:asciiTheme="minorEastAsia" w:hAnsiTheme="minorEastAsia" w:eastAsiaTheme="minorEastAsia"/>
          <w:szCs w:val="21"/>
          <w:highlight w:val="none"/>
        </w:rPr>
        <w:t>HYJC_JJJC8@163.com</w:t>
      </w:r>
      <w:r>
        <w:rPr>
          <w:rFonts w:hint="eastAsia" w:asciiTheme="minorEastAsia" w:hAnsiTheme="minorEastAsia" w:eastAsiaTheme="minorEastAsia"/>
          <w:szCs w:val="21"/>
          <w:highlight w:val="none"/>
        </w:rPr>
        <w:t>。</w:t>
      </w:r>
    </w:p>
    <w:p>
      <w:pPr>
        <w:adjustRightInd w:val="0"/>
        <w:snapToGrid w:val="0"/>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第四条法律责任</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一）甲方有违反本廉洁协议第一条、甲方相关工作人员违反本廉洁协议第二条约定的，经查证属实，严格按照管理权限，依据有关法律法规和规章制度给予相关人员纪律处分或组织处理；给乙方单位造成经济损失的，应依法予以赔偿，涉嫌犯罪的移送司法机关依法追究刑事责任。</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二）乙方及其下属企业及其工作人员违反本廉洁协议第一、三条规定的，经查证属实，甲方可视情节轻重对乙方实施一定期限的市场禁入，以及有权立即单方解除与乙方已签订的相关业务合同以终止相关业务合作；给甲方单位造成经济损失的，应依法予以赔偿，涉嫌犯罪的移送司法机关依法追究刑事责任。</w:t>
      </w:r>
    </w:p>
    <w:p>
      <w:pPr>
        <w:adjustRightInd w:val="0"/>
        <w:snapToGrid w:val="0"/>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第五条协议生效及法律效力</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（一）本廉洁协议作为合同的附件，与合同具有同等法律效力。</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（二）除非甲乙双方另行签订新的廉洁协议，否则本廉洁协议在甲方与乙方存在业务关系期间均对双方产生约束力。</w:t>
      </w:r>
    </w:p>
    <w:p>
      <w:pPr>
        <w:adjustRightInd w:val="0"/>
        <w:snapToGrid w:val="0"/>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第六条协议书份数</w:t>
      </w:r>
    </w:p>
    <w:p>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本廉洁协议一式陆份，甲方肆份，乙方贰份。</w:t>
      </w:r>
    </w:p>
    <w:p>
      <w:pPr>
        <w:tabs>
          <w:tab w:val="left" w:pos="1051"/>
        </w:tabs>
        <w:spacing w:line="360" w:lineRule="auto"/>
        <w:ind w:firstLine="420" w:firstLineChars="200"/>
        <w:jc w:val="left"/>
        <w:rPr>
          <w:szCs w:val="21"/>
          <w:highlight w:val="none"/>
        </w:rPr>
      </w:pPr>
      <w:r>
        <w:rPr>
          <w:rFonts w:hint="eastAsia" w:asciiTheme="minorEastAsia" w:hAnsiTheme="minorEastAsia" w:eastAsiaTheme="minorEastAsia"/>
          <w:szCs w:val="21"/>
          <w:highlight w:val="none"/>
        </w:rPr>
        <w:t>甲乙双方确认在签订合同前已仔细阅读廉洁协议条款内容，甲乙双方对本廉洁协议所产生的法律责任已清楚知悉并承诺遵守。</w:t>
      </w:r>
    </w:p>
    <w:p>
      <w:pPr>
        <w:spacing w:line="440" w:lineRule="exact"/>
        <w:rPr>
          <w:szCs w:val="21"/>
          <w:highlight w:val="none"/>
        </w:rPr>
      </w:pPr>
    </w:p>
    <w:p>
      <w:pPr>
        <w:pStyle w:val="35"/>
        <w:spacing w:line="440" w:lineRule="exact"/>
        <w:rPr>
          <w:sz w:val="24"/>
          <w:highlight w:val="none"/>
        </w:rPr>
      </w:pPr>
      <w:r>
        <w:rPr>
          <w:sz w:val="24"/>
          <w:highlight w:val="none"/>
        </w:rPr>
        <w:br w:type="page"/>
      </w:r>
      <w:r>
        <w:rPr>
          <w:rFonts w:hint="eastAsia"/>
          <w:sz w:val="24"/>
          <w:highlight w:val="none"/>
        </w:rPr>
        <w:t>附件6</w:t>
      </w:r>
    </w:p>
    <w:p>
      <w:pPr>
        <w:pStyle w:val="35"/>
        <w:spacing w:line="440" w:lineRule="exact"/>
        <w:ind w:firstLine="3614" w:firstLineChars="1500"/>
        <w:rPr>
          <w:rFonts w:ascii="宋体" w:hAnsi="宋体"/>
          <w:b/>
          <w:bCs/>
          <w:color w:val="000000"/>
          <w:sz w:val="24"/>
          <w:highlight w:val="none"/>
        </w:rPr>
      </w:pPr>
      <w:r>
        <w:rPr>
          <w:rFonts w:ascii="宋体" w:hAnsi="宋体"/>
          <w:b/>
          <w:bCs/>
          <w:color w:val="000000"/>
          <w:sz w:val="24"/>
          <w:highlight w:val="none"/>
        </w:rPr>
        <w:t>综合治理责任书</w:t>
      </w:r>
    </w:p>
    <w:p>
      <w:pPr>
        <w:pStyle w:val="35"/>
        <w:spacing w:line="440" w:lineRule="exact"/>
        <w:jc w:val="center"/>
        <w:rPr>
          <w:rFonts w:ascii="宋体" w:hAnsi="宋体"/>
          <w:b/>
          <w:bCs/>
          <w:color w:val="000000"/>
          <w:sz w:val="24"/>
          <w:highlight w:val="none"/>
        </w:rPr>
      </w:pPr>
    </w:p>
    <w:p>
      <w:pPr>
        <w:pStyle w:val="35"/>
        <w:ind w:firstLine="420" w:firstLineChars="200"/>
        <w:rPr>
          <w:rFonts w:ascii="宋体" w:hAnsi="宋体"/>
          <w:bCs/>
          <w:color w:val="000000"/>
          <w:sz w:val="21"/>
          <w:szCs w:val="21"/>
          <w:highlight w:val="none"/>
        </w:rPr>
      </w:pPr>
      <w:r>
        <w:rPr>
          <w:rFonts w:ascii="宋体" w:hAnsi="宋体"/>
          <w:bCs/>
          <w:color w:val="000000"/>
          <w:sz w:val="21"/>
          <w:szCs w:val="21"/>
          <w:highlight w:val="none"/>
        </w:rPr>
        <w:t>甲方：</w:t>
      </w:r>
      <w:r>
        <w:rPr>
          <w:rFonts w:hint="eastAsia" w:ascii="宋体" w:hAnsi="宋体"/>
          <w:bCs/>
          <w:color w:val="000000"/>
          <w:sz w:val="21"/>
          <w:szCs w:val="21"/>
          <w:highlight w:val="none"/>
        </w:rPr>
        <w:t>佛山市恒益环保建材有限公司</w:t>
      </w:r>
    </w:p>
    <w:p>
      <w:pPr>
        <w:pStyle w:val="35"/>
        <w:spacing w:line="440" w:lineRule="exact"/>
        <w:rPr>
          <w:rFonts w:ascii="宋体" w:hAnsi="宋体"/>
          <w:bCs/>
          <w:color w:val="000000"/>
          <w:sz w:val="21"/>
          <w:szCs w:val="21"/>
          <w:highlight w:val="none"/>
        </w:rPr>
      </w:pPr>
    </w:p>
    <w:p>
      <w:pPr>
        <w:pStyle w:val="35"/>
        <w:ind w:firstLine="420" w:firstLineChars="200"/>
        <w:rPr>
          <w:rFonts w:ascii="宋体" w:hAnsi="宋体"/>
          <w:bCs/>
          <w:color w:val="000000"/>
          <w:sz w:val="21"/>
          <w:szCs w:val="21"/>
          <w:highlight w:val="none"/>
        </w:rPr>
      </w:pPr>
      <w:r>
        <w:rPr>
          <w:rFonts w:ascii="宋体" w:hAnsi="宋体"/>
          <w:bCs/>
          <w:color w:val="000000"/>
          <w:sz w:val="21"/>
          <w:szCs w:val="21"/>
          <w:highlight w:val="none"/>
        </w:rPr>
        <w:t xml:space="preserve">乙方：                                   </w:t>
      </w:r>
    </w:p>
    <w:p>
      <w:pPr>
        <w:pStyle w:val="35"/>
        <w:spacing w:line="440" w:lineRule="exact"/>
        <w:rPr>
          <w:rFonts w:ascii="宋体" w:hAnsi="宋体"/>
          <w:bCs/>
          <w:color w:val="000000"/>
          <w:sz w:val="21"/>
          <w:szCs w:val="21"/>
          <w:highlight w:val="none"/>
        </w:rPr>
      </w:pPr>
    </w:p>
    <w:p>
      <w:pPr>
        <w:pStyle w:val="35"/>
        <w:spacing w:line="440" w:lineRule="exact"/>
        <w:ind w:firstLine="420" w:firstLineChars="200"/>
        <w:rPr>
          <w:rFonts w:ascii="宋体" w:hAnsi="宋体"/>
          <w:bCs/>
          <w:color w:val="000000"/>
          <w:sz w:val="21"/>
          <w:szCs w:val="21"/>
          <w:highlight w:val="none"/>
        </w:rPr>
      </w:pPr>
      <w:r>
        <w:rPr>
          <w:rFonts w:ascii="宋体" w:hAnsi="宋体"/>
          <w:bCs/>
          <w:color w:val="000000"/>
          <w:sz w:val="21"/>
          <w:szCs w:val="21"/>
          <w:highlight w:val="none"/>
        </w:rPr>
        <w:t>为严格执行有关综合治理工作条例，乙方本</w:t>
      </w:r>
      <w:r>
        <w:rPr>
          <w:rFonts w:hint="eastAsia" w:ascii="宋体" w:hAnsi="宋体"/>
          <w:bCs/>
          <w:color w:val="000000"/>
          <w:sz w:val="21"/>
          <w:szCs w:val="21"/>
          <w:highlight w:val="none"/>
        </w:rPr>
        <w:t>业务外委</w:t>
      </w:r>
      <w:r>
        <w:rPr>
          <w:rFonts w:ascii="宋体" w:hAnsi="宋体"/>
          <w:bCs/>
          <w:color w:val="000000"/>
          <w:sz w:val="21"/>
          <w:szCs w:val="21"/>
          <w:highlight w:val="none"/>
        </w:rPr>
        <w:t>项目负责人切实担负起“共保一方平安”的政治责任，认真落实本</w:t>
      </w:r>
      <w:r>
        <w:rPr>
          <w:rFonts w:hint="eastAsia" w:ascii="宋体" w:hAnsi="宋体"/>
          <w:bCs/>
          <w:color w:val="000000"/>
          <w:sz w:val="21"/>
          <w:szCs w:val="21"/>
          <w:highlight w:val="none"/>
        </w:rPr>
        <w:t>业务外委</w:t>
      </w:r>
      <w:r>
        <w:rPr>
          <w:rFonts w:ascii="宋体" w:hAnsi="宋体"/>
          <w:bCs/>
          <w:color w:val="000000"/>
          <w:sz w:val="21"/>
          <w:szCs w:val="21"/>
          <w:highlight w:val="none"/>
        </w:rPr>
        <w:t>各项安全防范管理措施，积极推进社会治安综合治理工作，维护本企业乙方职工队伍的稳定，保障</w:t>
      </w:r>
      <w:r>
        <w:rPr>
          <w:rFonts w:hint="eastAsia" w:ascii="宋体" w:hAnsi="宋体"/>
          <w:bCs/>
          <w:color w:val="000000"/>
          <w:sz w:val="21"/>
          <w:szCs w:val="21"/>
          <w:highlight w:val="none"/>
        </w:rPr>
        <w:t>本业务外委项目</w:t>
      </w:r>
      <w:r>
        <w:rPr>
          <w:rFonts w:ascii="宋体" w:hAnsi="宋体"/>
          <w:bCs/>
          <w:color w:val="000000"/>
          <w:sz w:val="21"/>
          <w:szCs w:val="21"/>
          <w:highlight w:val="none"/>
        </w:rPr>
        <w:t>正常顺利的完成，特制定本责任书：</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一、主要目标</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1、乙方参加本</w:t>
      </w:r>
      <w:r>
        <w:rPr>
          <w:rFonts w:hint="eastAsia" w:ascii="宋体" w:hAnsi="宋体"/>
          <w:bCs/>
          <w:color w:val="000000"/>
          <w:sz w:val="21"/>
          <w:szCs w:val="21"/>
          <w:highlight w:val="none"/>
        </w:rPr>
        <w:t>业务外委项目</w:t>
      </w:r>
      <w:r>
        <w:rPr>
          <w:rFonts w:ascii="宋体" w:hAnsi="宋体"/>
          <w:bCs/>
          <w:color w:val="000000"/>
          <w:sz w:val="21"/>
          <w:szCs w:val="21"/>
          <w:highlight w:val="none"/>
        </w:rPr>
        <w:t>的员</w:t>
      </w:r>
      <w:r>
        <w:rPr>
          <w:rFonts w:hint="eastAsia" w:ascii="宋体" w:hAnsi="宋体"/>
          <w:bCs/>
          <w:color w:val="000000"/>
          <w:sz w:val="21"/>
          <w:szCs w:val="21"/>
          <w:highlight w:val="none"/>
        </w:rPr>
        <w:t>工</w:t>
      </w:r>
      <w:r>
        <w:rPr>
          <w:rFonts w:ascii="宋体" w:hAnsi="宋体"/>
          <w:bCs/>
          <w:color w:val="000000"/>
          <w:sz w:val="21"/>
          <w:szCs w:val="21"/>
          <w:highlight w:val="none"/>
        </w:rPr>
        <w:t>无人参加境外敌对势力和敌对分子煽动、组织的突发事件。</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2、乙方没有发生因人民内部矛盾引发后果严重的非法请愿、罢工、上访、静坐示威和法轮功修炼者闹事等事件。</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3、乙方没有发生贪污、受贿、诈骗、盗窃等刑事、治安案件；无发生造成重大经济损失的经济案件或造成重大火灾、工程工伤、中毒等治安灾害事故。</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4、廉洁自律，无违法犯罪。</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5、无发生人员组织或参与“黄、赌、毒”以及色情活动。</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二、乙方应采取以下主要措施</w:t>
      </w:r>
      <w:r>
        <w:rPr>
          <w:rFonts w:hint="eastAsia" w:ascii="宋体" w:hAnsi="宋体"/>
          <w:bCs/>
          <w:color w:val="000000"/>
          <w:sz w:val="21"/>
          <w:szCs w:val="21"/>
          <w:highlight w:val="none"/>
        </w:rPr>
        <w:t>及负以下责任</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1、本</w:t>
      </w:r>
      <w:r>
        <w:rPr>
          <w:rFonts w:hint="eastAsia" w:ascii="宋体" w:hAnsi="宋体"/>
          <w:bCs/>
          <w:color w:val="000000"/>
          <w:sz w:val="21"/>
          <w:szCs w:val="21"/>
          <w:highlight w:val="none"/>
        </w:rPr>
        <w:t>业务外委</w:t>
      </w:r>
      <w:r>
        <w:rPr>
          <w:rFonts w:ascii="宋体" w:hAnsi="宋体"/>
          <w:bCs/>
          <w:color w:val="000000"/>
          <w:sz w:val="21"/>
          <w:szCs w:val="21"/>
          <w:highlight w:val="none"/>
        </w:rPr>
        <w:t>项目负责人</w:t>
      </w:r>
      <w:r>
        <w:rPr>
          <w:rFonts w:hint="eastAsia" w:ascii="宋体" w:hAnsi="宋体"/>
          <w:bCs/>
          <w:color w:val="000000"/>
          <w:sz w:val="21"/>
          <w:szCs w:val="21"/>
          <w:highlight w:val="none"/>
        </w:rPr>
        <w:t>负责业务范围内</w:t>
      </w:r>
      <w:r>
        <w:rPr>
          <w:rFonts w:ascii="宋体" w:hAnsi="宋体"/>
          <w:bCs/>
          <w:color w:val="000000"/>
          <w:sz w:val="21"/>
          <w:szCs w:val="21"/>
          <w:highlight w:val="none"/>
        </w:rPr>
        <w:t>社会治安综合治理工作，</w:t>
      </w:r>
      <w:r>
        <w:rPr>
          <w:rFonts w:hint="eastAsia" w:ascii="宋体" w:hAnsi="宋体"/>
          <w:bCs/>
          <w:color w:val="000000"/>
          <w:sz w:val="21"/>
          <w:szCs w:val="21"/>
          <w:highlight w:val="none"/>
        </w:rPr>
        <w:t>负责</w:t>
      </w:r>
      <w:r>
        <w:rPr>
          <w:rFonts w:ascii="宋体" w:hAnsi="宋体"/>
          <w:bCs/>
          <w:color w:val="000000"/>
          <w:sz w:val="21"/>
          <w:szCs w:val="21"/>
          <w:highlight w:val="none"/>
        </w:rPr>
        <w:t>对</w:t>
      </w:r>
      <w:r>
        <w:rPr>
          <w:rFonts w:hint="eastAsia" w:ascii="宋体" w:hAnsi="宋体"/>
          <w:bCs/>
          <w:color w:val="000000"/>
          <w:sz w:val="21"/>
          <w:szCs w:val="21"/>
          <w:highlight w:val="none"/>
        </w:rPr>
        <w:t>业务区域内</w:t>
      </w:r>
      <w:r>
        <w:rPr>
          <w:rFonts w:ascii="宋体" w:hAnsi="宋体"/>
          <w:bCs/>
          <w:color w:val="000000"/>
          <w:sz w:val="21"/>
          <w:szCs w:val="21"/>
          <w:highlight w:val="none"/>
        </w:rPr>
        <w:t>综合治理工作</w:t>
      </w:r>
      <w:r>
        <w:rPr>
          <w:rFonts w:hint="eastAsia" w:ascii="宋体" w:hAnsi="宋体"/>
          <w:bCs/>
          <w:color w:val="000000"/>
          <w:sz w:val="21"/>
          <w:szCs w:val="21"/>
          <w:highlight w:val="none"/>
        </w:rPr>
        <w:t>进行监督、化解社会矛盾</w:t>
      </w:r>
      <w:r>
        <w:rPr>
          <w:rFonts w:ascii="宋体" w:hAnsi="宋体"/>
          <w:bCs/>
          <w:color w:val="000000"/>
          <w:sz w:val="21"/>
          <w:szCs w:val="21"/>
          <w:highlight w:val="none"/>
        </w:rPr>
        <w:t>。</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2、密切掌握敌、社情动态，化解矛盾平息事态；做好民事纠纷的调节，预防和减少不稳定因素；关心困难</w:t>
      </w:r>
      <w:r>
        <w:rPr>
          <w:rFonts w:hint="eastAsia" w:ascii="宋体" w:hAnsi="宋体"/>
          <w:bCs/>
          <w:color w:val="000000"/>
          <w:sz w:val="21"/>
          <w:szCs w:val="21"/>
          <w:highlight w:val="none"/>
        </w:rPr>
        <w:t>员</w:t>
      </w:r>
      <w:r>
        <w:rPr>
          <w:rFonts w:ascii="宋体" w:hAnsi="宋体"/>
          <w:bCs/>
          <w:color w:val="000000"/>
          <w:sz w:val="21"/>
          <w:szCs w:val="21"/>
          <w:highlight w:val="none"/>
        </w:rPr>
        <w:t>工，设法保障他们的基本生活；扎实做好对“法轮功”</w:t>
      </w:r>
      <w:r>
        <w:rPr>
          <w:rFonts w:hint="eastAsia" w:ascii="宋体" w:hAnsi="宋体"/>
          <w:bCs/>
          <w:color w:val="000000"/>
          <w:sz w:val="21"/>
          <w:szCs w:val="21"/>
          <w:highlight w:val="none"/>
        </w:rPr>
        <w:t>、非法社团</w:t>
      </w:r>
      <w:r>
        <w:rPr>
          <w:rFonts w:ascii="宋体" w:hAnsi="宋体"/>
          <w:bCs/>
          <w:color w:val="000000"/>
          <w:sz w:val="21"/>
          <w:szCs w:val="21"/>
          <w:highlight w:val="none"/>
        </w:rPr>
        <w:t>人员的教育转化和防控工作。</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3、健全治安防范管理机制，落实“七防”制度，参与义务消防队、治安队等群防群治队伍，做好对重点要害部位的防范措施，发现隐患，及时认真整治，堵塞漏洞，防范</w:t>
      </w:r>
      <w:r>
        <w:rPr>
          <w:rFonts w:hint="eastAsia" w:ascii="宋体" w:hAnsi="宋体"/>
          <w:bCs/>
          <w:color w:val="000000"/>
          <w:sz w:val="21"/>
          <w:szCs w:val="21"/>
          <w:highlight w:val="none"/>
        </w:rPr>
        <w:t>业务区域</w:t>
      </w:r>
      <w:r>
        <w:rPr>
          <w:rFonts w:ascii="宋体" w:hAnsi="宋体"/>
          <w:bCs/>
          <w:color w:val="000000"/>
          <w:sz w:val="21"/>
          <w:szCs w:val="21"/>
          <w:highlight w:val="none"/>
        </w:rPr>
        <w:t>各种治安责任事故发生。</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4、采取多种形式，对员</w:t>
      </w:r>
      <w:r>
        <w:rPr>
          <w:rFonts w:hint="eastAsia" w:ascii="宋体" w:hAnsi="宋体"/>
          <w:bCs/>
          <w:color w:val="000000"/>
          <w:sz w:val="21"/>
          <w:szCs w:val="21"/>
          <w:highlight w:val="none"/>
        </w:rPr>
        <w:t>工</w:t>
      </w:r>
      <w:r>
        <w:rPr>
          <w:rFonts w:ascii="宋体" w:hAnsi="宋体"/>
          <w:bCs/>
          <w:color w:val="000000"/>
          <w:sz w:val="21"/>
          <w:szCs w:val="21"/>
          <w:highlight w:val="none"/>
        </w:rPr>
        <w:t>开展综治、法制与国家安全的宣传教育活动，逐步提高施工人员遵纪守法意识和树立法制观念的自觉性。</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5、健全对员</w:t>
      </w:r>
      <w:r>
        <w:rPr>
          <w:rFonts w:hint="eastAsia" w:ascii="宋体" w:hAnsi="宋体"/>
          <w:bCs/>
          <w:color w:val="000000"/>
          <w:sz w:val="21"/>
          <w:szCs w:val="21"/>
          <w:highlight w:val="none"/>
        </w:rPr>
        <w:t>工</w:t>
      </w:r>
      <w:r>
        <w:rPr>
          <w:rFonts w:ascii="宋体" w:hAnsi="宋体"/>
          <w:bCs/>
          <w:color w:val="000000"/>
          <w:sz w:val="21"/>
          <w:szCs w:val="21"/>
          <w:highlight w:val="none"/>
        </w:rPr>
        <w:t>各项管理制度，落实检查、监督机制，有效防止内部人员违法、违纪、犯罪。</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6、积极支持参与</w:t>
      </w:r>
      <w:r>
        <w:rPr>
          <w:rFonts w:hint="eastAsia" w:ascii="宋体" w:hAnsi="宋体"/>
          <w:bCs/>
          <w:color w:val="000000"/>
          <w:sz w:val="21"/>
          <w:szCs w:val="21"/>
          <w:highlight w:val="none"/>
        </w:rPr>
        <w:t>甲方公司</w:t>
      </w:r>
      <w:r>
        <w:rPr>
          <w:rFonts w:ascii="宋体" w:hAnsi="宋体"/>
          <w:bCs/>
          <w:color w:val="000000"/>
          <w:sz w:val="21"/>
          <w:szCs w:val="21"/>
          <w:highlight w:val="none"/>
        </w:rPr>
        <w:t>所在地的社会治安综合治理工作，搞好联防联治，教育和引导员</w:t>
      </w:r>
      <w:r>
        <w:rPr>
          <w:rFonts w:hint="eastAsia" w:ascii="宋体" w:hAnsi="宋体"/>
          <w:bCs/>
          <w:color w:val="000000"/>
          <w:sz w:val="21"/>
          <w:szCs w:val="21"/>
          <w:highlight w:val="none"/>
        </w:rPr>
        <w:t>工</w:t>
      </w:r>
      <w:r>
        <w:rPr>
          <w:rFonts w:ascii="宋体" w:hAnsi="宋体"/>
          <w:bCs/>
          <w:color w:val="000000"/>
          <w:sz w:val="21"/>
          <w:szCs w:val="21"/>
          <w:highlight w:val="none"/>
        </w:rPr>
        <w:t>积极参与当地共建安全文明社区建设。</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7、积极开展创建安全</w:t>
      </w:r>
      <w:r>
        <w:rPr>
          <w:rFonts w:hint="eastAsia" w:ascii="宋体" w:hAnsi="宋体"/>
          <w:bCs/>
          <w:color w:val="000000"/>
          <w:sz w:val="21"/>
          <w:szCs w:val="21"/>
          <w:highlight w:val="none"/>
        </w:rPr>
        <w:t>生产</w:t>
      </w:r>
      <w:r>
        <w:rPr>
          <w:rFonts w:ascii="宋体" w:hAnsi="宋体"/>
          <w:bCs/>
          <w:color w:val="000000"/>
          <w:sz w:val="21"/>
          <w:szCs w:val="21"/>
          <w:highlight w:val="none"/>
        </w:rPr>
        <w:t>、文明</w:t>
      </w:r>
      <w:r>
        <w:rPr>
          <w:rFonts w:hint="eastAsia" w:ascii="宋体" w:hAnsi="宋体"/>
          <w:bCs/>
          <w:color w:val="000000"/>
          <w:sz w:val="21"/>
          <w:szCs w:val="21"/>
          <w:highlight w:val="none"/>
        </w:rPr>
        <w:t>生产</w:t>
      </w:r>
      <w:r>
        <w:rPr>
          <w:rFonts w:ascii="宋体" w:hAnsi="宋体"/>
          <w:bCs/>
          <w:color w:val="000000"/>
          <w:sz w:val="21"/>
          <w:szCs w:val="21"/>
          <w:highlight w:val="none"/>
        </w:rPr>
        <w:t>单位的活动。</w:t>
      </w:r>
    </w:p>
    <w:p>
      <w:pPr>
        <w:pStyle w:val="35"/>
        <w:spacing w:line="440" w:lineRule="exact"/>
        <w:rPr>
          <w:rFonts w:ascii="宋体" w:hAnsi="宋体"/>
          <w:bCs/>
          <w:color w:val="000000"/>
          <w:sz w:val="21"/>
          <w:szCs w:val="21"/>
          <w:highlight w:val="none"/>
        </w:rPr>
      </w:pPr>
      <w:r>
        <w:rPr>
          <w:rFonts w:ascii="宋体" w:hAnsi="宋体"/>
          <w:bCs/>
          <w:color w:val="000000"/>
          <w:sz w:val="21"/>
          <w:szCs w:val="21"/>
          <w:highlight w:val="none"/>
        </w:rPr>
        <w:t>8、本协议</w:t>
      </w:r>
      <w:r>
        <w:rPr>
          <w:rFonts w:hint="eastAsia" w:ascii="宋体" w:hAnsi="宋体"/>
          <w:bCs/>
          <w:color w:val="000000"/>
          <w:sz w:val="21"/>
          <w:szCs w:val="21"/>
          <w:highlight w:val="none"/>
        </w:rPr>
        <w:t>书为《加气砌块生产辅助业务外委合同》的有效附件。本协议自双方法人代表或被授权人（须经法定代表人书面授权委托）签字并加盖公章后生效。</w:t>
      </w:r>
    </w:p>
    <w:p>
      <w:pPr>
        <w:pStyle w:val="35"/>
        <w:spacing w:line="440" w:lineRule="exact"/>
        <w:rPr>
          <w:rFonts w:ascii="宋体" w:hAnsi="宋体"/>
          <w:bCs/>
          <w:color w:val="000000"/>
          <w:sz w:val="21"/>
          <w:szCs w:val="21"/>
          <w:highlight w:val="none"/>
        </w:rPr>
      </w:pPr>
      <w:r>
        <w:rPr>
          <w:rFonts w:hint="eastAsia" w:ascii="宋体" w:hAnsi="宋体"/>
          <w:bCs/>
          <w:color w:val="000000"/>
          <w:sz w:val="21"/>
          <w:szCs w:val="21"/>
          <w:highlight w:val="none"/>
        </w:rPr>
        <w:t>9、本协议</w:t>
      </w:r>
      <w:r>
        <w:rPr>
          <w:rFonts w:ascii="宋体" w:hAnsi="宋体"/>
          <w:bCs/>
          <w:color w:val="000000"/>
          <w:sz w:val="21"/>
          <w:szCs w:val="21"/>
          <w:highlight w:val="none"/>
        </w:rPr>
        <w:t>壹式陆份，甲方肆份，乙方贰份，具同等法律效力。</w:t>
      </w:r>
    </w:p>
    <w:p>
      <w:pPr>
        <w:pStyle w:val="35"/>
        <w:spacing w:line="440" w:lineRule="exact"/>
        <w:rPr>
          <w:rFonts w:ascii="宋体" w:hAnsi="宋体"/>
          <w:bCs/>
          <w:color w:val="000000"/>
          <w:sz w:val="21"/>
          <w:szCs w:val="21"/>
          <w:highlight w:val="none"/>
        </w:rPr>
      </w:pPr>
    </w:p>
    <w:p>
      <w:pPr>
        <w:pStyle w:val="35"/>
        <w:spacing w:line="440" w:lineRule="exact"/>
        <w:rPr>
          <w:rFonts w:ascii="宋体" w:hAnsi="宋体"/>
          <w:bCs/>
          <w:color w:val="000000"/>
          <w:sz w:val="21"/>
          <w:szCs w:val="21"/>
          <w:highlight w:val="none"/>
        </w:rPr>
      </w:pPr>
    </w:p>
    <w:bookmarkEnd w:id="395"/>
    <w:bookmarkEnd w:id="396"/>
    <w:bookmarkEnd w:id="397"/>
    <w:bookmarkEnd w:id="398"/>
    <w:bookmarkEnd w:id="399"/>
    <w:bookmarkEnd w:id="400"/>
    <w:bookmarkEnd w:id="401"/>
    <w:bookmarkEnd w:id="402"/>
    <w:bookmarkEnd w:id="403"/>
    <w:p>
      <w:pPr>
        <w:pStyle w:val="2"/>
        <w:keepNext w:val="0"/>
        <w:keepLines w:val="0"/>
        <w:snapToGrid w:val="0"/>
        <w:spacing w:before="0" w:after="0" w:line="240" w:lineRule="auto"/>
        <w:jc w:val="center"/>
        <w:rPr>
          <w:rFonts w:ascii="宋体" w:hAnsi="宋体"/>
          <w:highlight w:val="none"/>
        </w:rPr>
      </w:pPr>
      <w:bookmarkStart w:id="422" w:name="_Hlt498163796"/>
      <w:bookmarkEnd w:id="422"/>
      <w:bookmarkStart w:id="423" w:name="_Toc34779160"/>
      <w:bookmarkStart w:id="424" w:name="_Toc38039667"/>
      <w:bookmarkStart w:id="425" w:name="_Toc34822248"/>
      <w:bookmarkStart w:id="426" w:name="_Toc34779206"/>
      <w:bookmarkStart w:id="427" w:name="_Toc34779110"/>
      <w:bookmarkStart w:id="428" w:name="_Toc292434275"/>
      <w:bookmarkStart w:id="429" w:name="_Toc103673743"/>
      <w:bookmarkStart w:id="430" w:name="_Toc35957205"/>
    </w:p>
    <w:p>
      <w:pPr>
        <w:pStyle w:val="2"/>
        <w:keepNext w:val="0"/>
        <w:keepLines w:val="0"/>
        <w:snapToGrid w:val="0"/>
        <w:spacing w:before="0" w:after="0" w:line="240" w:lineRule="auto"/>
        <w:jc w:val="center"/>
        <w:rPr>
          <w:rFonts w:ascii="宋体" w:hAnsi="宋体"/>
          <w:highlight w:val="none"/>
        </w:rPr>
      </w:pPr>
    </w:p>
    <w:p>
      <w:pPr>
        <w:pStyle w:val="2"/>
        <w:keepNext w:val="0"/>
        <w:keepLines w:val="0"/>
        <w:snapToGrid w:val="0"/>
        <w:spacing w:before="0" w:after="0" w:line="240" w:lineRule="auto"/>
        <w:jc w:val="center"/>
        <w:rPr>
          <w:rFonts w:ascii="宋体" w:hAnsi="宋体"/>
          <w:highlight w:val="none"/>
        </w:rPr>
      </w:pPr>
    </w:p>
    <w:p>
      <w:pPr>
        <w:pStyle w:val="2"/>
        <w:keepNext w:val="0"/>
        <w:keepLines w:val="0"/>
        <w:snapToGrid w:val="0"/>
        <w:spacing w:before="0" w:after="0" w:line="240" w:lineRule="auto"/>
        <w:jc w:val="center"/>
        <w:rPr>
          <w:rFonts w:ascii="宋体" w:hAnsi="宋体"/>
          <w:highlight w:val="none"/>
        </w:rPr>
      </w:pPr>
    </w:p>
    <w:p>
      <w:pPr>
        <w:pStyle w:val="2"/>
        <w:keepNext w:val="0"/>
        <w:keepLines w:val="0"/>
        <w:snapToGrid w:val="0"/>
        <w:spacing w:before="0" w:after="0" w:line="240" w:lineRule="auto"/>
        <w:jc w:val="center"/>
        <w:rPr>
          <w:rFonts w:ascii="宋体" w:hAnsi="宋体"/>
          <w:highlight w:val="none"/>
        </w:rPr>
      </w:pPr>
    </w:p>
    <w:p>
      <w:pPr>
        <w:pStyle w:val="2"/>
        <w:keepNext w:val="0"/>
        <w:keepLines w:val="0"/>
        <w:snapToGrid w:val="0"/>
        <w:spacing w:before="0" w:after="0" w:line="240" w:lineRule="auto"/>
        <w:jc w:val="center"/>
        <w:rPr>
          <w:rFonts w:ascii="宋体" w:hAnsi="宋体"/>
          <w:highlight w:val="none"/>
        </w:rPr>
      </w:pPr>
    </w:p>
    <w:p>
      <w:pPr>
        <w:pStyle w:val="2"/>
        <w:keepNext w:val="0"/>
        <w:keepLines w:val="0"/>
        <w:snapToGrid w:val="0"/>
        <w:spacing w:before="0" w:after="0" w:line="240" w:lineRule="auto"/>
        <w:jc w:val="center"/>
        <w:rPr>
          <w:rFonts w:ascii="宋体" w:hAnsi="宋体"/>
          <w:highlight w:val="none"/>
        </w:rPr>
      </w:pPr>
    </w:p>
    <w:p>
      <w:pPr>
        <w:pStyle w:val="2"/>
        <w:keepNext w:val="0"/>
        <w:keepLines w:val="0"/>
        <w:snapToGrid w:val="0"/>
        <w:spacing w:before="0" w:after="0" w:line="240" w:lineRule="auto"/>
        <w:jc w:val="center"/>
        <w:rPr>
          <w:rFonts w:ascii="宋体" w:hAnsi="宋体"/>
          <w:highlight w:val="none"/>
        </w:rPr>
      </w:pPr>
    </w:p>
    <w:p>
      <w:pPr>
        <w:pStyle w:val="2"/>
        <w:keepNext w:val="0"/>
        <w:keepLines w:val="0"/>
        <w:snapToGrid w:val="0"/>
        <w:spacing w:before="0" w:after="0" w:line="240" w:lineRule="auto"/>
        <w:jc w:val="center"/>
        <w:rPr>
          <w:rFonts w:ascii="宋体" w:hAnsi="宋体"/>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2"/>
        <w:keepNext w:val="0"/>
        <w:keepLines w:val="0"/>
        <w:numPr>
          <w:ilvl w:val="0"/>
          <w:numId w:val="15"/>
        </w:numPr>
        <w:snapToGrid w:val="0"/>
        <w:spacing w:before="0" w:after="0" w:line="240" w:lineRule="auto"/>
        <w:jc w:val="center"/>
        <w:rPr>
          <w:rFonts w:ascii="宋体" w:hAnsi="宋体"/>
          <w:highlight w:val="none"/>
        </w:rPr>
      </w:pPr>
      <w:bookmarkStart w:id="431" w:name="_Toc13377"/>
      <w:bookmarkStart w:id="432" w:name="_Toc3732"/>
      <w:bookmarkStart w:id="433" w:name="_Toc4913"/>
      <w:bookmarkStart w:id="434" w:name="_Toc13547"/>
      <w:bookmarkStart w:id="435" w:name="_Toc988"/>
      <w:r>
        <w:rPr>
          <w:rFonts w:hint="eastAsia" w:ascii="宋体" w:hAnsi="宋体"/>
          <w:highlight w:val="none"/>
        </w:rPr>
        <w:t xml:space="preserve"> 投标文件格式</w:t>
      </w:r>
      <w:bookmarkEnd w:id="423"/>
      <w:bookmarkEnd w:id="424"/>
      <w:bookmarkEnd w:id="425"/>
      <w:bookmarkEnd w:id="426"/>
      <w:bookmarkEnd w:id="427"/>
      <w:bookmarkEnd w:id="428"/>
      <w:bookmarkEnd w:id="429"/>
      <w:bookmarkEnd w:id="430"/>
      <w:bookmarkEnd w:id="431"/>
      <w:bookmarkEnd w:id="432"/>
      <w:bookmarkEnd w:id="433"/>
    </w:p>
    <w:p>
      <w:pPr>
        <w:pStyle w:val="2"/>
        <w:keepNext w:val="0"/>
        <w:keepLines w:val="0"/>
        <w:numPr>
          <w:ilvl w:val="255"/>
          <w:numId w:val="0"/>
        </w:numPr>
        <w:snapToGrid w:val="0"/>
        <w:spacing w:before="0" w:after="0" w:line="240" w:lineRule="auto"/>
        <w:rPr>
          <w:rFonts w:ascii="宋体" w:hAnsi="宋体"/>
          <w:highlight w:val="none"/>
        </w:rPr>
      </w:pPr>
    </w:p>
    <w:p>
      <w:pPr>
        <w:pStyle w:val="2"/>
        <w:keepNext w:val="0"/>
        <w:keepLines w:val="0"/>
        <w:numPr>
          <w:ilvl w:val="255"/>
          <w:numId w:val="0"/>
        </w:numPr>
        <w:snapToGrid w:val="0"/>
        <w:spacing w:before="0" w:after="0" w:line="240" w:lineRule="auto"/>
        <w:rPr>
          <w:rFonts w:ascii="宋体" w:hAnsi="宋体"/>
          <w:highlight w:val="none"/>
        </w:rPr>
      </w:pPr>
    </w:p>
    <w:p>
      <w:pPr>
        <w:pStyle w:val="2"/>
        <w:keepNext w:val="0"/>
        <w:keepLines w:val="0"/>
        <w:numPr>
          <w:ilvl w:val="255"/>
          <w:numId w:val="0"/>
        </w:numPr>
        <w:snapToGrid w:val="0"/>
        <w:spacing w:before="0" w:after="0" w:line="240" w:lineRule="auto"/>
        <w:rPr>
          <w:rFonts w:ascii="宋体" w:hAnsi="宋体"/>
          <w:highlight w:val="none"/>
        </w:rPr>
      </w:pPr>
    </w:p>
    <w:p>
      <w:pPr>
        <w:pStyle w:val="22"/>
        <w:snapToGrid w:val="0"/>
        <w:spacing w:line="360" w:lineRule="auto"/>
        <w:ind w:firstLine="562" w:firstLineChars="200"/>
        <w:jc w:val="center"/>
        <w:rPr>
          <w:b/>
          <w:bCs/>
          <w:sz w:val="28"/>
          <w:szCs w:val="28"/>
          <w:highlight w:val="none"/>
        </w:rPr>
      </w:pPr>
      <w:r>
        <w:rPr>
          <w:rFonts w:hint="eastAsia"/>
          <w:b/>
          <w:bCs/>
          <w:sz w:val="28"/>
          <w:szCs w:val="28"/>
          <w:highlight w:val="none"/>
        </w:rPr>
        <w:t>温馨提示：</w:t>
      </w:r>
    </w:p>
    <w:p>
      <w:pPr>
        <w:pStyle w:val="22"/>
        <w:numPr>
          <w:ilvl w:val="0"/>
          <w:numId w:val="16"/>
        </w:numPr>
        <w:snapToGrid w:val="0"/>
        <w:spacing w:line="360" w:lineRule="auto"/>
        <w:ind w:firstLine="562" w:firstLineChars="200"/>
        <w:jc w:val="center"/>
        <w:rPr>
          <w:b/>
          <w:bCs/>
          <w:sz w:val="28"/>
          <w:szCs w:val="28"/>
          <w:highlight w:val="none"/>
        </w:rPr>
      </w:pPr>
      <w:r>
        <w:rPr>
          <w:rFonts w:hint="eastAsia"/>
          <w:b/>
          <w:bCs/>
          <w:sz w:val="28"/>
          <w:szCs w:val="28"/>
          <w:highlight w:val="none"/>
        </w:rPr>
        <w:t>投标人应参照招标文件第三章的评审条款（附表1至附表5）对投标文件编制相应的目录索引。</w:t>
      </w:r>
    </w:p>
    <w:p>
      <w:pPr>
        <w:pStyle w:val="22"/>
        <w:numPr>
          <w:ilvl w:val="0"/>
          <w:numId w:val="16"/>
        </w:numPr>
        <w:snapToGrid w:val="0"/>
        <w:spacing w:line="360" w:lineRule="auto"/>
        <w:ind w:firstLine="562" w:firstLineChars="200"/>
        <w:jc w:val="center"/>
        <w:rPr>
          <w:b/>
          <w:bCs/>
          <w:sz w:val="28"/>
          <w:szCs w:val="28"/>
          <w:highlight w:val="none"/>
        </w:rPr>
      </w:pPr>
      <w:r>
        <w:rPr>
          <w:rFonts w:hint="eastAsia"/>
          <w:b/>
          <w:bCs/>
          <w:sz w:val="28"/>
          <w:szCs w:val="28"/>
          <w:highlight w:val="none"/>
        </w:rPr>
        <w:t>按照招标文件第二章“25.投标文件的密封和标记”的要求进行密封与标记。</w:t>
      </w:r>
    </w:p>
    <w:p>
      <w:pPr>
        <w:pStyle w:val="22"/>
        <w:snapToGrid w:val="0"/>
        <w:spacing w:line="360" w:lineRule="auto"/>
        <w:ind w:firstLine="420" w:firstLineChars="200"/>
        <w:jc w:val="center"/>
        <w:rPr>
          <w:szCs w:val="21"/>
          <w:highlight w:val="none"/>
        </w:rPr>
      </w:pPr>
      <w:r>
        <w:rPr>
          <w:rFonts w:hint="eastAsia"/>
          <w:szCs w:val="21"/>
          <w:highlight w:val="none"/>
        </w:rPr>
        <w:br w:type="page"/>
      </w:r>
      <w:bookmarkEnd w:id="434"/>
      <w:bookmarkEnd w:id="435"/>
      <w:bookmarkStart w:id="436" w:name="_Toc318924492"/>
      <w:bookmarkStart w:id="437" w:name="_Toc423602839"/>
      <w:bookmarkStart w:id="438" w:name="_Toc488957737"/>
      <w:bookmarkStart w:id="439" w:name="_Toc337720088"/>
      <w:bookmarkStart w:id="440" w:name="_Toc239216028"/>
      <w:bookmarkStart w:id="441" w:name="_Toc163337617"/>
      <w:bookmarkStart w:id="442" w:name="_Toc226209000"/>
      <w:bookmarkStart w:id="443" w:name="_Toc291443587"/>
      <w:bookmarkStart w:id="444" w:name="_Toc292434277"/>
    </w:p>
    <w:p>
      <w:pPr>
        <w:pStyle w:val="2"/>
        <w:keepNext w:val="0"/>
        <w:keepLines w:val="0"/>
        <w:snapToGrid w:val="0"/>
        <w:spacing w:before="0" w:after="0" w:line="240" w:lineRule="auto"/>
        <w:jc w:val="center"/>
        <w:rPr>
          <w:rFonts w:hAnsi="宋体"/>
          <w:kern w:val="2"/>
          <w:sz w:val="28"/>
          <w:szCs w:val="28"/>
          <w:highlight w:val="none"/>
        </w:rPr>
      </w:pPr>
    </w:p>
    <w:p>
      <w:pPr>
        <w:pStyle w:val="2"/>
        <w:keepNext w:val="0"/>
        <w:keepLines w:val="0"/>
        <w:snapToGrid w:val="0"/>
        <w:spacing w:before="0" w:after="0" w:line="240" w:lineRule="auto"/>
        <w:jc w:val="center"/>
        <w:rPr>
          <w:rFonts w:hAnsi="宋体"/>
          <w:kern w:val="2"/>
          <w:sz w:val="28"/>
          <w:szCs w:val="28"/>
          <w:highlight w:val="none"/>
        </w:rPr>
      </w:pPr>
    </w:p>
    <w:p>
      <w:pPr>
        <w:pStyle w:val="2"/>
        <w:keepNext w:val="0"/>
        <w:keepLines w:val="0"/>
        <w:snapToGrid w:val="0"/>
        <w:spacing w:before="0" w:after="0" w:line="240" w:lineRule="auto"/>
        <w:jc w:val="center"/>
        <w:rPr>
          <w:rFonts w:hAnsi="宋体"/>
          <w:kern w:val="2"/>
          <w:sz w:val="28"/>
          <w:szCs w:val="28"/>
          <w:highlight w:val="none"/>
        </w:rPr>
      </w:pPr>
    </w:p>
    <w:p>
      <w:pPr>
        <w:pStyle w:val="2"/>
        <w:keepNext w:val="0"/>
        <w:keepLines w:val="0"/>
        <w:snapToGrid w:val="0"/>
        <w:spacing w:before="0" w:after="0" w:line="240" w:lineRule="auto"/>
        <w:jc w:val="center"/>
        <w:rPr>
          <w:rFonts w:hAnsi="宋体"/>
          <w:kern w:val="2"/>
          <w:sz w:val="28"/>
          <w:szCs w:val="28"/>
          <w:highlight w:val="none"/>
        </w:rPr>
      </w:pPr>
    </w:p>
    <w:p>
      <w:pPr>
        <w:pStyle w:val="2"/>
        <w:keepNext w:val="0"/>
        <w:keepLines w:val="0"/>
        <w:snapToGrid w:val="0"/>
        <w:spacing w:before="0" w:after="0" w:line="240" w:lineRule="auto"/>
        <w:jc w:val="center"/>
        <w:rPr>
          <w:rFonts w:hAnsi="宋体"/>
          <w:kern w:val="2"/>
          <w:sz w:val="28"/>
          <w:szCs w:val="28"/>
          <w:highlight w:val="none"/>
        </w:rPr>
      </w:pPr>
    </w:p>
    <w:p>
      <w:pPr>
        <w:pStyle w:val="2"/>
        <w:keepNext w:val="0"/>
        <w:keepLines w:val="0"/>
        <w:snapToGrid w:val="0"/>
        <w:spacing w:before="0" w:after="0" w:line="240" w:lineRule="auto"/>
        <w:jc w:val="center"/>
        <w:rPr>
          <w:rFonts w:hAnsi="宋体"/>
          <w:kern w:val="2"/>
          <w:sz w:val="28"/>
          <w:szCs w:val="28"/>
          <w:highlight w:val="none"/>
        </w:rPr>
      </w:pPr>
    </w:p>
    <w:p>
      <w:pPr>
        <w:pStyle w:val="2"/>
        <w:keepNext w:val="0"/>
        <w:keepLines w:val="0"/>
        <w:snapToGrid w:val="0"/>
        <w:spacing w:before="0" w:after="0" w:line="240" w:lineRule="auto"/>
        <w:jc w:val="center"/>
        <w:rPr>
          <w:rFonts w:hAnsi="宋体"/>
          <w:kern w:val="2"/>
          <w:sz w:val="28"/>
          <w:szCs w:val="28"/>
          <w:highlight w:val="none"/>
        </w:rPr>
      </w:pPr>
    </w:p>
    <w:p>
      <w:pPr>
        <w:pStyle w:val="2"/>
        <w:keepNext w:val="0"/>
        <w:keepLines w:val="0"/>
        <w:snapToGrid w:val="0"/>
        <w:spacing w:before="0" w:after="0" w:line="240" w:lineRule="auto"/>
        <w:jc w:val="center"/>
        <w:rPr>
          <w:rFonts w:hAnsi="宋体"/>
          <w:kern w:val="2"/>
          <w:sz w:val="28"/>
          <w:szCs w:val="28"/>
          <w:highlight w:val="none"/>
        </w:rPr>
      </w:pPr>
    </w:p>
    <w:p>
      <w:pPr>
        <w:pStyle w:val="2"/>
        <w:keepNext w:val="0"/>
        <w:keepLines w:val="0"/>
        <w:snapToGrid w:val="0"/>
        <w:spacing w:before="0" w:after="0" w:line="240" w:lineRule="auto"/>
        <w:jc w:val="center"/>
        <w:rPr>
          <w:rFonts w:hAnsi="宋体"/>
          <w:kern w:val="2"/>
          <w:sz w:val="28"/>
          <w:szCs w:val="28"/>
          <w:highlight w:val="none"/>
        </w:rPr>
      </w:pPr>
    </w:p>
    <w:p>
      <w:pPr>
        <w:pStyle w:val="2"/>
        <w:keepNext w:val="0"/>
        <w:keepLines w:val="0"/>
        <w:snapToGrid w:val="0"/>
        <w:spacing w:before="0" w:after="0" w:line="240" w:lineRule="auto"/>
        <w:jc w:val="center"/>
        <w:rPr>
          <w:rFonts w:hAnsi="宋体"/>
          <w:kern w:val="2"/>
          <w:sz w:val="28"/>
          <w:szCs w:val="28"/>
          <w:highlight w:val="none"/>
        </w:rPr>
      </w:pPr>
    </w:p>
    <w:p>
      <w:pPr>
        <w:pStyle w:val="2"/>
        <w:keepNext w:val="0"/>
        <w:keepLines w:val="0"/>
        <w:snapToGrid w:val="0"/>
        <w:spacing w:before="0" w:after="0" w:line="240" w:lineRule="auto"/>
        <w:jc w:val="center"/>
        <w:rPr>
          <w:rFonts w:hAnsi="宋体"/>
          <w:kern w:val="2"/>
          <w:sz w:val="28"/>
          <w:szCs w:val="28"/>
          <w:highlight w:val="none"/>
        </w:rPr>
      </w:pPr>
    </w:p>
    <w:p>
      <w:pPr>
        <w:pStyle w:val="2"/>
        <w:keepNext w:val="0"/>
        <w:keepLines w:val="0"/>
        <w:snapToGrid w:val="0"/>
        <w:spacing w:before="0" w:after="0" w:line="240" w:lineRule="auto"/>
        <w:jc w:val="center"/>
        <w:rPr>
          <w:rFonts w:hAnsi="宋体"/>
          <w:kern w:val="2"/>
          <w:sz w:val="28"/>
          <w:szCs w:val="28"/>
          <w:highlight w:val="none"/>
        </w:rPr>
      </w:pPr>
    </w:p>
    <w:p>
      <w:pPr>
        <w:pStyle w:val="3"/>
        <w:keepNext w:val="0"/>
        <w:keepLines w:val="0"/>
        <w:numPr>
          <w:ilvl w:val="1"/>
          <w:numId w:val="0"/>
        </w:numPr>
        <w:tabs>
          <w:tab w:val="clear" w:pos="840"/>
        </w:tabs>
        <w:adjustRightInd/>
        <w:snapToGrid w:val="0"/>
        <w:spacing w:before="0" w:after="0" w:line="240" w:lineRule="auto"/>
        <w:rPr>
          <w:rFonts w:hAnsi="宋体"/>
          <w:kern w:val="2"/>
          <w:sz w:val="28"/>
          <w:szCs w:val="28"/>
          <w:highlight w:val="none"/>
        </w:rPr>
      </w:pPr>
      <w:bookmarkStart w:id="445" w:name="_Toc24238"/>
      <w:bookmarkStart w:id="446" w:name="_Toc8524"/>
      <w:bookmarkStart w:id="447" w:name="_Toc9598"/>
      <w:bookmarkStart w:id="448" w:name="_Toc27174"/>
      <w:bookmarkStart w:id="449" w:name="_Toc19747"/>
      <w:r>
        <w:rPr>
          <w:rFonts w:hint="eastAsia" w:hAnsi="宋体"/>
          <w:kern w:val="2"/>
          <w:sz w:val="28"/>
          <w:szCs w:val="28"/>
          <w:highlight w:val="none"/>
        </w:rPr>
        <w:t>一、商务投标文件格式</w:t>
      </w:r>
      <w:bookmarkEnd w:id="436"/>
      <w:bookmarkEnd w:id="437"/>
      <w:bookmarkEnd w:id="438"/>
      <w:bookmarkEnd w:id="439"/>
      <w:bookmarkEnd w:id="440"/>
      <w:bookmarkEnd w:id="441"/>
      <w:bookmarkEnd w:id="442"/>
      <w:bookmarkEnd w:id="445"/>
      <w:bookmarkEnd w:id="446"/>
      <w:bookmarkEnd w:id="447"/>
      <w:bookmarkEnd w:id="448"/>
      <w:bookmarkEnd w:id="449"/>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ind w:firstLine="899"/>
        <w:rPr>
          <w:rFonts w:ascii="黑体" w:eastAsia="黑体"/>
          <w:b/>
          <w:sz w:val="44"/>
          <w:highlight w:val="none"/>
        </w:rPr>
      </w:pPr>
    </w:p>
    <w:p>
      <w:pPr>
        <w:pStyle w:val="3"/>
        <w:numPr>
          <w:ilvl w:val="0"/>
          <w:numId w:val="0"/>
        </w:numPr>
        <w:snapToGrid w:val="0"/>
        <w:spacing w:before="156" w:after="156"/>
        <w:jc w:val="left"/>
        <w:rPr>
          <w:sz w:val="24"/>
          <w:szCs w:val="24"/>
          <w:highlight w:val="none"/>
        </w:rPr>
      </w:pPr>
      <w:bookmarkStart w:id="450" w:name="_Toc31636"/>
      <w:bookmarkStart w:id="451" w:name="_Toc3520"/>
      <w:bookmarkStart w:id="452" w:name="_Toc21109"/>
      <w:bookmarkStart w:id="453" w:name="_Toc6023"/>
      <w:bookmarkStart w:id="454" w:name="_Toc31610"/>
      <w:r>
        <w:rPr>
          <w:rFonts w:hint="eastAsia"/>
          <w:sz w:val="24"/>
          <w:szCs w:val="24"/>
          <w:highlight w:val="none"/>
        </w:rPr>
        <w:t>格式1：投标函格式</w:t>
      </w:r>
      <w:bookmarkEnd w:id="450"/>
      <w:bookmarkEnd w:id="451"/>
      <w:bookmarkEnd w:id="452"/>
      <w:bookmarkEnd w:id="453"/>
      <w:bookmarkEnd w:id="454"/>
    </w:p>
    <w:p>
      <w:pPr>
        <w:spacing w:line="300" w:lineRule="auto"/>
        <w:jc w:val="center"/>
        <w:rPr>
          <w:rFonts w:ascii="宋体"/>
          <w:b/>
          <w:sz w:val="28"/>
          <w:szCs w:val="28"/>
          <w:highlight w:val="none"/>
        </w:rPr>
      </w:pPr>
      <w:r>
        <w:rPr>
          <w:rFonts w:hint="eastAsia" w:ascii="宋体"/>
          <w:b/>
          <w:sz w:val="28"/>
          <w:szCs w:val="28"/>
          <w:highlight w:val="none"/>
        </w:rPr>
        <w:t>投标函</w:t>
      </w:r>
    </w:p>
    <w:p>
      <w:pPr>
        <w:pStyle w:val="22"/>
        <w:spacing w:line="360" w:lineRule="exact"/>
        <w:rPr>
          <w:rFonts w:hAnsi="宋体"/>
          <w:szCs w:val="21"/>
          <w:highlight w:val="none"/>
        </w:rPr>
      </w:pPr>
      <w:r>
        <w:rPr>
          <w:rFonts w:hint="eastAsia"/>
          <w:szCs w:val="21"/>
          <w:highlight w:val="none"/>
        </w:rPr>
        <w:t>致：佛山市恒益环保建材有限公司</w:t>
      </w:r>
    </w:p>
    <w:p>
      <w:pPr>
        <w:snapToGrid w:val="0"/>
        <w:spacing w:line="360" w:lineRule="auto"/>
        <w:rPr>
          <w:rFonts w:ascii="宋体"/>
          <w:szCs w:val="21"/>
          <w:highlight w:val="none"/>
        </w:rPr>
      </w:pPr>
    </w:p>
    <w:p>
      <w:pPr>
        <w:pStyle w:val="22"/>
        <w:snapToGrid w:val="0"/>
        <w:spacing w:line="360" w:lineRule="auto"/>
        <w:ind w:firstLine="420" w:firstLineChars="200"/>
        <w:rPr>
          <w:szCs w:val="21"/>
          <w:highlight w:val="none"/>
        </w:rPr>
      </w:pPr>
      <w:r>
        <w:rPr>
          <w:rFonts w:hint="eastAsia"/>
          <w:szCs w:val="21"/>
          <w:highlight w:val="none"/>
        </w:rPr>
        <w:t>我方确认收到贵方提供的项目编号为</w:t>
      </w:r>
      <w:r>
        <w:rPr>
          <w:rFonts w:hint="eastAsia" w:hAnsi="宋体"/>
          <w:kern w:val="28"/>
          <w:szCs w:val="21"/>
          <w:highlight w:val="none"/>
        </w:rPr>
        <w:t>的</w:t>
      </w:r>
      <w:r>
        <w:rPr>
          <w:rFonts w:hint="eastAsia" w:hAnsi="宋体"/>
          <w:szCs w:val="21"/>
          <w:highlight w:val="none"/>
        </w:rPr>
        <w:t>采购项目</w:t>
      </w:r>
      <w:r>
        <w:rPr>
          <w:rFonts w:hint="eastAsia"/>
          <w:szCs w:val="21"/>
          <w:highlight w:val="none"/>
        </w:rPr>
        <w:t>的招标文件的全部内容，我方：（投标人名称）正式授权（授权代表全名，职务）代表我方进行有关本次投标的一切事宜。</w:t>
      </w:r>
    </w:p>
    <w:p>
      <w:pPr>
        <w:pStyle w:val="22"/>
        <w:snapToGrid w:val="0"/>
        <w:spacing w:line="360" w:lineRule="auto"/>
        <w:ind w:firstLine="420" w:firstLineChars="200"/>
        <w:rPr>
          <w:szCs w:val="21"/>
          <w:highlight w:val="none"/>
        </w:rPr>
      </w:pPr>
      <w:r>
        <w:rPr>
          <w:rFonts w:hint="eastAsia"/>
          <w:szCs w:val="21"/>
          <w:highlight w:val="none"/>
        </w:rPr>
        <w:t>在此提交的投标文件，正本份，副本份，电子文件两份（U盘），包括如下内容：</w:t>
      </w:r>
    </w:p>
    <w:p>
      <w:pPr>
        <w:snapToGrid w:val="0"/>
        <w:spacing w:line="360" w:lineRule="auto"/>
        <w:rPr>
          <w:rFonts w:ascii="宋体" w:hAnsi="宋体"/>
          <w:szCs w:val="21"/>
          <w:highlight w:val="none"/>
        </w:rPr>
      </w:pPr>
      <w:r>
        <w:rPr>
          <w:rFonts w:hint="eastAsia" w:ascii="宋体" w:hAnsi="宋体"/>
          <w:szCs w:val="21"/>
          <w:highlight w:val="none"/>
        </w:rPr>
        <w:t xml:space="preserve">    第一部分  商务、技术投标文件</w:t>
      </w:r>
    </w:p>
    <w:p>
      <w:pPr>
        <w:spacing w:line="360" w:lineRule="auto"/>
        <w:rPr>
          <w:rFonts w:ascii="宋体" w:hAnsi="宋体"/>
          <w:szCs w:val="21"/>
          <w:highlight w:val="none"/>
        </w:rPr>
      </w:pPr>
      <w:r>
        <w:rPr>
          <w:rFonts w:hint="eastAsia" w:ascii="宋体" w:hAnsi="宋体"/>
          <w:szCs w:val="21"/>
          <w:highlight w:val="none"/>
        </w:rPr>
        <w:t xml:space="preserve">    第二部分  价格投标文件</w:t>
      </w:r>
    </w:p>
    <w:p>
      <w:pPr>
        <w:pStyle w:val="22"/>
        <w:snapToGrid w:val="0"/>
        <w:spacing w:line="360" w:lineRule="auto"/>
        <w:ind w:firstLine="420" w:firstLineChars="200"/>
        <w:rPr>
          <w:szCs w:val="21"/>
          <w:highlight w:val="none"/>
        </w:rPr>
      </w:pPr>
      <w:r>
        <w:rPr>
          <w:rFonts w:hint="eastAsia"/>
          <w:szCs w:val="21"/>
          <w:highlight w:val="none"/>
        </w:rPr>
        <w:t>我方已完全明白招标文件的所有条款要求，并重申以下几点：</w:t>
      </w:r>
    </w:p>
    <w:p>
      <w:pPr>
        <w:snapToGrid w:val="0"/>
        <w:spacing w:line="360" w:lineRule="auto"/>
        <w:rPr>
          <w:rFonts w:ascii="宋体" w:hAnsi="宋体"/>
          <w:szCs w:val="21"/>
          <w:highlight w:val="none"/>
        </w:rPr>
      </w:pPr>
      <w:r>
        <w:rPr>
          <w:rFonts w:hint="eastAsia" w:ascii="宋体" w:hAnsi="宋体"/>
          <w:szCs w:val="21"/>
          <w:highlight w:val="none"/>
        </w:rPr>
        <w:t xml:space="preserve">    （1）我方已决定参加 ：项目编号为的投标。</w:t>
      </w:r>
    </w:p>
    <w:p>
      <w:pPr>
        <w:spacing w:line="360" w:lineRule="auto"/>
        <w:ind w:firstLine="420" w:firstLineChars="200"/>
        <w:rPr>
          <w:rFonts w:ascii="宋体" w:hAnsi="宋体"/>
          <w:szCs w:val="21"/>
          <w:highlight w:val="none"/>
        </w:rPr>
      </w:pPr>
      <w:r>
        <w:rPr>
          <w:rFonts w:hint="eastAsia" w:ascii="宋体" w:hAnsi="宋体"/>
          <w:szCs w:val="21"/>
          <w:highlight w:val="none"/>
        </w:rPr>
        <w:t>（2）本投标文件的有效期为投标截止日起天内有效，如获中标权，有效期将延至合同终止日为止。</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（3）我方已详细研究了投标文件的所有内容包括澄清文件（如果有）和所有已收到的参考资料以及有关附件并完全明白, 我方放弃在此方面提出含糊意见或误解的一切权力。 </w:t>
      </w:r>
    </w:p>
    <w:p>
      <w:pPr>
        <w:snapToGrid w:val="0"/>
        <w:spacing w:line="360" w:lineRule="auto"/>
        <w:rPr>
          <w:rFonts w:ascii="宋体" w:hAnsi="宋体"/>
          <w:szCs w:val="21"/>
          <w:highlight w:val="none"/>
        </w:rPr>
      </w:pPr>
      <w:r>
        <w:rPr>
          <w:rFonts w:hint="eastAsia" w:ascii="宋体" w:hAnsi="宋体"/>
          <w:szCs w:val="21"/>
          <w:highlight w:val="none"/>
        </w:rPr>
        <w:t xml:space="preserve">    （4）</w:t>
      </w:r>
      <w:r>
        <w:rPr>
          <w:rFonts w:hint="eastAsia" w:asciiTheme="minorEastAsia" w:hAnsiTheme="minorEastAsia" w:eastAsiaTheme="minorEastAsia"/>
          <w:color w:val="000000"/>
          <w:szCs w:val="21"/>
          <w:highlight w:val="none"/>
        </w:rPr>
        <w:t>我方作为在法律、财务和运作上独立于招标人、招标代理机构的投标人，</w:t>
      </w:r>
      <w:r>
        <w:rPr>
          <w:rFonts w:hint="eastAsia" w:asciiTheme="minorEastAsia" w:hAnsiTheme="minorEastAsia" w:eastAsiaTheme="minorEastAsia"/>
          <w:szCs w:val="21"/>
          <w:highlight w:val="none"/>
        </w:rPr>
        <w:t>承诺投标文件中的一切资料、数据是真实的，并承担由此引起的一切责任。</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（5）我方明白并愿意在规定的投标时间和日期之后、投标有效期之内若撤回投标，则投标保证金将被贵方没收。</w:t>
      </w:r>
    </w:p>
    <w:p>
      <w:pPr>
        <w:snapToGrid w:val="0"/>
        <w:spacing w:line="360" w:lineRule="auto"/>
        <w:rPr>
          <w:rFonts w:ascii="宋体" w:hAnsi="宋体"/>
          <w:szCs w:val="21"/>
          <w:highlight w:val="none"/>
        </w:rPr>
      </w:pPr>
      <w:r>
        <w:rPr>
          <w:rFonts w:hint="eastAsia" w:ascii="宋体" w:hAnsi="宋体"/>
          <w:szCs w:val="21"/>
          <w:highlight w:val="none"/>
        </w:rPr>
        <w:t xml:space="preserve">    （6）我方同意按照贵方可能提出的要求而提供与投标报价有关的任何其它数据或信息。</w:t>
      </w:r>
    </w:p>
    <w:p>
      <w:pPr>
        <w:snapToGrid w:val="0"/>
        <w:spacing w:line="360" w:lineRule="auto"/>
        <w:ind w:firstLine="420" w:firstLineChars="200"/>
        <w:rPr>
          <w:szCs w:val="21"/>
          <w:highlight w:val="none"/>
        </w:rPr>
      </w:pPr>
      <w:r>
        <w:rPr>
          <w:rFonts w:hint="eastAsia"/>
          <w:szCs w:val="21"/>
          <w:highlight w:val="none"/>
        </w:rPr>
        <w:t>（7）我方理解贵方不一定接受最低报价或贵方可能收到的任何报价。</w:t>
      </w:r>
    </w:p>
    <w:p>
      <w:pPr>
        <w:snapToGrid w:val="0"/>
        <w:spacing w:line="360" w:lineRule="auto"/>
        <w:ind w:firstLine="315" w:firstLineChars="150"/>
        <w:rPr>
          <w:rFonts w:ascii="宋体" w:hAnsi="宋体"/>
          <w:szCs w:val="21"/>
          <w:highlight w:val="none"/>
        </w:rPr>
      </w:pPr>
      <w:r>
        <w:rPr>
          <w:rFonts w:hint="eastAsia" w:ascii="宋体" w:hAnsi="宋体"/>
          <w:szCs w:val="21"/>
          <w:highlight w:val="none"/>
        </w:rPr>
        <w:t xml:space="preserve"> （8）我方如果中标，将保证履行投标文件及投标文件修改书（如果有的话）中的全部责任和义务，按质、按量、按期完成《合同书》中的全部任务。</w:t>
      </w:r>
    </w:p>
    <w:p>
      <w:pPr>
        <w:adjustRightInd w:val="0"/>
        <w:snapToGrid w:val="0"/>
        <w:spacing w:line="276"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（9）我方承诺参与本项目投标不存在挂靠或非法转包的行为，并承担由此引起的一切法律责任。</w:t>
      </w:r>
    </w:p>
    <w:p>
      <w:pPr>
        <w:adjustRightInd w:val="0"/>
        <w:snapToGrid w:val="0"/>
        <w:spacing w:line="276"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（10）我方承诺与招标人不存在同行业竞争关系或者项目实际操作人为同行业负责人</w:t>
      </w:r>
      <w:r>
        <w:rPr>
          <w:rFonts w:hint="eastAsia" w:ascii="宋体" w:hAnsi="宋体"/>
          <w:szCs w:val="21"/>
          <w:highlight w:val="none"/>
        </w:rPr>
        <w:t>。</w:t>
      </w:r>
    </w:p>
    <w:p>
      <w:pPr>
        <w:spacing w:line="276" w:lineRule="auto"/>
        <w:ind w:firstLine="359" w:firstLineChars="171"/>
        <w:rPr>
          <w:rFonts w:asciiTheme="minorEastAsia" w:hAnsiTheme="minorEastAsia" w:eastAsiaTheme="minorEastAsia"/>
          <w:szCs w:val="21"/>
          <w:highlight w:val="none"/>
        </w:rPr>
      </w:pPr>
      <w:r>
        <w:rPr>
          <w:rFonts w:hint="eastAsia" w:asciiTheme="minorEastAsia" w:hAnsiTheme="minorEastAsia" w:eastAsiaTheme="minorEastAsia"/>
          <w:color w:val="000000"/>
          <w:szCs w:val="21"/>
          <w:highlight w:val="none"/>
        </w:rPr>
        <w:t xml:space="preserve">（11）我方投标报价已包含应向知识产权所有权人支付的所有相关税费，并保证我方在提供服务时，如有第三方提出侵犯其知识产权主张的，责任由我方承担。 </w:t>
      </w:r>
    </w:p>
    <w:p>
      <w:pPr>
        <w:snapToGrid w:val="0"/>
        <w:spacing w:line="360" w:lineRule="auto"/>
        <w:rPr>
          <w:rFonts w:ascii="宋体" w:hAnsi="宋体"/>
          <w:szCs w:val="21"/>
          <w:highlight w:val="none"/>
        </w:rPr>
      </w:pPr>
      <w:r>
        <w:rPr>
          <w:rFonts w:hint="eastAsia" w:ascii="宋体" w:hAnsi="宋体"/>
          <w:szCs w:val="21"/>
          <w:highlight w:val="none"/>
        </w:rPr>
        <w:t xml:space="preserve">    （12）所有与本招标项目</w:t>
      </w:r>
      <w:r>
        <w:rPr>
          <w:rFonts w:hint="eastAsia" w:ascii="宋体"/>
          <w:szCs w:val="21"/>
          <w:highlight w:val="none"/>
        </w:rPr>
        <w:t>有关的函件请按下列联系方式发送:</w:t>
      </w:r>
    </w:p>
    <w:p>
      <w:pPr>
        <w:adjustRightInd w:val="0"/>
        <w:snapToGrid w:val="0"/>
        <w:spacing w:line="360" w:lineRule="auto"/>
        <w:ind w:firstLine="4725" w:firstLineChars="2250"/>
        <w:rPr>
          <w:rFonts w:asciiTheme="minorEastAsia" w:hAnsiTheme="minorEastAsia" w:eastAsiaTheme="minorEastAsia"/>
          <w:szCs w:val="21"/>
          <w:highlight w:val="none"/>
        </w:rPr>
      </w:pPr>
    </w:p>
    <w:p>
      <w:pPr>
        <w:adjustRightInd w:val="0"/>
        <w:snapToGrid w:val="0"/>
        <w:spacing w:line="360" w:lineRule="auto"/>
        <w:ind w:firstLine="4725" w:firstLineChars="2250"/>
        <w:rPr>
          <w:rFonts w:asciiTheme="minorEastAsia" w:hAnsiTheme="minorEastAsia" w:eastAsiaTheme="minorEastAsia"/>
          <w:szCs w:val="21"/>
          <w:highlight w:val="none"/>
        </w:rPr>
      </w:pPr>
    </w:p>
    <w:p>
      <w:pPr>
        <w:adjustRightInd w:val="0"/>
        <w:snapToGrid w:val="0"/>
        <w:spacing w:line="360" w:lineRule="auto"/>
        <w:ind w:firstLine="4725" w:firstLineChars="2250"/>
        <w:rPr>
          <w:rFonts w:asciiTheme="minorEastAsia" w:hAnsiTheme="minorEastAsia" w:eastAsiaTheme="minorEastAsia"/>
          <w:szCs w:val="21"/>
          <w:highlight w:val="none"/>
        </w:rPr>
      </w:pPr>
    </w:p>
    <w:p>
      <w:pPr>
        <w:adjustRightInd w:val="0"/>
        <w:snapToGrid w:val="0"/>
        <w:spacing w:line="360" w:lineRule="auto"/>
        <w:ind w:firstLine="4725" w:firstLineChars="2250"/>
        <w:rPr>
          <w:rFonts w:asciiTheme="minorEastAsia" w:hAnsiTheme="minorEastAsia" w:eastAsiaTheme="minorEastAsia"/>
          <w:szCs w:val="21"/>
          <w:highlight w:val="none"/>
        </w:rPr>
      </w:pPr>
    </w:p>
    <w:p>
      <w:pPr>
        <w:adjustRightInd w:val="0"/>
        <w:snapToGrid w:val="0"/>
        <w:spacing w:line="360" w:lineRule="auto"/>
        <w:ind w:firstLine="4725" w:firstLineChars="22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地址：</w:t>
      </w:r>
    </w:p>
    <w:p>
      <w:pPr>
        <w:adjustRightInd w:val="0"/>
        <w:snapToGrid w:val="0"/>
        <w:spacing w:line="360" w:lineRule="auto"/>
        <w:ind w:firstLine="4725" w:firstLineChars="22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邮政编码：</w:t>
      </w:r>
    </w:p>
    <w:p>
      <w:pPr>
        <w:adjustRightInd w:val="0"/>
        <w:snapToGrid w:val="0"/>
        <w:spacing w:line="360" w:lineRule="auto"/>
        <w:ind w:firstLine="4725" w:firstLineChars="22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电话：</w:t>
      </w:r>
    </w:p>
    <w:p>
      <w:pPr>
        <w:adjustRightInd w:val="0"/>
        <w:snapToGrid w:val="0"/>
        <w:spacing w:line="360" w:lineRule="auto"/>
        <w:ind w:firstLine="4725" w:firstLineChars="22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传真：</w:t>
      </w:r>
    </w:p>
    <w:p>
      <w:pPr>
        <w:adjustRightInd w:val="0"/>
        <w:snapToGrid w:val="0"/>
        <w:spacing w:line="360" w:lineRule="auto"/>
        <w:ind w:right="105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投标人（</w:t>
      </w:r>
      <w:r>
        <w:rPr>
          <w:rFonts w:hint="eastAsia" w:asciiTheme="minorEastAsia" w:hAnsiTheme="minorEastAsia" w:eastAsiaTheme="minorEastAsia"/>
          <w:b/>
          <w:szCs w:val="21"/>
          <w:highlight w:val="none"/>
        </w:rPr>
        <w:t>加盖公章</w:t>
      </w:r>
      <w:r>
        <w:rPr>
          <w:rFonts w:hint="eastAsia" w:asciiTheme="minorEastAsia" w:hAnsiTheme="minorEastAsia" w:eastAsiaTheme="minorEastAsia"/>
          <w:szCs w:val="21"/>
          <w:highlight w:val="none"/>
        </w:rPr>
        <w:t>）：</w:t>
      </w:r>
    </w:p>
    <w:p>
      <w:pPr>
        <w:wordWrap w:val="0"/>
        <w:adjustRightInd w:val="0"/>
        <w:snapToGrid w:val="0"/>
        <w:spacing w:line="360" w:lineRule="auto"/>
        <w:ind w:right="23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日期：</w:t>
      </w:r>
    </w:p>
    <w:p>
      <w:pPr>
        <w:pStyle w:val="3"/>
        <w:numPr>
          <w:ilvl w:val="0"/>
          <w:numId w:val="0"/>
        </w:numPr>
        <w:snapToGrid w:val="0"/>
        <w:spacing w:before="120" w:after="120"/>
        <w:jc w:val="left"/>
        <w:rPr>
          <w:sz w:val="24"/>
          <w:szCs w:val="24"/>
          <w:highlight w:val="none"/>
        </w:rPr>
      </w:pPr>
      <w:bookmarkStart w:id="455" w:name="_Toc18338"/>
      <w:bookmarkStart w:id="456" w:name="_Toc8566"/>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rPr>
          <w:highlight w:val="none"/>
        </w:rPr>
      </w:pPr>
    </w:p>
    <w:p>
      <w:pPr>
        <w:pStyle w:val="3"/>
        <w:keepNext w:val="0"/>
        <w:keepLines w:val="0"/>
        <w:numPr>
          <w:ilvl w:val="0"/>
          <w:numId w:val="0"/>
        </w:numPr>
        <w:snapToGrid w:val="0"/>
        <w:spacing w:before="120" w:after="120"/>
        <w:jc w:val="left"/>
        <w:rPr>
          <w:sz w:val="24"/>
          <w:szCs w:val="24"/>
          <w:highlight w:val="none"/>
        </w:rPr>
      </w:pPr>
      <w:bookmarkStart w:id="457" w:name="_Toc28968"/>
      <w:bookmarkStart w:id="458" w:name="_Toc6477"/>
      <w:bookmarkStart w:id="459" w:name="_Toc12647"/>
    </w:p>
    <w:p>
      <w:pPr>
        <w:pStyle w:val="3"/>
        <w:numPr>
          <w:ilvl w:val="0"/>
          <w:numId w:val="0"/>
        </w:numPr>
        <w:snapToGrid w:val="0"/>
        <w:spacing w:before="120" w:after="120"/>
        <w:jc w:val="left"/>
        <w:rPr>
          <w:sz w:val="24"/>
          <w:szCs w:val="24"/>
          <w:highlight w:val="none"/>
        </w:rPr>
      </w:pPr>
      <w:r>
        <w:rPr>
          <w:rFonts w:hint="eastAsia"/>
          <w:sz w:val="24"/>
          <w:szCs w:val="24"/>
          <w:highlight w:val="none"/>
        </w:rPr>
        <w:t>格式2：投标人声明格式</w:t>
      </w:r>
      <w:bookmarkEnd w:id="455"/>
      <w:bookmarkEnd w:id="456"/>
      <w:bookmarkEnd w:id="457"/>
      <w:bookmarkEnd w:id="458"/>
      <w:bookmarkEnd w:id="459"/>
    </w:p>
    <w:p>
      <w:pPr>
        <w:pStyle w:val="221"/>
        <w:ind w:firstLine="0" w:firstLineChars="0"/>
        <w:jc w:val="center"/>
        <w:rPr>
          <w:rFonts w:hAnsi="宋体"/>
          <w:b/>
          <w:highlight w:val="none"/>
        </w:rPr>
      </w:pPr>
      <w:r>
        <w:rPr>
          <w:rFonts w:hint="eastAsia"/>
          <w:b/>
          <w:highlight w:val="none"/>
        </w:rPr>
        <w:t>投标人声明</w:t>
      </w:r>
    </w:p>
    <w:p>
      <w:pPr>
        <w:pStyle w:val="223"/>
        <w:spacing w:line="5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u w:val="single"/>
        </w:rPr>
        <w:t>本招标项目招标人及招标监管机构</w:t>
      </w:r>
      <w:r>
        <w:rPr>
          <w:rFonts w:hint="eastAsia" w:ascii="宋体" w:hAnsi="宋体" w:eastAsia="宋体"/>
          <w:color w:val="auto"/>
          <w:sz w:val="21"/>
          <w:szCs w:val="21"/>
          <w:highlight w:val="none"/>
        </w:rPr>
        <w:t>：</w:t>
      </w:r>
    </w:p>
    <w:p>
      <w:pPr>
        <w:pStyle w:val="223"/>
        <w:spacing w:line="5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本公司就参加投标工作，作出郑重声明：</w:t>
      </w:r>
    </w:p>
    <w:p>
      <w:pPr>
        <w:pStyle w:val="223"/>
        <w:spacing w:line="5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一、本公司保证投标材料都是真实的。</w:t>
      </w:r>
    </w:p>
    <w:p>
      <w:pPr>
        <w:pStyle w:val="223"/>
        <w:spacing w:line="5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二、本公司保证不与其他单位围标、串标，不出让投标资格，不向招标人或评标委员会成员行贿。</w:t>
      </w:r>
    </w:p>
    <w:p>
      <w:pPr>
        <w:pStyle w:val="223"/>
        <w:spacing w:line="5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没有履约不良记录；没有处于被责令停业的状态；没有处于被行政主管部门取消投标资格的处罚期内；没有处于财产被接管、冻结、破产的状态；在投标报名截止日期前三年内没有经诉讼的行政主管部门已书面认定的重大质量问题；在人民检察院行贿犯罪档案查询结果中，本公司及项目负责人没有在投标截止时间前三年内被人民法院判决犯有行贿罪的记录；在投标报名截止日期前三年内本公司没有弄虚作假骗取中标、围标串标行为（以行政主管部门或法院或检察院书面认定为准）。；具有良好的银行资信和商业信誉，近三年所承办的同类项目未因自身原因出现过事故；近三年在国内同类项目招投标活动、合同履行、售后服务及产品运行过程中，未受到地市级及以上部门公开通报批评</w:t>
      </w:r>
      <w:r>
        <w:rPr>
          <w:rFonts w:ascii="宋体" w:hAnsi="宋体" w:eastAsia="宋体"/>
          <w:color w:val="auto"/>
          <w:sz w:val="21"/>
          <w:szCs w:val="21"/>
          <w:highlight w:val="none"/>
        </w:rPr>
        <w:t>；</w:t>
      </w:r>
    </w:p>
    <w:p>
      <w:pPr>
        <w:pStyle w:val="223"/>
        <w:spacing w:before="156" w:line="5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四、本公司承诺，与本公司法定代表人（或单位负责人）为同一人或者本公司存在控股、管理关系的其他单位未参与投标，且中标后不转包或违法分包。</w:t>
      </w:r>
    </w:p>
    <w:p>
      <w:pPr>
        <w:pStyle w:val="223"/>
        <w:spacing w:before="156" w:line="5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五、本公司没有被招标人或关联公司列入“不良供应商名单”并处于处罚期内。</w:t>
      </w:r>
    </w:p>
    <w:p>
      <w:pPr>
        <w:pStyle w:val="223"/>
        <w:spacing w:line="5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本公司违反上述保证，或本声明陈述与事实不符，经查实，本公司愿意接受公开通报，承担由此带来的法律后果，并自愿停止参加招标人的招标投标活动。</w:t>
      </w:r>
    </w:p>
    <w:p>
      <w:pPr>
        <w:pStyle w:val="223"/>
        <w:spacing w:line="500" w:lineRule="exact"/>
        <w:ind w:firstLine="426"/>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223"/>
        <w:ind w:firstLine="2880"/>
        <w:jc w:val="left"/>
        <w:rPr>
          <w:rFonts w:ascii="宋体" w:hAnsi="宋体" w:eastAsia="宋体"/>
          <w:sz w:val="21"/>
          <w:szCs w:val="21"/>
          <w:highlight w:val="none"/>
        </w:rPr>
      </w:pPr>
    </w:p>
    <w:p>
      <w:pPr>
        <w:pStyle w:val="223"/>
        <w:ind w:firstLine="0"/>
        <w:jc w:val="left"/>
        <w:rPr>
          <w:rFonts w:ascii="宋体" w:hAnsi="宋体" w:eastAsia="宋体"/>
          <w:sz w:val="21"/>
          <w:szCs w:val="21"/>
          <w:highlight w:val="none"/>
        </w:rPr>
      </w:pPr>
      <w:r>
        <w:rPr>
          <w:rFonts w:hint="eastAsia" w:ascii="宋体" w:hAnsi="宋体" w:eastAsia="宋体"/>
          <w:sz w:val="21"/>
          <w:szCs w:val="21"/>
          <w:highlight w:val="none"/>
        </w:rPr>
        <w:t xml:space="preserve">         声明企业：(企业公章)</w:t>
      </w:r>
    </w:p>
    <w:p>
      <w:pPr>
        <w:pStyle w:val="223"/>
        <w:spacing w:line="500" w:lineRule="exact"/>
        <w:ind w:right="2079" w:firstLine="1890" w:firstLineChars="900"/>
        <w:jc w:val="right"/>
        <w:rPr>
          <w:rFonts w:ascii="宋体" w:hAnsi="宋体" w:eastAsia="宋体"/>
          <w:color w:val="auto"/>
          <w:sz w:val="21"/>
          <w:szCs w:val="21"/>
          <w:highlight w:val="none"/>
        </w:rPr>
      </w:pPr>
    </w:p>
    <w:p>
      <w:pPr>
        <w:ind w:firstLine="899"/>
        <w:rPr>
          <w:rFonts w:ascii="黑体" w:eastAsia="黑体"/>
          <w:b/>
          <w:sz w:val="44"/>
          <w:highlight w:val="none"/>
        </w:rPr>
      </w:pPr>
      <w:r>
        <w:rPr>
          <w:rFonts w:hint="eastAsia" w:ascii="宋体" w:hAnsi="宋体"/>
          <w:szCs w:val="21"/>
          <w:highlight w:val="none"/>
        </w:rPr>
        <w:t>法定代表人签字：                  (企业公章)</w:t>
      </w:r>
    </w:p>
    <w:p>
      <w:pPr>
        <w:ind w:firstLine="899"/>
        <w:rPr>
          <w:rFonts w:ascii="宋体" w:hAnsi="宋体"/>
          <w:szCs w:val="21"/>
          <w:highlight w:val="none"/>
        </w:rPr>
      </w:pPr>
    </w:p>
    <w:p>
      <w:pPr>
        <w:rPr>
          <w:rFonts w:ascii="黑体" w:eastAsia="黑体"/>
          <w:b/>
          <w:sz w:val="44"/>
          <w:highlight w:val="none"/>
        </w:rPr>
      </w:pPr>
      <w:r>
        <w:rPr>
          <w:rFonts w:hint="eastAsia" w:ascii="宋体" w:hAnsi="宋体"/>
          <w:szCs w:val="21"/>
          <w:highlight w:val="none"/>
        </w:rPr>
        <w:t>年   月   日</w:t>
      </w:r>
    </w:p>
    <w:p>
      <w:pPr>
        <w:pStyle w:val="3"/>
        <w:numPr>
          <w:ilvl w:val="0"/>
          <w:numId w:val="0"/>
        </w:numPr>
        <w:snapToGrid w:val="0"/>
        <w:spacing w:before="120" w:after="120"/>
        <w:jc w:val="left"/>
        <w:rPr>
          <w:sz w:val="24"/>
          <w:szCs w:val="24"/>
          <w:highlight w:val="none"/>
        </w:rPr>
      </w:pPr>
      <w:bookmarkStart w:id="460" w:name="_Toc2352"/>
      <w:bookmarkStart w:id="461" w:name="_Toc17320"/>
      <w:bookmarkStart w:id="462" w:name="_Toc20880"/>
      <w:bookmarkStart w:id="463" w:name="_Toc7310"/>
      <w:bookmarkStart w:id="464" w:name="_Toc16793"/>
      <w:r>
        <w:rPr>
          <w:rFonts w:hint="eastAsia"/>
          <w:sz w:val="24"/>
          <w:szCs w:val="24"/>
          <w:highlight w:val="none"/>
        </w:rPr>
        <w:t>格式3：法定代表人资格证明书</w:t>
      </w:r>
      <w:bookmarkEnd w:id="460"/>
      <w:bookmarkEnd w:id="461"/>
      <w:bookmarkEnd w:id="462"/>
      <w:bookmarkEnd w:id="463"/>
      <w:bookmarkEnd w:id="464"/>
    </w:p>
    <w:p>
      <w:pPr>
        <w:tabs>
          <w:tab w:val="left" w:pos="7120"/>
        </w:tabs>
        <w:spacing w:line="360" w:lineRule="exact"/>
        <w:jc w:val="center"/>
        <w:rPr>
          <w:rFonts w:ascii="宋体" w:hAnsi="宋体"/>
          <w:b/>
          <w:bCs/>
          <w:szCs w:val="21"/>
          <w:highlight w:val="none"/>
        </w:rPr>
      </w:pPr>
    </w:p>
    <w:p>
      <w:pPr>
        <w:pStyle w:val="221"/>
        <w:ind w:firstLine="498"/>
        <w:jc w:val="center"/>
        <w:rPr>
          <w:rFonts w:ascii="宋体" w:hAnsi="宋体"/>
          <w:b/>
          <w:highlight w:val="none"/>
        </w:rPr>
      </w:pPr>
      <w:r>
        <w:rPr>
          <w:rFonts w:hint="eastAsia" w:ascii="宋体" w:hAnsi="宋体"/>
          <w:b/>
          <w:highlight w:val="none"/>
        </w:rPr>
        <w:t>法定代表人资格证明书</w:t>
      </w:r>
    </w:p>
    <w:p>
      <w:pPr>
        <w:spacing w:line="360" w:lineRule="exact"/>
        <w:jc w:val="center"/>
        <w:rPr>
          <w:rFonts w:ascii="宋体" w:hAnsi="宋体"/>
          <w:b/>
          <w:bCs/>
          <w:szCs w:val="21"/>
          <w:highlight w:val="none"/>
        </w:rPr>
      </w:pPr>
    </w:p>
    <w:p>
      <w:pPr>
        <w:spacing w:line="360" w:lineRule="exact"/>
        <w:ind w:firstLine="210" w:firstLineChars="100"/>
        <w:rPr>
          <w:rFonts w:ascii="宋体" w:hAnsi="宋体"/>
          <w:szCs w:val="21"/>
          <w:highlight w:val="none"/>
          <w:u w:val="single"/>
        </w:rPr>
      </w:pPr>
      <w:r>
        <w:rPr>
          <w:rFonts w:hint="eastAsia" w:ascii="宋体" w:hAnsi="宋体"/>
          <w:szCs w:val="21"/>
          <w:highlight w:val="none"/>
        </w:rPr>
        <w:t>单位名称：</w:t>
      </w:r>
    </w:p>
    <w:p>
      <w:pPr>
        <w:spacing w:line="360" w:lineRule="exact"/>
        <w:ind w:firstLine="210" w:firstLineChars="100"/>
        <w:rPr>
          <w:rFonts w:ascii="宋体" w:hAnsi="宋体"/>
          <w:szCs w:val="21"/>
          <w:highlight w:val="none"/>
          <w:u w:val="single"/>
        </w:rPr>
      </w:pPr>
      <w:r>
        <w:rPr>
          <w:rFonts w:hint="eastAsia" w:ascii="宋体" w:hAnsi="宋体"/>
          <w:szCs w:val="21"/>
          <w:highlight w:val="none"/>
        </w:rPr>
        <w:t>单位性质：</w:t>
      </w:r>
    </w:p>
    <w:p>
      <w:pPr>
        <w:spacing w:line="360" w:lineRule="exact"/>
        <w:ind w:firstLine="210" w:firstLineChars="100"/>
        <w:rPr>
          <w:rFonts w:ascii="宋体" w:hAnsi="宋体"/>
          <w:szCs w:val="21"/>
          <w:highlight w:val="none"/>
          <w:u w:val="single"/>
        </w:rPr>
      </w:pPr>
      <w:r>
        <w:rPr>
          <w:rFonts w:hint="eastAsia" w:ascii="宋体" w:hAnsi="宋体"/>
          <w:szCs w:val="21"/>
          <w:highlight w:val="none"/>
        </w:rPr>
        <w:t>地    址：</w:t>
      </w:r>
    </w:p>
    <w:p>
      <w:pPr>
        <w:spacing w:line="360" w:lineRule="exact"/>
        <w:ind w:firstLine="210" w:firstLineChars="100"/>
        <w:rPr>
          <w:rFonts w:ascii="宋体" w:hAnsi="宋体"/>
          <w:szCs w:val="21"/>
          <w:highlight w:val="none"/>
          <w:u w:val="single"/>
        </w:rPr>
      </w:pPr>
      <w:r>
        <w:rPr>
          <w:rFonts w:hint="eastAsia" w:ascii="宋体" w:hAnsi="宋体"/>
          <w:szCs w:val="21"/>
          <w:highlight w:val="none"/>
        </w:rPr>
        <w:t>成立时间：</w:t>
      </w:r>
    </w:p>
    <w:p>
      <w:pPr>
        <w:spacing w:line="360" w:lineRule="exact"/>
        <w:ind w:firstLine="210" w:firstLineChars="100"/>
        <w:rPr>
          <w:rFonts w:ascii="宋体" w:hAnsi="宋体"/>
          <w:szCs w:val="21"/>
          <w:highlight w:val="none"/>
          <w:u w:val="single"/>
        </w:rPr>
      </w:pPr>
      <w:r>
        <w:rPr>
          <w:rFonts w:hint="eastAsia" w:ascii="宋体" w:hAnsi="宋体"/>
          <w:szCs w:val="21"/>
          <w:highlight w:val="none"/>
        </w:rPr>
        <w:t>经营年限：</w:t>
      </w:r>
    </w:p>
    <w:p>
      <w:pPr>
        <w:spacing w:line="360" w:lineRule="exact"/>
        <w:ind w:firstLine="210" w:firstLineChars="100"/>
        <w:rPr>
          <w:rFonts w:ascii="宋体" w:hAnsi="宋体"/>
          <w:szCs w:val="21"/>
          <w:highlight w:val="none"/>
          <w:u w:val="single"/>
        </w:rPr>
      </w:pPr>
      <w:r>
        <w:rPr>
          <w:rFonts w:hint="eastAsia" w:ascii="宋体" w:hAnsi="宋体"/>
          <w:szCs w:val="21"/>
          <w:highlight w:val="none"/>
        </w:rPr>
        <w:t>姓名：性别：年龄：职务：</w:t>
      </w:r>
    </w:p>
    <w:p>
      <w:pPr>
        <w:spacing w:line="360" w:lineRule="exact"/>
        <w:ind w:firstLine="210" w:firstLineChars="100"/>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（投标人单位名称）           </w:t>
      </w:r>
      <w:r>
        <w:rPr>
          <w:rFonts w:hint="eastAsia" w:ascii="宋体" w:hAnsi="宋体"/>
          <w:szCs w:val="21"/>
          <w:highlight w:val="none"/>
        </w:rPr>
        <w:t xml:space="preserve"> 的法定代表人。</w:t>
      </w:r>
    </w:p>
    <w:p>
      <w:pPr>
        <w:spacing w:line="360" w:lineRule="exact"/>
        <w:ind w:firstLine="210" w:firstLineChars="100"/>
        <w:rPr>
          <w:rFonts w:ascii="宋体" w:hAnsi="宋体"/>
          <w:szCs w:val="21"/>
          <w:highlight w:val="none"/>
        </w:rPr>
      </w:pPr>
      <w:r>
        <w:rPr>
          <w:rFonts w:hint="eastAsia" w:ascii="宋体" w:hAnsi="宋体"/>
          <w:szCs w:val="21"/>
          <w:highlight w:val="none"/>
        </w:rPr>
        <w:t>特此证明。</w:t>
      </w:r>
    </w:p>
    <w:p>
      <w:pPr>
        <w:spacing w:line="360" w:lineRule="exact"/>
        <w:ind w:firstLine="4200" w:firstLineChars="2000"/>
        <w:rPr>
          <w:rFonts w:ascii="宋体" w:hAnsi="宋体"/>
          <w:szCs w:val="21"/>
          <w:highlight w:val="none"/>
          <w:u w:val="single"/>
        </w:rPr>
      </w:pPr>
      <w:r>
        <w:rPr>
          <w:rFonts w:hint="eastAsia" w:ascii="宋体" w:hAnsi="宋体"/>
          <w:szCs w:val="21"/>
          <w:highlight w:val="none"/>
        </w:rPr>
        <w:t xml:space="preserve"> 投标人：</w:t>
      </w:r>
      <w:r>
        <w:rPr>
          <w:rFonts w:hint="eastAsia" w:ascii="宋体" w:hAnsi="宋体"/>
          <w:szCs w:val="21"/>
          <w:highlight w:val="none"/>
          <w:u w:val="single"/>
        </w:rPr>
        <w:t xml:space="preserve">                （盖章）</w:t>
      </w:r>
    </w:p>
    <w:p>
      <w:pPr>
        <w:ind w:firstLine="902"/>
        <w:rPr>
          <w:rFonts w:ascii="宋体" w:hAnsi="宋体"/>
          <w:szCs w:val="21"/>
          <w:highlight w:val="none"/>
        </w:rPr>
      </w:pPr>
    </w:p>
    <w:p>
      <w:pPr>
        <w:ind w:firstLine="902"/>
        <w:rPr>
          <w:rFonts w:ascii="宋体" w:hAnsi="宋体"/>
          <w:kern w:val="144"/>
          <w:szCs w:val="21"/>
          <w:highlight w:val="none"/>
        </w:rPr>
      </w:pPr>
      <w:r>
        <w:rPr>
          <w:rFonts w:hint="eastAsia" w:ascii="宋体" w:hAnsi="宋体"/>
          <w:kern w:val="144"/>
          <w:szCs w:val="21"/>
          <w:highlight w:val="none"/>
        </w:rPr>
        <w:t xml:space="preserve">      日期：    年    月   日</w:t>
      </w:r>
    </w:p>
    <w:p>
      <w:pPr>
        <w:spacing w:line="360" w:lineRule="exact"/>
        <w:ind w:firstLine="4158" w:firstLineChars="1980"/>
        <w:rPr>
          <w:rFonts w:ascii="宋体" w:hAnsi="宋体"/>
          <w:szCs w:val="21"/>
          <w:highlight w:val="none"/>
        </w:rPr>
      </w:pPr>
    </w:p>
    <w:p>
      <w:pPr>
        <w:spacing w:line="360" w:lineRule="exact"/>
        <w:ind w:firstLine="4158" w:firstLineChars="1980"/>
        <w:rPr>
          <w:rFonts w:ascii="宋体" w:hAnsi="宋体"/>
          <w:szCs w:val="21"/>
          <w:highlight w:val="none"/>
        </w:rPr>
      </w:pPr>
      <w:r>
        <w:rPr>
          <w:highlight w:val="none"/>
        </w:rPr>
        <mc:AlternateContent>
          <mc:Choice Requires="wps">
            <w:drawing>
              <wp:anchor distT="0" distB="0" distL="114300" distR="114300" simplePos="0" relativeHeight="251685888" behindDoc="0" locked="0" layoutInCell="1" allowOverlap="1">
                <wp:simplePos x="0" y="0"/>
                <wp:positionH relativeFrom="column">
                  <wp:posOffset>247650</wp:posOffset>
                </wp:positionH>
                <wp:positionV relativeFrom="paragraph">
                  <wp:posOffset>106045</wp:posOffset>
                </wp:positionV>
                <wp:extent cx="3649345" cy="1971675"/>
                <wp:effectExtent l="4445" t="4445" r="22860" b="5080"/>
                <wp:wrapNone/>
                <wp:docPr id="10" name="流程图: 可选过程 1"/>
                <wp:cNvGraphicFramePr/>
                <a:graphic xmlns:a="http://schemas.openxmlformats.org/drawingml/2006/main">
                  <a:graphicData uri="http://schemas.microsoft.com/office/word/2010/wordprocessingShape">
                    <wps:wsp>
                      <wps:cNvSpPr>
                        <a:spLocks noChangeArrowheads="1"/>
                      </wps:cNvSpPr>
                      <wps:spPr bwMode="auto">
                        <a:xfrm>
                          <a:off x="1025525" y="5779770"/>
                          <a:ext cx="3649345" cy="197167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请投标人务必提供本身份证复印件正面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19.5pt;margin-top:8.35pt;height:155.25pt;width:287.35pt;z-index:251685888;mso-width-relative:page;mso-height-relative:page;" fillcolor="#FFFFFF" filled="t" stroked="t" coordsize="21600,21600" o:gfxdata="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4bhIqtcAAAAJAQAADwAA&#10;AAAAAAABACAAAAAiAAAAZHJzL2Rvd25yZXYueG1sUEsBAhQAFAAAAAgAh07iQD/veUdQAgAAbgQA&#10;AA4AAAAAAAAAAQAgAAAAJgEAAGRycy9lMm9Eb2MueG1sUEsFBgAAAAAGAAYAWQEAAOgFA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请投标人务必提供本身份证复印件正面</w:t>
                      </w:r>
                      <w:r>
                        <w:rPr>
                          <w:rFonts w:ascii="宋体" w:hAnsi="宋体"/>
                          <w:b/>
                          <w:sz w:val="28"/>
                          <w:szCs w:val="28"/>
                        </w:rPr>
                        <w:t>)</w:t>
                      </w:r>
                    </w:p>
                    <w:p>
                      <w:pPr>
                        <w:jc w:val="center"/>
                        <w:rPr>
                          <w:szCs w:val="21"/>
                        </w:rPr>
                      </w:pPr>
                    </w:p>
                  </w:txbxContent>
                </v:textbox>
              </v:shape>
            </w:pict>
          </mc:Fallback>
        </mc:AlternateContent>
      </w:r>
    </w:p>
    <w:p>
      <w:pPr>
        <w:spacing w:line="360" w:lineRule="exact"/>
        <w:ind w:firstLine="4158" w:firstLineChars="1980"/>
        <w:rPr>
          <w:rFonts w:ascii="宋体" w:hAnsi="宋体"/>
          <w:szCs w:val="21"/>
          <w:highlight w:val="none"/>
        </w:rPr>
      </w:pPr>
    </w:p>
    <w:p>
      <w:pPr>
        <w:spacing w:line="360" w:lineRule="exact"/>
        <w:ind w:firstLine="4158" w:firstLineChars="1980"/>
        <w:rPr>
          <w:rFonts w:ascii="宋体" w:hAnsi="宋体"/>
          <w:szCs w:val="21"/>
          <w:highlight w:val="none"/>
        </w:rPr>
      </w:pPr>
    </w:p>
    <w:p>
      <w:pPr>
        <w:spacing w:line="360" w:lineRule="exact"/>
        <w:ind w:firstLine="4158" w:firstLineChars="1980"/>
        <w:rPr>
          <w:rFonts w:ascii="宋体" w:hAnsi="宋体"/>
          <w:szCs w:val="21"/>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exact"/>
        <w:rPr>
          <w:rFonts w:ascii="宋体" w:hAnsi="宋体"/>
          <w:szCs w:val="21"/>
          <w:highlight w:val="none"/>
        </w:rPr>
      </w:pPr>
    </w:p>
    <w:p>
      <w:pPr>
        <w:spacing w:line="360" w:lineRule="exact"/>
        <w:ind w:firstLine="4200" w:firstLineChars="2000"/>
        <w:rPr>
          <w:rFonts w:ascii="宋体" w:hAnsi="宋体"/>
          <w:szCs w:val="21"/>
          <w:highlight w:val="none"/>
        </w:rPr>
      </w:pPr>
    </w:p>
    <w:p>
      <w:pPr>
        <w:spacing w:line="360" w:lineRule="exact"/>
        <w:ind w:firstLine="4200" w:firstLineChars="2000"/>
        <w:rPr>
          <w:rFonts w:ascii="宋体" w:hAnsi="宋体"/>
          <w:szCs w:val="21"/>
          <w:highlight w:val="none"/>
        </w:rPr>
      </w:pPr>
    </w:p>
    <w:p>
      <w:pPr>
        <w:spacing w:line="360" w:lineRule="exact"/>
        <w:ind w:firstLine="4200" w:firstLineChars="2000"/>
        <w:rPr>
          <w:rFonts w:ascii="宋体" w:hAnsi="宋体"/>
          <w:szCs w:val="21"/>
          <w:highlight w:val="none"/>
        </w:rPr>
      </w:pPr>
      <w:r>
        <w:rPr>
          <w:highlight w:val="none"/>
        </w:rPr>
        <mc:AlternateContent>
          <mc:Choice Requires="wps">
            <w:drawing>
              <wp:anchor distT="0" distB="0" distL="114300" distR="114300" simplePos="0" relativeHeight="251687936" behindDoc="0" locked="0" layoutInCell="1" allowOverlap="1">
                <wp:simplePos x="0" y="0"/>
                <wp:positionH relativeFrom="column">
                  <wp:posOffset>232410</wp:posOffset>
                </wp:positionH>
                <wp:positionV relativeFrom="paragraph">
                  <wp:posOffset>104140</wp:posOffset>
                </wp:positionV>
                <wp:extent cx="3649345" cy="1916430"/>
                <wp:effectExtent l="4445" t="4445" r="22860" b="22225"/>
                <wp:wrapNone/>
                <wp:docPr id="11" name="流程图: 可选过程 2"/>
                <wp:cNvGraphicFramePr/>
                <a:graphic xmlns:a="http://schemas.openxmlformats.org/drawingml/2006/main">
                  <a:graphicData uri="http://schemas.microsoft.com/office/word/2010/wordprocessingShape">
                    <wps:wsp>
                      <wps:cNvSpPr>
                        <a:spLocks noChangeArrowheads="1"/>
                      </wps:cNvSpPr>
                      <wps:spPr bwMode="auto">
                        <a:xfrm>
                          <a:off x="1026160" y="7934325"/>
                          <a:ext cx="3649345" cy="191643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请投标人务必提供本身份证复印件背面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18.3pt;margin-top:8.2pt;height:150.9pt;width:287.35pt;z-index:251687936;mso-width-relative:page;mso-height-relative:page;" fillcolor="#FFFFFF" filled="t" stroked="t" coordsize="21600,21600" o:gfxdata="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32kWk1QAAAAkBAAAP&#10;AAAAAAAAAAEAIAAAACIAAABkcnMvZG93bnJldi54bWxQSwECFAAUAAAACACHTuJAaxkWQVQCAABu&#10;BAAADgAAAAAAAAABACAAAAAkAQAAZHJzL2Uyb0RvYy54bWxQSwUGAAAAAAYABgBZAQAA6g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请投标人务必提供本身份证复印件背面</w:t>
                      </w:r>
                      <w:r>
                        <w:rPr>
                          <w:rFonts w:ascii="宋体" w:hAnsi="宋体"/>
                          <w:b/>
                          <w:sz w:val="28"/>
                          <w:szCs w:val="28"/>
                        </w:rPr>
                        <w:t>)</w:t>
                      </w:r>
                    </w:p>
                    <w:p>
                      <w:pPr>
                        <w:jc w:val="center"/>
                        <w:rPr>
                          <w:szCs w:val="21"/>
                        </w:rPr>
                      </w:pPr>
                    </w:p>
                  </w:txbxContent>
                </v:textbox>
              </v:shape>
            </w:pict>
          </mc:Fallback>
        </mc:AlternateContent>
      </w:r>
    </w:p>
    <w:p>
      <w:pPr>
        <w:spacing w:line="360" w:lineRule="exact"/>
        <w:ind w:firstLine="4200" w:firstLineChars="2000"/>
        <w:rPr>
          <w:rFonts w:ascii="宋体" w:hAnsi="宋体"/>
          <w:szCs w:val="21"/>
          <w:highlight w:val="none"/>
        </w:rPr>
      </w:pPr>
    </w:p>
    <w:p>
      <w:pPr>
        <w:spacing w:line="360" w:lineRule="exact"/>
        <w:ind w:firstLine="4200" w:firstLineChars="2000"/>
        <w:rPr>
          <w:rFonts w:ascii="宋体" w:hAnsi="宋体"/>
          <w:szCs w:val="21"/>
          <w:highlight w:val="none"/>
        </w:rPr>
      </w:pPr>
    </w:p>
    <w:p>
      <w:pPr>
        <w:spacing w:line="360" w:lineRule="exact"/>
        <w:ind w:firstLine="4200" w:firstLineChars="2000"/>
        <w:rPr>
          <w:rFonts w:ascii="宋体" w:hAnsi="宋体"/>
          <w:szCs w:val="21"/>
          <w:highlight w:val="none"/>
        </w:rPr>
      </w:pPr>
    </w:p>
    <w:p>
      <w:pPr>
        <w:ind w:firstLine="902"/>
        <w:rPr>
          <w:rFonts w:ascii="宋体" w:hAnsi="宋体"/>
          <w:kern w:val="144"/>
          <w:szCs w:val="21"/>
          <w:highlight w:val="none"/>
        </w:rPr>
      </w:pPr>
    </w:p>
    <w:p>
      <w:pPr>
        <w:ind w:firstLine="902"/>
        <w:rPr>
          <w:rFonts w:ascii="宋体" w:hAnsi="宋体"/>
          <w:kern w:val="144"/>
          <w:szCs w:val="21"/>
          <w:highlight w:val="none"/>
        </w:rPr>
      </w:pPr>
    </w:p>
    <w:p>
      <w:pPr>
        <w:ind w:firstLine="902"/>
        <w:rPr>
          <w:rFonts w:ascii="宋体" w:hAnsi="宋体"/>
          <w:kern w:val="144"/>
          <w:szCs w:val="21"/>
          <w:highlight w:val="none"/>
        </w:rPr>
      </w:pPr>
    </w:p>
    <w:p>
      <w:pPr>
        <w:ind w:firstLine="902"/>
        <w:rPr>
          <w:rFonts w:ascii="宋体" w:hAnsi="宋体"/>
          <w:kern w:val="144"/>
          <w:szCs w:val="21"/>
          <w:highlight w:val="none"/>
        </w:rPr>
      </w:pPr>
    </w:p>
    <w:p>
      <w:pPr>
        <w:ind w:firstLine="902"/>
        <w:rPr>
          <w:rFonts w:ascii="宋体" w:hAnsi="宋体"/>
          <w:kern w:val="144"/>
          <w:szCs w:val="21"/>
          <w:highlight w:val="none"/>
        </w:rPr>
      </w:pPr>
    </w:p>
    <w:p>
      <w:pPr>
        <w:rPr>
          <w:rFonts w:ascii="黑体" w:eastAsia="黑体"/>
          <w:b/>
          <w:kern w:val="144"/>
          <w:sz w:val="44"/>
          <w:highlight w:val="none"/>
        </w:rPr>
      </w:pPr>
    </w:p>
    <w:p>
      <w:pPr>
        <w:pStyle w:val="3"/>
        <w:keepNext w:val="0"/>
        <w:keepLines w:val="0"/>
        <w:numPr>
          <w:ilvl w:val="0"/>
          <w:numId w:val="0"/>
        </w:numPr>
        <w:snapToGrid w:val="0"/>
        <w:spacing w:before="120" w:after="120"/>
        <w:jc w:val="left"/>
        <w:rPr>
          <w:sz w:val="24"/>
          <w:szCs w:val="24"/>
          <w:highlight w:val="none"/>
        </w:rPr>
      </w:pPr>
      <w:bookmarkStart w:id="465" w:name="_Toc19843"/>
      <w:bookmarkStart w:id="466" w:name="_Toc974"/>
      <w:bookmarkStart w:id="467" w:name="_Toc22484"/>
      <w:bookmarkStart w:id="468" w:name="_Toc9279"/>
      <w:r>
        <w:rPr>
          <w:rFonts w:hint="eastAsia" w:ascii="宋体" w:hAnsi="宋体" w:eastAsia="宋体"/>
          <w:bCs/>
          <w:kern w:val="2"/>
          <w:sz w:val="21"/>
          <w:szCs w:val="21"/>
          <w:highlight w:val="none"/>
        </w:rPr>
        <w:t>注：法定代表人证明书亦可采用工商行政管理局统一制订的格式。</w:t>
      </w:r>
      <w:r>
        <w:rPr>
          <w:rFonts w:ascii="黑体"/>
          <w:bCs/>
          <w:kern w:val="144"/>
          <w:sz w:val="44"/>
          <w:highlight w:val="none"/>
        </w:rPr>
        <w:br w:type="page"/>
      </w:r>
      <w:bookmarkStart w:id="469" w:name="_Toc15365"/>
      <w:r>
        <w:rPr>
          <w:rFonts w:hint="eastAsia"/>
          <w:sz w:val="24"/>
          <w:szCs w:val="24"/>
          <w:highlight w:val="none"/>
        </w:rPr>
        <w:t>格式4：授权委托证明书</w:t>
      </w:r>
      <w:bookmarkEnd w:id="465"/>
      <w:bookmarkEnd w:id="466"/>
      <w:bookmarkEnd w:id="467"/>
      <w:bookmarkEnd w:id="468"/>
      <w:bookmarkEnd w:id="469"/>
    </w:p>
    <w:p>
      <w:pPr>
        <w:pStyle w:val="221"/>
        <w:ind w:firstLine="498" w:firstLineChars="0"/>
        <w:jc w:val="center"/>
        <w:rPr>
          <w:rFonts w:ascii="宋体" w:hAnsi="宋体"/>
          <w:b/>
          <w:highlight w:val="none"/>
        </w:rPr>
      </w:pPr>
    </w:p>
    <w:p>
      <w:pPr>
        <w:pStyle w:val="221"/>
        <w:ind w:firstLine="498" w:firstLineChars="0"/>
        <w:jc w:val="center"/>
        <w:rPr>
          <w:rFonts w:ascii="宋体" w:hAnsi="宋体"/>
          <w:b/>
          <w:highlight w:val="none"/>
        </w:rPr>
      </w:pPr>
      <w:r>
        <w:rPr>
          <w:rFonts w:hint="eastAsia" w:ascii="宋体" w:hAnsi="宋体"/>
          <w:b/>
          <w:highlight w:val="none"/>
        </w:rPr>
        <w:t>法定代表人</w:t>
      </w:r>
      <w:r>
        <w:rPr>
          <w:rFonts w:ascii="宋体" w:hAnsi="宋体"/>
          <w:b/>
          <w:highlight w:val="none"/>
        </w:rPr>
        <w:t>授权委托书</w:t>
      </w:r>
    </w:p>
    <w:p>
      <w:pPr>
        <w:spacing w:line="360" w:lineRule="exact"/>
        <w:rPr>
          <w:rFonts w:ascii="宋体" w:hAnsi="宋体"/>
          <w:szCs w:val="21"/>
          <w:highlight w:val="none"/>
        </w:rPr>
      </w:pPr>
    </w:p>
    <w:p>
      <w:pPr>
        <w:spacing w:line="360" w:lineRule="exact"/>
        <w:ind w:right="150"/>
        <w:rPr>
          <w:rFonts w:ascii="宋体" w:hAnsi="宋体"/>
          <w:szCs w:val="21"/>
          <w:highlight w:val="none"/>
        </w:rPr>
      </w:pPr>
      <w:r>
        <w:rPr>
          <w:rFonts w:ascii="宋体" w:hAnsi="宋体"/>
          <w:szCs w:val="21"/>
          <w:highlight w:val="none"/>
        </w:rPr>
        <w:t>本授权委托书声明：我（姓名）系（投标单位名称）的法定代表人，现授权委托（姓名）为我公司唯一代理人，以</w:t>
      </w:r>
      <w:r>
        <w:rPr>
          <w:rFonts w:hint="eastAsia" w:ascii="宋体" w:hAnsi="宋体"/>
          <w:szCs w:val="21"/>
          <w:highlight w:val="none"/>
        </w:rPr>
        <w:t>我</w:t>
      </w:r>
      <w:r>
        <w:rPr>
          <w:rFonts w:ascii="宋体" w:hAnsi="宋体"/>
          <w:szCs w:val="21"/>
          <w:highlight w:val="none"/>
        </w:rPr>
        <w:t>公司的名义参加</w:t>
      </w:r>
      <w:r>
        <w:rPr>
          <w:rFonts w:hint="eastAsia" w:ascii="宋体" w:hAnsi="宋体"/>
          <w:szCs w:val="21"/>
          <w:highlight w:val="none"/>
        </w:rPr>
        <w:t>项目</w:t>
      </w:r>
      <w:r>
        <w:rPr>
          <w:rFonts w:ascii="宋体" w:hAnsi="宋体"/>
          <w:szCs w:val="21"/>
          <w:highlight w:val="none"/>
        </w:rPr>
        <w:t>的投标活动。代理人</w:t>
      </w:r>
      <w:r>
        <w:rPr>
          <w:rFonts w:hint="eastAsia" w:ascii="宋体" w:hAnsi="宋体"/>
          <w:szCs w:val="21"/>
          <w:highlight w:val="none"/>
        </w:rPr>
        <w:t>代表我公司签署投标文件、</w:t>
      </w:r>
      <w:r>
        <w:rPr>
          <w:rFonts w:ascii="宋体" w:hAnsi="宋体"/>
          <w:szCs w:val="21"/>
          <w:highlight w:val="none"/>
        </w:rPr>
        <w:t>开标、评标、</w:t>
      </w:r>
      <w:r>
        <w:rPr>
          <w:rFonts w:hint="eastAsia" w:ascii="宋体" w:hAnsi="宋体"/>
          <w:szCs w:val="21"/>
          <w:highlight w:val="none"/>
        </w:rPr>
        <w:t>进行</w:t>
      </w:r>
      <w:r>
        <w:rPr>
          <w:rFonts w:ascii="宋体" w:hAnsi="宋体"/>
          <w:szCs w:val="21"/>
          <w:highlight w:val="none"/>
        </w:rPr>
        <w:t>合同谈判</w:t>
      </w:r>
      <w:r>
        <w:rPr>
          <w:rFonts w:hint="eastAsia" w:ascii="宋体" w:hAnsi="宋体"/>
          <w:szCs w:val="21"/>
          <w:highlight w:val="none"/>
        </w:rPr>
        <w:t>、签订合同和处理与之有关</w:t>
      </w:r>
      <w:r>
        <w:rPr>
          <w:rFonts w:ascii="宋体" w:hAnsi="宋体"/>
          <w:szCs w:val="21"/>
          <w:highlight w:val="none"/>
        </w:rPr>
        <w:t>的一切事务，我</w:t>
      </w:r>
      <w:r>
        <w:rPr>
          <w:rFonts w:hint="eastAsia" w:ascii="宋体" w:hAnsi="宋体"/>
          <w:szCs w:val="21"/>
          <w:highlight w:val="none"/>
        </w:rPr>
        <w:t>公司</w:t>
      </w:r>
      <w:r>
        <w:rPr>
          <w:rFonts w:ascii="宋体" w:hAnsi="宋体"/>
          <w:szCs w:val="21"/>
          <w:highlight w:val="none"/>
        </w:rPr>
        <w:t>均予以承认。</w:t>
      </w:r>
      <w:r>
        <w:rPr>
          <w:rFonts w:hint="eastAsia" w:ascii="宋体" w:hAnsi="宋体"/>
          <w:szCs w:val="21"/>
          <w:highlight w:val="none"/>
        </w:rPr>
        <w:t>代理人的签名真迹如本授权委托书末尾所示。</w:t>
      </w:r>
    </w:p>
    <w:p>
      <w:pPr>
        <w:pStyle w:val="24"/>
        <w:spacing w:line="360" w:lineRule="exact"/>
        <w:ind w:firstLine="420" w:firstLineChars="200"/>
        <w:rPr>
          <w:szCs w:val="21"/>
          <w:highlight w:val="none"/>
        </w:rPr>
      </w:pPr>
      <w:r>
        <w:rPr>
          <w:szCs w:val="21"/>
          <w:highlight w:val="none"/>
        </w:rPr>
        <w:t>代理人无</w:t>
      </w:r>
      <w:r>
        <w:rPr>
          <w:rFonts w:hint="eastAsia"/>
          <w:szCs w:val="21"/>
          <w:highlight w:val="none"/>
        </w:rPr>
        <w:t>权将代理权</w:t>
      </w:r>
      <w:r>
        <w:rPr>
          <w:szCs w:val="21"/>
          <w:highlight w:val="none"/>
        </w:rPr>
        <w:t>转委</w:t>
      </w:r>
      <w:r>
        <w:rPr>
          <w:rFonts w:hint="eastAsia"/>
          <w:szCs w:val="21"/>
          <w:highlight w:val="none"/>
        </w:rPr>
        <w:t>托</w:t>
      </w:r>
      <w:r>
        <w:rPr>
          <w:szCs w:val="21"/>
          <w:highlight w:val="none"/>
        </w:rPr>
        <w:t>。特此委托。</w:t>
      </w:r>
    </w:p>
    <w:p>
      <w:pPr>
        <w:pStyle w:val="17"/>
        <w:spacing w:line="360" w:lineRule="exact"/>
        <w:ind w:firstLine="4131" w:firstLineChars="850"/>
        <w:rPr>
          <w:rFonts w:ascii="宋体" w:hAnsi="宋体"/>
          <w:szCs w:val="21"/>
          <w:highlight w:val="none"/>
        </w:rPr>
      </w:pPr>
    </w:p>
    <w:p>
      <w:pPr>
        <w:pStyle w:val="17"/>
        <w:spacing w:line="440" w:lineRule="exact"/>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授权委托</w:t>
      </w:r>
      <w:r>
        <w:rPr>
          <w:rFonts w:ascii="宋体" w:hAnsi="宋体" w:eastAsia="宋体"/>
          <w:b w:val="0"/>
          <w:color w:val="auto"/>
          <w:sz w:val="21"/>
          <w:szCs w:val="21"/>
          <w:highlight w:val="none"/>
        </w:rPr>
        <w:t>单位（盖章）</w:t>
      </w:r>
      <w:r>
        <w:rPr>
          <w:rFonts w:hint="eastAsia" w:ascii="宋体" w:hAnsi="宋体" w:eastAsia="宋体"/>
          <w:b w:val="0"/>
          <w:color w:val="auto"/>
          <w:sz w:val="21"/>
          <w:szCs w:val="21"/>
          <w:highlight w:val="none"/>
        </w:rPr>
        <w:t>：                                                   投标代理人（签名）：</w:t>
      </w:r>
    </w:p>
    <w:p>
      <w:pPr>
        <w:pStyle w:val="17"/>
        <w:spacing w:line="440" w:lineRule="exact"/>
        <w:rPr>
          <w:rFonts w:ascii="宋体" w:hAnsi="宋体" w:eastAsia="宋体"/>
          <w:b w:val="0"/>
          <w:color w:val="auto"/>
          <w:sz w:val="21"/>
          <w:szCs w:val="21"/>
          <w:highlight w:val="none"/>
        </w:rPr>
      </w:pPr>
      <w:r>
        <w:rPr>
          <w:rFonts w:ascii="宋体" w:hAnsi="宋体" w:eastAsia="宋体"/>
          <w:b w:val="0"/>
          <w:color w:val="auto"/>
          <w:sz w:val="21"/>
          <w:szCs w:val="21"/>
          <w:highlight w:val="none"/>
        </w:rPr>
        <w:t>法定代表人：（签字</w:t>
      </w:r>
      <w:r>
        <w:rPr>
          <w:rFonts w:hint="eastAsia" w:ascii="宋体" w:hAnsi="宋体" w:eastAsia="宋体"/>
          <w:b w:val="0"/>
          <w:color w:val="auto"/>
          <w:sz w:val="21"/>
          <w:szCs w:val="21"/>
          <w:highlight w:val="none"/>
        </w:rPr>
        <w:t>或盖章</w:t>
      </w:r>
      <w:r>
        <w:rPr>
          <w:rFonts w:ascii="宋体" w:hAnsi="宋体" w:eastAsia="宋体"/>
          <w:b w:val="0"/>
          <w:color w:val="auto"/>
          <w:sz w:val="21"/>
          <w:szCs w:val="21"/>
          <w:highlight w:val="none"/>
        </w:rPr>
        <w:t>）</w:t>
      </w:r>
      <w:r>
        <w:rPr>
          <w:rFonts w:hint="eastAsia" w:ascii="宋体" w:hAnsi="宋体" w:eastAsia="宋体"/>
          <w:b w:val="0"/>
          <w:color w:val="auto"/>
          <w:sz w:val="21"/>
          <w:szCs w:val="21"/>
          <w:highlight w:val="none"/>
        </w:rPr>
        <w:t xml:space="preserve">                                              身份证号码：</w:t>
      </w:r>
    </w:p>
    <w:p>
      <w:pPr>
        <w:pStyle w:val="17"/>
        <w:spacing w:line="440" w:lineRule="exact"/>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地址：                                                                       所在单位：</w:t>
      </w:r>
    </w:p>
    <w:p>
      <w:pPr>
        <w:pStyle w:val="17"/>
        <w:spacing w:line="440" w:lineRule="exact"/>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电话：                                                                       联系电话：</w:t>
      </w:r>
    </w:p>
    <w:p>
      <w:pPr>
        <w:ind w:firstLine="902"/>
        <w:rPr>
          <w:rFonts w:ascii="宋体" w:hAnsi="宋体"/>
          <w:szCs w:val="21"/>
          <w:highlight w:val="none"/>
        </w:rPr>
      </w:pPr>
    </w:p>
    <w:p>
      <w:pPr>
        <w:rPr>
          <w:rFonts w:ascii="宋体" w:hAnsi="宋体"/>
          <w:szCs w:val="21"/>
          <w:highlight w:val="none"/>
        </w:rPr>
      </w:pPr>
      <w:r>
        <w:rPr>
          <w:rFonts w:hint="eastAsia" w:ascii="宋体" w:hAnsi="宋体"/>
          <w:szCs w:val="21"/>
          <w:highlight w:val="none"/>
        </w:rPr>
        <w:t>日期：   年   月   日</w:t>
      </w:r>
    </w:p>
    <w:p>
      <w:pPr>
        <w:ind w:firstLine="902"/>
        <w:rPr>
          <w:rFonts w:ascii="宋体" w:hAnsi="宋体"/>
          <w:szCs w:val="21"/>
          <w:highlight w:val="none"/>
        </w:rPr>
      </w:pPr>
    </w:p>
    <w:p>
      <w:pPr>
        <w:ind w:firstLine="902"/>
        <w:rPr>
          <w:rFonts w:ascii="宋体" w:hAnsi="宋体"/>
          <w:szCs w:val="21"/>
          <w:highlight w:val="none"/>
        </w:rPr>
      </w:pPr>
      <w:r>
        <w:rPr>
          <w:highlight w:val="none"/>
        </w:rPr>
        <mc:AlternateContent>
          <mc:Choice Requires="wps">
            <w:drawing>
              <wp:anchor distT="0" distB="0" distL="114300" distR="114300" simplePos="0" relativeHeight="251693056" behindDoc="0" locked="0" layoutInCell="1" allowOverlap="1">
                <wp:simplePos x="0" y="0"/>
                <wp:positionH relativeFrom="column">
                  <wp:posOffset>-92710</wp:posOffset>
                </wp:positionH>
                <wp:positionV relativeFrom="paragraph">
                  <wp:posOffset>77470</wp:posOffset>
                </wp:positionV>
                <wp:extent cx="3633470" cy="1820545"/>
                <wp:effectExtent l="4445" t="4445" r="19685" b="22860"/>
                <wp:wrapNone/>
                <wp:docPr id="12" name="流程图: 可选过程 4"/>
                <wp:cNvGraphicFramePr/>
                <a:graphic xmlns:a="http://schemas.openxmlformats.org/drawingml/2006/main">
                  <a:graphicData uri="http://schemas.microsoft.com/office/word/2010/wordprocessingShape">
                    <wps:wsp>
                      <wps:cNvSpPr>
                        <a:spLocks noChangeArrowheads="1"/>
                      </wps:cNvSpPr>
                      <wps:spPr bwMode="auto">
                        <a:xfrm>
                          <a:off x="1113790" y="6308090"/>
                          <a:ext cx="3633470" cy="1820545"/>
                        </a:xfrm>
                        <a:prstGeom prst="flowChartAlternateProcess">
                          <a:avLst/>
                        </a:prstGeom>
                        <a:solidFill>
                          <a:srgbClr val="FFFFFF"/>
                        </a:solidFill>
                        <a:ln w="9525">
                          <a:solidFill>
                            <a:srgbClr val="000000"/>
                          </a:solidFill>
                          <a:miter lim="800000"/>
                        </a:ln>
                        <a:effectLst/>
                      </wps:spPr>
                      <wps:txbx>
                        <w:txbxContent>
                          <w:p>
                            <w:pPr>
                              <w:jc w:val="center"/>
                              <w:rPr>
                                <w:rFonts w:hAnsi="宋体"/>
                                <w:sz w:val="24"/>
                              </w:rPr>
                            </w:pPr>
                          </w:p>
                          <w:p>
                            <w:pPr>
                              <w:jc w:val="center"/>
                              <w:rPr>
                                <w:rFonts w:hAnsi="宋体"/>
                                <w:sz w:val="28"/>
                                <w:szCs w:val="28"/>
                              </w:rPr>
                            </w:pPr>
                            <w:r>
                              <w:rPr>
                                <w:rFonts w:hint="eastAsia" w:hAnsi="宋体"/>
                                <w:sz w:val="28"/>
                                <w:szCs w:val="28"/>
                              </w:rPr>
                              <w:t>法人授权代理人身份证复印件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请投标人务必提供本身份证复印件正面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7.3pt;margin-top:6.1pt;height:143.35pt;width:286.1pt;z-index:251693056;mso-width-relative:page;mso-height-relative:page;" fillcolor="#FFFFFF" filled="t" stroked="t" coordsize="21600,21600" o:gfxdata="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eRwvfYAAAA&#10;CgEAAA8AAAAAAAAAAQAgAAAAIgAAAGRycy9kb3ducmV2LnhtbFBLAQIUABQAAAAIAIdO4kAX0n1v&#10;VgIAAG4EAAAOAAAAAAAAAAEAIAAAACcBAABkcnMvZTJvRG9jLnhtbFBLBQYAAAAABgAGAFkBAADv&#10;BQAAAAA=&#10;">
                <v:fill on="t" focussize="0,0"/>
                <v:stroke color="#000000" miterlimit="8" joinstyle="miter"/>
                <v:imagedata o:title=""/>
                <o:lock v:ext="edit" aspectratio="f"/>
                <v:textbox>
                  <w:txbxContent>
                    <w:p>
                      <w:pPr>
                        <w:jc w:val="center"/>
                        <w:rPr>
                          <w:rFonts w:hAnsi="宋体"/>
                          <w:sz w:val="24"/>
                        </w:rPr>
                      </w:pPr>
                    </w:p>
                    <w:p>
                      <w:pPr>
                        <w:jc w:val="center"/>
                        <w:rPr>
                          <w:rFonts w:hAnsi="宋体"/>
                          <w:sz w:val="28"/>
                          <w:szCs w:val="28"/>
                        </w:rPr>
                      </w:pPr>
                      <w:r>
                        <w:rPr>
                          <w:rFonts w:hint="eastAsia" w:hAnsi="宋体"/>
                          <w:sz w:val="28"/>
                          <w:szCs w:val="28"/>
                        </w:rPr>
                        <w:t>法人授权代理人身份证复印件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请投标人务必提供本身份证复印件正面</w:t>
                      </w:r>
                      <w:r>
                        <w:rPr>
                          <w:rFonts w:ascii="宋体" w:hAnsi="宋体"/>
                          <w:b/>
                          <w:sz w:val="28"/>
                          <w:szCs w:val="28"/>
                        </w:rPr>
                        <w:t>)</w:t>
                      </w:r>
                    </w:p>
                    <w:p>
                      <w:pPr>
                        <w:jc w:val="center"/>
                        <w:rPr>
                          <w:szCs w:val="21"/>
                        </w:rPr>
                      </w:pPr>
                    </w:p>
                  </w:txbxContent>
                </v:textbox>
              </v:shape>
            </w:pict>
          </mc:Fallback>
        </mc:AlternateContent>
      </w: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r>
        <w:rPr>
          <w:highlight w:val="none"/>
        </w:rPr>
        <mc:AlternateContent>
          <mc:Choice Requires="wps">
            <w:drawing>
              <wp:anchor distT="0" distB="0" distL="114300" distR="114300" simplePos="0" relativeHeight="251699200" behindDoc="0" locked="0" layoutInCell="1" allowOverlap="1">
                <wp:simplePos x="0" y="0"/>
                <wp:positionH relativeFrom="column">
                  <wp:posOffset>-93980</wp:posOffset>
                </wp:positionH>
                <wp:positionV relativeFrom="paragraph">
                  <wp:posOffset>168275</wp:posOffset>
                </wp:positionV>
                <wp:extent cx="3617595" cy="1748790"/>
                <wp:effectExtent l="4445" t="4445" r="16510" b="18415"/>
                <wp:wrapNone/>
                <wp:docPr id="13" name="流程图: 可选过程 3"/>
                <wp:cNvGraphicFramePr/>
                <a:graphic xmlns:a="http://schemas.openxmlformats.org/drawingml/2006/main">
                  <a:graphicData uri="http://schemas.microsoft.com/office/word/2010/wordprocessingShape">
                    <wps:wsp>
                      <wps:cNvSpPr>
                        <a:spLocks noChangeArrowheads="1"/>
                      </wps:cNvSpPr>
                      <wps:spPr bwMode="auto">
                        <a:xfrm>
                          <a:off x="1168400" y="8328025"/>
                          <a:ext cx="3617595" cy="1621790"/>
                        </a:xfrm>
                        <a:prstGeom prst="flowChartAlternateProcess">
                          <a:avLst/>
                        </a:prstGeom>
                        <a:solidFill>
                          <a:srgbClr val="FFFFFF"/>
                        </a:solidFill>
                        <a:ln w="9525">
                          <a:solidFill>
                            <a:srgbClr val="000000"/>
                          </a:solidFill>
                          <a:miter lim="800000"/>
                        </a:ln>
                        <a:effectLst/>
                      </wps:spPr>
                      <wps:txbx>
                        <w:txbxContent>
                          <w:p>
                            <w:pPr>
                              <w:jc w:val="center"/>
                              <w:rPr>
                                <w:rFonts w:hAnsi="宋体"/>
                                <w:sz w:val="28"/>
                                <w:szCs w:val="28"/>
                              </w:rPr>
                            </w:pPr>
                            <w:r>
                              <w:rPr>
                                <w:rFonts w:hint="eastAsia" w:hAnsi="宋体"/>
                                <w:sz w:val="28"/>
                                <w:szCs w:val="28"/>
                              </w:rPr>
                              <w:t>法人授权代理人身份证复印件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请投标人务必提供本身份证复印件背面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3" o:spid="_x0000_s1026" o:spt="176" type="#_x0000_t176" style="position:absolute;left:0pt;margin-left:-7.4pt;margin-top:13.25pt;height:137.7pt;width:284.85pt;z-index:251699200;mso-width-relative:page;mso-height-relative:page;" fillcolor="#FFFFFF" filled="t" stroked="t" coordsize="21600,21600" o:gfxdata="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7GudHZAAAA&#10;CgEAAA8AAAAAAAAAAQAgAAAAIgAAAGRycy9kb3ducmV2LnhtbFBLAQIUABQAAAAIAIdO4kDH+vCI&#10;VQIAAG4EAAAOAAAAAAAAAAEAIAAAACgBAABkcnMvZTJvRG9jLnhtbFBLBQYAAAAABgAGAFkBAADv&#10;BQAAAAA=&#10;">
                <v:fill on="t" focussize="0,0"/>
                <v:stroke color="#000000" miterlimit="8" joinstyle="miter"/>
                <v:imagedata o:title=""/>
                <o:lock v:ext="edit" aspectratio="f"/>
                <v:textbox>
                  <w:txbxContent>
                    <w:p>
                      <w:pPr>
                        <w:jc w:val="center"/>
                        <w:rPr>
                          <w:rFonts w:hAnsi="宋体"/>
                          <w:sz w:val="28"/>
                          <w:szCs w:val="28"/>
                        </w:rPr>
                      </w:pPr>
                      <w:r>
                        <w:rPr>
                          <w:rFonts w:hint="eastAsia" w:hAnsi="宋体"/>
                          <w:sz w:val="28"/>
                          <w:szCs w:val="28"/>
                        </w:rPr>
                        <w:t>法人授权代理人身份证复印件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请投标人务必提供本身份证复印件背面</w:t>
                      </w:r>
                      <w:r>
                        <w:rPr>
                          <w:rFonts w:ascii="宋体" w:hAnsi="宋体"/>
                          <w:b/>
                          <w:sz w:val="28"/>
                          <w:szCs w:val="28"/>
                        </w:rPr>
                        <w:t>)</w:t>
                      </w:r>
                    </w:p>
                    <w:p>
                      <w:pPr>
                        <w:jc w:val="center"/>
                        <w:rPr>
                          <w:szCs w:val="21"/>
                        </w:rPr>
                      </w:pPr>
                    </w:p>
                  </w:txbxContent>
                </v:textbox>
              </v:shape>
            </w:pict>
          </mc:Fallback>
        </mc:AlternateContent>
      </w: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rPr>
          <w:rFonts w:ascii="宋体" w:hAnsi="宋体"/>
          <w:b/>
          <w:highlight w:val="none"/>
        </w:rPr>
      </w:pPr>
      <w:r>
        <w:rPr>
          <w:rFonts w:hint="eastAsia" w:ascii="宋体" w:hAnsi="宋体"/>
          <w:b/>
          <w:highlight w:val="none"/>
        </w:rPr>
        <w:t>注：授权委托书亦可采用工商行政管理局统一制订的格式。</w:t>
      </w:r>
    </w:p>
    <w:p>
      <w:pPr>
        <w:jc w:val="left"/>
        <w:rPr>
          <w:rFonts w:ascii="黑体" w:hAnsi="黑体" w:eastAsia="黑体"/>
          <w:b/>
          <w:sz w:val="24"/>
          <w:highlight w:val="none"/>
        </w:rPr>
      </w:pPr>
      <w:bookmarkStart w:id="470" w:name="_Toc398839797"/>
      <w:bookmarkStart w:id="471" w:name="_Toc403131969"/>
      <w:r>
        <w:rPr>
          <w:rFonts w:hint="eastAsia" w:ascii="黑体" w:hAnsi="黑体" w:eastAsia="黑体"/>
          <w:b/>
          <w:sz w:val="24"/>
          <w:highlight w:val="none"/>
        </w:rPr>
        <w:t>格式5：承诺书</w:t>
      </w:r>
    </w:p>
    <w:p>
      <w:pPr>
        <w:jc w:val="center"/>
        <w:rPr>
          <w:b/>
          <w:sz w:val="24"/>
          <w:highlight w:val="none"/>
        </w:rPr>
      </w:pPr>
      <w:r>
        <w:rPr>
          <w:rFonts w:hint="eastAsia"/>
          <w:b/>
          <w:sz w:val="24"/>
          <w:highlight w:val="none"/>
        </w:rPr>
        <w:t>投标承诺书</w:t>
      </w:r>
      <w:bookmarkEnd w:id="470"/>
      <w:bookmarkEnd w:id="471"/>
    </w:p>
    <w:p>
      <w:pPr>
        <w:spacing w:line="360" w:lineRule="auto"/>
        <w:rPr>
          <w:rFonts w:ascii="宋体" w:hAnsi="宋体"/>
          <w:highlight w:val="none"/>
        </w:rPr>
      </w:pPr>
    </w:p>
    <w:p>
      <w:pPr>
        <w:spacing w:line="360" w:lineRule="auto"/>
        <w:rPr>
          <w:rFonts w:ascii="宋体" w:hAnsi="宋体"/>
          <w:szCs w:val="30"/>
          <w:highlight w:val="none"/>
        </w:rPr>
      </w:pPr>
      <w:r>
        <w:rPr>
          <w:rFonts w:hint="eastAsia" w:ascii="宋体" w:hAnsi="宋体"/>
          <w:highlight w:val="none"/>
        </w:rPr>
        <w:t>致：</w:t>
      </w:r>
      <w:r>
        <w:rPr>
          <w:rFonts w:hint="eastAsia" w:ascii="宋体" w:hAnsi="宋体"/>
          <w:highlight w:val="none"/>
          <w:u w:val="single"/>
        </w:rPr>
        <w:t>佛山市恒益环保建材有限公司</w:t>
      </w:r>
    </w:p>
    <w:p>
      <w:pPr>
        <w:spacing w:line="360" w:lineRule="auto"/>
        <w:ind w:firstLine="390" w:firstLineChars="186"/>
        <w:rPr>
          <w:rFonts w:ascii="宋体" w:hAnsi="宋体"/>
          <w:highlight w:val="none"/>
        </w:rPr>
      </w:pPr>
      <w:r>
        <w:rPr>
          <w:rFonts w:hint="eastAsia" w:ascii="宋体" w:hAnsi="宋体"/>
          <w:highlight w:val="none"/>
        </w:rPr>
        <w:t>根据你们第</w:t>
      </w:r>
      <w:r>
        <w:rPr>
          <w:rFonts w:hint="eastAsia" w:ascii="宋体" w:hAnsi="宋体"/>
          <w:highlight w:val="none"/>
          <w:u w:val="single"/>
        </w:rPr>
        <w:t>（招标编号）</w:t>
      </w:r>
      <w:r>
        <w:rPr>
          <w:rFonts w:hint="eastAsia" w:ascii="宋体" w:hAnsi="宋体"/>
          <w:highlight w:val="none"/>
        </w:rPr>
        <w:t>号</w:t>
      </w:r>
      <w:r>
        <w:rPr>
          <w:rFonts w:hint="eastAsia" w:ascii="宋体" w:hAnsi="宋体"/>
          <w:highlight w:val="none"/>
          <w:u w:val="single"/>
        </w:rPr>
        <w:t>佛山市恒益环保建材有限公司加气砌块生产辅助业务外项目</w:t>
      </w:r>
      <w:r>
        <w:rPr>
          <w:rFonts w:hint="eastAsia" w:ascii="宋体" w:hAnsi="宋体"/>
          <w:highlight w:val="none"/>
        </w:rPr>
        <w:t>的招标文件要求，</w:t>
      </w:r>
      <w:r>
        <w:rPr>
          <w:rFonts w:hint="eastAsia" w:ascii="宋体" w:hAnsi="宋体"/>
          <w:highlight w:val="none"/>
          <w:u w:val="single"/>
        </w:rPr>
        <w:t xml:space="preserve">  （全名及职衔）</w:t>
      </w:r>
      <w:r>
        <w:rPr>
          <w:rFonts w:hint="eastAsia" w:ascii="宋体" w:hAnsi="宋体"/>
          <w:highlight w:val="none"/>
        </w:rPr>
        <w:t>经正式授权并以投标人为</w:t>
      </w:r>
      <w:r>
        <w:rPr>
          <w:rFonts w:hint="eastAsia" w:ascii="宋体" w:hAnsi="宋体"/>
          <w:highlight w:val="none"/>
          <w:u w:val="single"/>
        </w:rPr>
        <w:t>（投标人名称）</w:t>
      </w:r>
      <w:r>
        <w:rPr>
          <w:rFonts w:hint="eastAsia" w:ascii="宋体" w:hAnsi="宋体"/>
          <w:highlight w:val="none"/>
        </w:rPr>
        <w:t>的名义投标。提交投标文件：1份正本（含电子文件</w:t>
      </w:r>
      <w:r>
        <w:rPr>
          <w:rFonts w:hint="eastAsia" w:ascii="宋体" w:hAnsi="宋体"/>
          <w:highlight w:val="none"/>
          <w:u w:val="single"/>
        </w:rPr>
        <w:t>两</w:t>
      </w:r>
      <w:r>
        <w:rPr>
          <w:rFonts w:hint="eastAsia" w:ascii="宋体" w:hAnsi="宋体"/>
          <w:highlight w:val="none"/>
        </w:rPr>
        <w:t>套），</w:t>
      </w:r>
      <w:r>
        <w:rPr>
          <w:rFonts w:hint="eastAsia" w:ascii="宋体" w:hAnsi="宋体"/>
          <w:highlight w:val="none"/>
          <w:u w:val="single"/>
        </w:rPr>
        <w:t>4</w:t>
      </w:r>
      <w:r>
        <w:rPr>
          <w:rFonts w:hint="eastAsia" w:ascii="宋体" w:hAnsi="宋体"/>
          <w:highlight w:val="none"/>
        </w:rPr>
        <w:t>份副本。</w:t>
      </w:r>
    </w:p>
    <w:p>
      <w:pPr>
        <w:spacing w:line="360" w:lineRule="auto"/>
        <w:ind w:firstLine="315" w:firstLineChars="150"/>
        <w:rPr>
          <w:rFonts w:ascii="宋体" w:hAnsi="宋体"/>
          <w:highlight w:val="none"/>
        </w:rPr>
      </w:pPr>
      <w:r>
        <w:rPr>
          <w:rFonts w:hint="eastAsia" w:ascii="宋体" w:hAnsi="宋体"/>
          <w:highlight w:val="none"/>
        </w:rPr>
        <w:t>签字代表在此声明并同意：</w:t>
      </w:r>
    </w:p>
    <w:p>
      <w:pPr>
        <w:spacing w:line="360" w:lineRule="auto"/>
        <w:ind w:firstLine="315" w:firstLineChars="150"/>
        <w:rPr>
          <w:rFonts w:ascii="宋体" w:hAnsi="宋体"/>
          <w:highlight w:val="none"/>
        </w:rPr>
      </w:pPr>
      <w:r>
        <w:rPr>
          <w:rFonts w:hint="eastAsia" w:ascii="宋体" w:hAnsi="宋体"/>
          <w:highlight w:val="none"/>
        </w:rPr>
        <w:t>1、我们愿意遵守招标文件的各项规定，提供符合“招标文件”所要求的资料。</w:t>
      </w:r>
      <w:r>
        <w:rPr>
          <w:rFonts w:hint="eastAsia" w:ascii="宋体" w:hAnsi="宋体"/>
          <w:szCs w:val="21"/>
          <w:highlight w:val="none"/>
        </w:rPr>
        <w:t>业务外包期限为：</w:t>
      </w:r>
      <w:r>
        <w:rPr>
          <w:rFonts w:hint="eastAsia" w:ascii="宋体" w:hAnsi="宋体"/>
          <w:highlight w:val="none"/>
          <w:u w:val="single"/>
        </w:rPr>
        <w:t>24个月，</w:t>
      </w:r>
      <w:r>
        <w:rPr>
          <w:rFonts w:hint="eastAsia" w:ascii="宋体" w:hAnsi="宋体"/>
          <w:highlight w:val="none"/>
        </w:rPr>
        <w:t>。</w:t>
      </w:r>
    </w:p>
    <w:p>
      <w:pPr>
        <w:spacing w:line="360" w:lineRule="auto"/>
        <w:ind w:firstLine="315" w:firstLineChars="150"/>
        <w:rPr>
          <w:rFonts w:ascii="宋体" w:hAnsi="宋体"/>
          <w:highlight w:val="none"/>
        </w:rPr>
      </w:pPr>
      <w:r>
        <w:rPr>
          <w:rFonts w:hint="eastAsia" w:ascii="宋体" w:hAnsi="宋体"/>
          <w:highlight w:val="none"/>
        </w:rPr>
        <w:t>2、我们同意本投标自投标截止之日起120天内有效。如果我们的投标被接受，则直至合同生效时止，本投标始终有效。</w:t>
      </w:r>
    </w:p>
    <w:p>
      <w:pPr>
        <w:spacing w:line="360" w:lineRule="auto"/>
        <w:ind w:firstLine="315" w:firstLineChars="150"/>
        <w:rPr>
          <w:rFonts w:ascii="宋体" w:hAnsi="宋体"/>
          <w:highlight w:val="none"/>
        </w:rPr>
      </w:pPr>
      <w:r>
        <w:rPr>
          <w:rFonts w:hint="eastAsia" w:ascii="宋体" w:hAnsi="宋体"/>
          <w:highlight w:val="none"/>
        </w:rPr>
        <w:t>3、我们已经详细地阅读了全部招标文件及附件，包括澄清及参考文件（如果有的话），我们完全理解并同意放弃对这方面有不明及误解的权利。</w:t>
      </w:r>
    </w:p>
    <w:p>
      <w:pPr>
        <w:spacing w:line="360" w:lineRule="auto"/>
        <w:ind w:firstLine="315" w:firstLineChars="150"/>
        <w:rPr>
          <w:rFonts w:ascii="宋体" w:hAnsi="宋体"/>
          <w:highlight w:val="none"/>
        </w:rPr>
      </w:pPr>
      <w:r>
        <w:rPr>
          <w:rFonts w:hint="eastAsia" w:ascii="宋体" w:hAnsi="宋体"/>
          <w:highlight w:val="none"/>
        </w:rPr>
        <w:t>4、本投标人如果中标，将保证履行招标文件以及招标文件澄清修改文件（如果有的话）中的全部责任和义务，按质、按量、按期全面履行《合同书》中的全部责任和义务。</w:t>
      </w:r>
    </w:p>
    <w:p>
      <w:pPr>
        <w:spacing w:line="360" w:lineRule="auto"/>
        <w:ind w:firstLine="315" w:firstLineChars="150"/>
        <w:rPr>
          <w:rFonts w:ascii="宋体" w:hAnsi="宋体"/>
          <w:highlight w:val="none"/>
        </w:rPr>
      </w:pPr>
      <w:r>
        <w:rPr>
          <w:rFonts w:hint="eastAsia" w:ascii="宋体" w:hAnsi="宋体"/>
          <w:highlight w:val="none"/>
        </w:rPr>
        <w:t>5、</w:t>
      </w:r>
      <w:r>
        <w:rPr>
          <w:rFonts w:hint="eastAsia" w:ascii="宋体" w:hAnsi="宋体"/>
          <w:szCs w:val="21"/>
          <w:highlight w:val="none"/>
        </w:rPr>
        <w:t>本投标人如果中标，将按照招标人招标范围提供业务承包工作，并保证各项工作符合招标文件的要求。</w:t>
      </w:r>
    </w:p>
    <w:p>
      <w:pPr>
        <w:spacing w:line="360" w:lineRule="auto"/>
        <w:ind w:firstLine="315" w:firstLineChars="150"/>
        <w:rPr>
          <w:rFonts w:ascii="宋体" w:hAnsi="宋体"/>
          <w:highlight w:val="none"/>
        </w:rPr>
      </w:pPr>
      <w:r>
        <w:rPr>
          <w:rFonts w:hint="eastAsia" w:ascii="宋体" w:hAnsi="宋体"/>
          <w:highlight w:val="none"/>
        </w:rPr>
        <w:t>6、</w:t>
      </w:r>
      <w:r>
        <w:rPr>
          <w:rFonts w:hint="eastAsia" w:ascii="宋体" w:hAnsi="宋体"/>
          <w:szCs w:val="21"/>
          <w:highlight w:val="none"/>
        </w:rPr>
        <w:t>在合同执行过程中，由于投标人的原因，若投标人不能履行、或者有事实和行为表明投标人不能履行合同中相关义务时，招标单位有权选择与投标人解除合同，同时有权要求投标人按合同的有关条款的要求予以经济赔偿，并负相应的经济和法律责任，赔偿款从合同履约保证金中扣除，不足部分负责补足。</w:t>
      </w:r>
    </w:p>
    <w:p>
      <w:pPr>
        <w:spacing w:line="360" w:lineRule="auto"/>
        <w:ind w:firstLine="315" w:firstLineChars="150"/>
        <w:rPr>
          <w:rFonts w:ascii="宋体" w:hAnsi="宋体"/>
          <w:highlight w:val="none"/>
        </w:rPr>
      </w:pPr>
      <w:r>
        <w:rPr>
          <w:rFonts w:hint="eastAsia" w:ascii="宋体" w:hAnsi="宋体"/>
          <w:highlight w:val="none"/>
        </w:rPr>
        <w:t>7、</w:t>
      </w:r>
      <w:r>
        <w:rPr>
          <w:rFonts w:hint="eastAsia" w:ascii="宋体" w:hAnsi="宋体"/>
          <w:szCs w:val="21"/>
          <w:highlight w:val="none"/>
        </w:rPr>
        <w:t>投标人的投标总报价已考虑到了项目承包具体实施和合同执行过程中的各种不确定因素以及由这些不确定因素所引起的经济和其他风险，并已在投标总报价中考虑了一定的风险系数，如不可预见费。</w:t>
      </w:r>
    </w:p>
    <w:p>
      <w:pPr>
        <w:spacing w:line="360" w:lineRule="auto"/>
        <w:ind w:firstLine="315" w:firstLineChars="150"/>
        <w:rPr>
          <w:rFonts w:ascii="宋体" w:hAnsi="宋体"/>
          <w:highlight w:val="none"/>
        </w:rPr>
      </w:pPr>
      <w:r>
        <w:rPr>
          <w:rFonts w:hint="eastAsia" w:ascii="宋体" w:hAnsi="宋体"/>
          <w:highlight w:val="none"/>
        </w:rPr>
        <w:t>8、投标人的工程建设投标总报价已考虑到了工程实施和合同执行过程中的各种不确定因素以及由这些不确定因素所引起的经济和其他风险，并已在投标总报价中考虑了一定的风险系数，如不可预见费。</w:t>
      </w:r>
    </w:p>
    <w:p>
      <w:pPr>
        <w:spacing w:line="360" w:lineRule="auto"/>
        <w:ind w:firstLine="315" w:firstLineChars="150"/>
        <w:rPr>
          <w:rFonts w:ascii="宋体" w:hAnsi="宋体"/>
          <w:highlight w:val="none"/>
        </w:rPr>
      </w:pPr>
      <w:r>
        <w:rPr>
          <w:rFonts w:hint="eastAsia" w:ascii="宋体" w:hAnsi="宋体"/>
          <w:highlight w:val="none"/>
        </w:rPr>
        <w:t>9、</w:t>
      </w:r>
      <w:r>
        <w:rPr>
          <w:rFonts w:hint="eastAsia" w:ascii="宋体" w:hAnsi="宋体"/>
          <w:szCs w:val="21"/>
          <w:highlight w:val="none"/>
        </w:rPr>
        <w:t>我们同意提供招标单位要求的有关投标的其他资料。</w:t>
      </w:r>
    </w:p>
    <w:p>
      <w:pPr>
        <w:spacing w:line="360" w:lineRule="auto"/>
        <w:ind w:firstLine="315" w:firstLineChars="150"/>
        <w:rPr>
          <w:rFonts w:ascii="宋体" w:hAnsi="宋体"/>
          <w:highlight w:val="none"/>
        </w:rPr>
      </w:pPr>
      <w:r>
        <w:rPr>
          <w:rFonts w:hint="eastAsia" w:ascii="宋体" w:hAnsi="宋体"/>
          <w:highlight w:val="none"/>
        </w:rPr>
        <w:t>10、</w:t>
      </w:r>
      <w:r>
        <w:rPr>
          <w:rFonts w:hint="eastAsia" w:ascii="宋体" w:hAnsi="宋体"/>
          <w:szCs w:val="21"/>
          <w:highlight w:val="none"/>
        </w:rPr>
        <w:t>我司承诺：</w:t>
      </w:r>
      <w:r>
        <w:rPr>
          <w:rFonts w:hint="eastAsia" w:cs="宋体"/>
          <w:kern w:val="0"/>
          <w:szCs w:val="21"/>
          <w:highlight w:val="none"/>
          <w:lang w:val="zh-CN"/>
        </w:rPr>
        <w:t>我司具有</w:t>
      </w:r>
      <w:r>
        <w:rPr>
          <w:rFonts w:hint="eastAsia" w:ascii="宋体" w:hAnsi="宋体"/>
          <w:szCs w:val="21"/>
          <w:highlight w:val="none"/>
        </w:rPr>
        <w:t>良好的银行资信和商业信誉；近三年所承办的同类项目未因自身原因出现过事故；近三年在国内同类项目招投标活动、合同履行、售后服务及产品运行过程中，未受到地市级及以上部门公开通报批评</w:t>
      </w:r>
      <w:r>
        <w:rPr>
          <w:rFonts w:asciiTheme="minorEastAsia" w:hAnsiTheme="minorEastAsia" w:eastAsiaTheme="minorEastAsia"/>
          <w:szCs w:val="21"/>
          <w:highlight w:val="none"/>
        </w:rPr>
        <w:t>；</w:t>
      </w:r>
      <w:r>
        <w:rPr>
          <w:rFonts w:hint="eastAsia" w:cs="宋体"/>
          <w:kern w:val="0"/>
          <w:szCs w:val="21"/>
          <w:highlight w:val="none"/>
          <w:lang w:val="zh-CN"/>
        </w:rPr>
        <w:t>目前没有处于被责令停业或破产状态，且资产未被重组、接管和冻结，没有处于重大诉讼或仲裁，且财务状况良好，对外没有重大债权债务纠纷。如我司在投标或履行合同阶段，出现与上述承诺不符情况，造成贵公司损失的，我司愿意承担相关法律责任。</w:t>
      </w:r>
    </w:p>
    <w:p>
      <w:pPr>
        <w:spacing w:line="360" w:lineRule="auto"/>
        <w:ind w:firstLine="315" w:firstLineChars="150"/>
        <w:rPr>
          <w:rFonts w:ascii="宋体" w:hAnsi="宋体"/>
          <w:highlight w:val="none"/>
        </w:rPr>
      </w:pPr>
      <w:r>
        <w:rPr>
          <w:rFonts w:hint="eastAsia" w:ascii="宋体" w:hAnsi="宋体"/>
          <w:highlight w:val="none"/>
        </w:rPr>
        <w:t>11、我们理解,招标单位与评标委员会并无义务必须接受最低报价的投标或其他任何投标。</w:t>
      </w:r>
    </w:p>
    <w:p>
      <w:pPr>
        <w:spacing w:line="360" w:lineRule="auto"/>
        <w:ind w:firstLine="315" w:firstLineChars="150"/>
        <w:rPr>
          <w:rFonts w:ascii="宋体" w:hAnsi="宋体"/>
          <w:highlight w:val="none"/>
        </w:rPr>
      </w:pPr>
      <w:r>
        <w:rPr>
          <w:rFonts w:hint="eastAsia" w:ascii="宋体" w:hAnsi="宋体"/>
          <w:highlight w:val="none"/>
        </w:rPr>
        <w:t>12、所有有关本次投标的函电请寄：</w:t>
      </w:r>
    </w:p>
    <w:p>
      <w:pPr>
        <w:spacing w:line="360" w:lineRule="auto"/>
        <w:ind w:left="448"/>
        <w:rPr>
          <w:rFonts w:ascii="宋体" w:hAnsi="宋体"/>
          <w:highlight w:val="none"/>
        </w:rPr>
      </w:pPr>
    </w:p>
    <w:p>
      <w:pPr>
        <w:spacing w:line="480" w:lineRule="auto"/>
        <w:ind w:left="420" w:leftChars="200" w:firstLine="420" w:firstLineChars="200"/>
        <w:rPr>
          <w:rFonts w:ascii="宋体" w:hAnsi="宋体"/>
          <w:highlight w:val="none"/>
          <w:u w:val="single"/>
        </w:rPr>
      </w:pPr>
      <w:r>
        <w:rPr>
          <w:rFonts w:hint="eastAsia" w:ascii="宋体" w:hAnsi="宋体"/>
          <w:highlight w:val="none"/>
        </w:rPr>
        <w:t>法定代表人或其委托代理人（签章）：</w:t>
      </w:r>
    </w:p>
    <w:p>
      <w:pPr>
        <w:spacing w:line="480" w:lineRule="auto"/>
        <w:ind w:left="420" w:leftChars="200" w:firstLine="420" w:firstLineChars="200"/>
        <w:rPr>
          <w:rFonts w:ascii="宋体" w:hAnsi="宋体"/>
          <w:highlight w:val="none"/>
        </w:rPr>
      </w:pPr>
      <w:r>
        <w:rPr>
          <w:rFonts w:hint="eastAsia" w:ascii="宋体" w:hAnsi="宋体"/>
          <w:highlight w:val="none"/>
        </w:rPr>
        <w:t>职      务：</w:t>
      </w:r>
    </w:p>
    <w:p>
      <w:pPr>
        <w:spacing w:line="480" w:lineRule="auto"/>
        <w:ind w:left="420" w:leftChars="200" w:firstLine="420" w:firstLineChars="200"/>
        <w:rPr>
          <w:rFonts w:ascii="宋体" w:hAnsi="宋体"/>
          <w:highlight w:val="none"/>
          <w:u w:val="single"/>
        </w:rPr>
      </w:pPr>
      <w:r>
        <w:rPr>
          <w:rFonts w:hint="eastAsia" w:ascii="宋体" w:hAnsi="宋体"/>
          <w:highlight w:val="none"/>
        </w:rPr>
        <w:t>投标人名称：</w:t>
      </w:r>
      <w:r>
        <w:rPr>
          <w:rFonts w:hint="eastAsia" w:ascii="宋体" w:hAnsi="宋体"/>
          <w:highlight w:val="none"/>
          <w:u w:val="single"/>
        </w:rPr>
        <w:t xml:space="preserve"> （公章）                               </w:t>
      </w:r>
    </w:p>
    <w:p>
      <w:pPr>
        <w:ind w:firstLine="840" w:firstLineChars="400"/>
        <w:rPr>
          <w:rFonts w:ascii="宋体" w:hAnsi="宋体"/>
          <w:b/>
          <w:highlight w:val="none"/>
        </w:rPr>
      </w:pPr>
      <w:r>
        <w:rPr>
          <w:rFonts w:hint="eastAsia" w:ascii="宋体" w:hAnsi="宋体"/>
          <w:highlight w:val="none"/>
        </w:rPr>
        <w:t>电话：   传真： 邮编：</w:t>
      </w:r>
    </w:p>
    <w:p>
      <w:pPr>
        <w:pStyle w:val="3"/>
        <w:numPr>
          <w:ilvl w:val="0"/>
          <w:numId w:val="0"/>
        </w:numPr>
        <w:snapToGrid w:val="0"/>
        <w:spacing w:before="120" w:after="120"/>
        <w:jc w:val="left"/>
        <w:rPr>
          <w:rFonts w:ascii="宋体" w:hAnsi="宋体"/>
          <w:b w:val="0"/>
          <w:highlight w:val="none"/>
        </w:rPr>
      </w:pPr>
      <w:r>
        <w:rPr>
          <w:rFonts w:ascii="宋体" w:hAnsi="宋体"/>
          <w:b w:val="0"/>
          <w:highlight w:val="none"/>
        </w:rPr>
        <w:br w:type="page"/>
      </w:r>
    </w:p>
    <w:p>
      <w:pPr>
        <w:jc w:val="left"/>
        <w:rPr>
          <w:rFonts w:ascii="黑体" w:hAnsi="黑体" w:eastAsia="黑体"/>
          <w:b/>
          <w:sz w:val="24"/>
          <w:highlight w:val="none"/>
        </w:rPr>
      </w:pPr>
      <w:bookmarkStart w:id="472" w:name="_Toc489230115"/>
      <w:bookmarkStart w:id="473" w:name="_Toc501919562"/>
      <w:bookmarkStart w:id="474" w:name="_Toc502759852"/>
      <w:bookmarkStart w:id="475" w:name="_Toc8133596"/>
      <w:bookmarkStart w:id="476" w:name="_Toc534757707"/>
      <w:r>
        <w:rPr>
          <w:rFonts w:hint="eastAsia" w:ascii="黑体" w:hAnsi="黑体" w:eastAsia="黑体"/>
          <w:b/>
          <w:sz w:val="24"/>
          <w:highlight w:val="none"/>
        </w:rPr>
        <w:t>格式</w:t>
      </w:r>
      <w:r>
        <w:rPr>
          <w:rFonts w:ascii="黑体" w:hAnsi="黑体" w:eastAsia="黑体"/>
          <w:b/>
          <w:sz w:val="24"/>
          <w:highlight w:val="none"/>
        </w:rPr>
        <w:t>6</w:t>
      </w:r>
      <w:r>
        <w:rPr>
          <w:rFonts w:hint="eastAsia" w:ascii="黑体" w:hAnsi="黑体" w:eastAsia="黑体"/>
          <w:b/>
          <w:sz w:val="24"/>
          <w:highlight w:val="none"/>
        </w:rPr>
        <w:t>：资格审查资料</w:t>
      </w:r>
      <w:bookmarkEnd w:id="472"/>
      <w:bookmarkEnd w:id="473"/>
      <w:bookmarkEnd w:id="474"/>
      <w:bookmarkEnd w:id="475"/>
      <w:bookmarkEnd w:id="476"/>
    </w:p>
    <w:p>
      <w:pPr>
        <w:spacing w:line="360" w:lineRule="auto"/>
        <w:ind w:firstLine="420" w:firstLineChars="200"/>
        <w:rPr>
          <w:rFonts w:hAnsi="宋体"/>
          <w:szCs w:val="21"/>
          <w:highlight w:val="none"/>
        </w:rPr>
      </w:pPr>
    </w:p>
    <w:p>
      <w:pPr>
        <w:pStyle w:val="22"/>
        <w:spacing w:after="120" w:line="360" w:lineRule="auto"/>
        <w:ind w:firstLine="643" w:firstLineChars="200"/>
        <w:jc w:val="center"/>
        <w:rPr>
          <w:rFonts w:hAnsi="宋体"/>
          <w:szCs w:val="21"/>
          <w:highlight w:val="none"/>
        </w:rPr>
      </w:pPr>
      <w:r>
        <w:rPr>
          <w:rFonts w:hint="eastAsia" w:ascii="Arial" w:hAnsi="Arial" w:eastAsia="黑体"/>
          <w:b/>
          <w:bCs/>
          <w:sz w:val="32"/>
          <w:szCs w:val="32"/>
          <w:highlight w:val="none"/>
        </w:rPr>
        <w:t>资格审查资料</w:t>
      </w:r>
    </w:p>
    <w:p>
      <w:pPr>
        <w:spacing w:line="360" w:lineRule="auto"/>
        <w:ind w:firstLine="420" w:firstLineChars="200"/>
        <w:rPr>
          <w:rFonts w:hAnsi="宋体"/>
          <w:szCs w:val="21"/>
          <w:highlight w:val="none"/>
        </w:rPr>
      </w:pPr>
    </w:p>
    <w:p>
      <w:pPr>
        <w:jc w:val="left"/>
        <w:rPr>
          <w:sz w:val="24"/>
          <w:highlight w:val="none"/>
        </w:rPr>
      </w:pPr>
      <w:r>
        <w:rPr>
          <w:rFonts w:hint="eastAsia" w:asciiTheme="minorEastAsia" w:hAnsiTheme="minorEastAsia" w:eastAsiaTheme="minorEastAsia"/>
          <w:szCs w:val="21"/>
          <w:highlight w:val="none"/>
        </w:rPr>
        <w:t>按本项目招标公告“</w:t>
      </w:r>
      <w:r>
        <w:rPr>
          <w:rFonts w:hint="eastAsia" w:ascii="宋体" w:hAnsi="宋体"/>
          <w:szCs w:val="21"/>
          <w:highlight w:val="none"/>
        </w:rPr>
        <w:t>3、</w:t>
      </w:r>
      <w:r>
        <w:rPr>
          <w:rFonts w:hint="eastAsia" w:ascii="宋体" w:hAnsi="宋体"/>
          <w:b/>
          <w:bCs/>
          <w:szCs w:val="21"/>
          <w:highlight w:val="none"/>
        </w:rPr>
        <w:t>合格的投标人条件</w:t>
      </w:r>
      <w:r>
        <w:rPr>
          <w:rFonts w:hint="eastAsia" w:asciiTheme="minorEastAsia" w:hAnsiTheme="minorEastAsia" w:eastAsiaTheme="minorEastAsia"/>
          <w:szCs w:val="21"/>
          <w:highlight w:val="none"/>
        </w:rPr>
        <w:t>”中的要求提供相应的佐证资料。</w:t>
      </w:r>
    </w:p>
    <w:p>
      <w:pPr>
        <w:widowControl/>
        <w:jc w:val="left"/>
        <w:rPr>
          <w:highlight w:val="none"/>
        </w:rPr>
      </w:pPr>
      <w:r>
        <w:rPr>
          <w:sz w:val="24"/>
          <w:highlight w:val="none"/>
        </w:rPr>
        <w:br w:type="page"/>
      </w:r>
    </w:p>
    <w:p>
      <w:pPr>
        <w:pStyle w:val="3"/>
        <w:numPr>
          <w:ilvl w:val="0"/>
          <w:numId w:val="0"/>
        </w:numPr>
        <w:tabs>
          <w:tab w:val="clear" w:pos="840"/>
        </w:tabs>
        <w:snapToGrid w:val="0"/>
        <w:spacing w:before="120" w:after="120"/>
        <w:jc w:val="left"/>
        <w:rPr>
          <w:rFonts w:hAnsi="宋体"/>
          <w:b w:val="0"/>
          <w:kern w:val="44"/>
          <w:szCs w:val="21"/>
          <w:highlight w:val="none"/>
        </w:rPr>
      </w:pPr>
      <w:bookmarkStart w:id="477" w:name="_Toc16733"/>
      <w:bookmarkStart w:id="478" w:name="_Toc20968"/>
      <w:bookmarkStart w:id="479" w:name="_Toc31602"/>
      <w:bookmarkStart w:id="480" w:name="_Toc25057"/>
      <w:bookmarkStart w:id="481" w:name="_Toc2525"/>
      <w:r>
        <w:rPr>
          <w:rFonts w:hint="eastAsia"/>
          <w:sz w:val="24"/>
          <w:szCs w:val="24"/>
          <w:highlight w:val="none"/>
        </w:rPr>
        <w:t>格式7：合同响应表格式</w:t>
      </w:r>
      <w:bookmarkEnd w:id="477"/>
      <w:bookmarkEnd w:id="478"/>
      <w:bookmarkEnd w:id="479"/>
      <w:bookmarkEnd w:id="480"/>
      <w:bookmarkEnd w:id="481"/>
    </w:p>
    <w:p>
      <w:pPr>
        <w:spacing w:after="120" w:line="400" w:lineRule="exact"/>
        <w:jc w:val="center"/>
        <w:rPr>
          <w:rFonts w:ascii="宋体"/>
          <w:b/>
          <w:sz w:val="28"/>
          <w:szCs w:val="28"/>
          <w:highlight w:val="none"/>
        </w:rPr>
      </w:pPr>
      <w:r>
        <w:rPr>
          <w:rFonts w:hint="eastAsia" w:ascii="宋体"/>
          <w:b/>
          <w:sz w:val="28"/>
          <w:szCs w:val="28"/>
          <w:highlight w:val="none"/>
        </w:rPr>
        <w:t>合同条款响应表</w:t>
      </w:r>
    </w:p>
    <w:p>
      <w:pPr>
        <w:spacing w:after="120" w:line="400" w:lineRule="exact"/>
        <w:rPr>
          <w:rFonts w:ascii="宋体"/>
          <w:szCs w:val="21"/>
          <w:highlight w:val="none"/>
        </w:rPr>
      </w:pPr>
      <w:r>
        <w:rPr>
          <w:rFonts w:hint="eastAsia" w:ascii="宋体"/>
          <w:szCs w:val="21"/>
          <w:highlight w:val="none"/>
        </w:rPr>
        <w:t>[说明]投标人应对照中标文件要求与投标报价的实际情况 ，对中标文件中《合同书》的条款内容作全面响应。完全满足的在“是否响应”栏中写“响应”，若有差异的请在“是否响应”栏中写“偏离”，无论是正偏离还是负偏离，均需并将差异情况（包括优于合同书的有关条款）在“差异描述”栏中说明。</w:t>
      </w:r>
    </w:p>
    <w:tbl>
      <w:tblPr>
        <w:tblStyle w:val="4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202"/>
        <w:gridCol w:w="3466"/>
        <w:gridCol w:w="1857"/>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jc w:val="center"/>
              <w:rPr>
                <w:rFonts w:ascii="宋体"/>
                <w:szCs w:val="21"/>
                <w:highlight w:val="none"/>
              </w:rPr>
            </w:pPr>
            <w:r>
              <w:rPr>
                <w:rFonts w:hint="eastAsia" w:ascii="宋体"/>
                <w:szCs w:val="21"/>
                <w:highlight w:val="none"/>
              </w:rPr>
              <w:t>序号</w:t>
            </w:r>
          </w:p>
        </w:tc>
        <w:tc>
          <w:tcPr>
            <w:tcW w:w="1202" w:type="dxa"/>
          </w:tcPr>
          <w:p>
            <w:pPr>
              <w:spacing w:after="120" w:line="400" w:lineRule="exact"/>
              <w:jc w:val="center"/>
              <w:rPr>
                <w:rFonts w:ascii="宋体"/>
                <w:szCs w:val="21"/>
                <w:highlight w:val="none"/>
              </w:rPr>
            </w:pPr>
            <w:r>
              <w:rPr>
                <w:rFonts w:hint="eastAsia" w:ascii="宋体"/>
                <w:szCs w:val="21"/>
                <w:highlight w:val="none"/>
              </w:rPr>
              <w:t>条款号</w:t>
            </w:r>
          </w:p>
        </w:tc>
        <w:tc>
          <w:tcPr>
            <w:tcW w:w="3466" w:type="dxa"/>
          </w:tcPr>
          <w:p>
            <w:pPr>
              <w:spacing w:after="120" w:line="400" w:lineRule="exact"/>
              <w:jc w:val="center"/>
              <w:rPr>
                <w:rFonts w:ascii="宋体"/>
                <w:szCs w:val="21"/>
                <w:highlight w:val="none"/>
              </w:rPr>
            </w:pPr>
            <w:r>
              <w:rPr>
                <w:rFonts w:hint="eastAsia" w:ascii="宋体"/>
                <w:szCs w:val="21"/>
                <w:highlight w:val="none"/>
              </w:rPr>
              <w:t>合同条款题目</w:t>
            </w:r>
          </w:p>
        </w:tc>
        <w:tc>
          <w:tcPr>
            <w:tcW w:w="1857" w:type="dxa"/>
          </w:tcPr>
          <w:p>
            <w:pPr>
              <w:spacing w:after="120" w:line="400" w:lineRule="exact"/>
              <w:jc w:val="center"/>
              <w:rPr>
                <w:rFonts w:ascii="宋体"/>
                <w:szCs w:val="21"/>
                <w:highlight w:val="none"/>
              </w:rPr>
            </w:pPr>
            <w:r>
              <w:rPr>
                <w:rFonts w:hint="eastAsia" w:ascii="宋体"/>
                <w:szCs w:val="21"/>
                <w:highlight w:val="none"/>
              </w:rPr>
              <w:t>是否响应</w:t>
            </w:r>
          </w:p>
        </w:tc>
        <w:tc>
          <w:tcPr>
            <w:tcW w:w="1857" w:type="dxa"/>
          </w:tcPr>
          <w:p>
            <w:pPr>
              <w:spacing w:after="120" w:line="400" w:lineRule="exact"/>
              <w:jc w:val="center"/>
              <w:rPr>
                <w:rFonts w:ascii="宋体"/>
                <w:szCs w:val="21"/>
                <w:highlight w:val="none"/>
              </w:rPr>
            </w:pPr>
            <w:r>
              <w:rPr>
                <w:rFonts w:hint="eastAsia" w:ascii="宋体"/>
                <w:szCs w:val="21"/>
                <w:highlight w:val="none"/>
              </w:rPr>
              <w:t>差异描述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rPr>
                <w:rFonts w:ascii="宋体"/>
                <w:szCs w:val="21"/>
                <w:highlight w:val="none"/>
              </w:rPr>
            </w:pPr>
            <w:r>
              <w:rPr>
                <w:rFonts w:hint="eastAsia" w:ascii="宋体"/>
                <w:szCs w:val="21"/>
                <w:highlight w:val="none"/>
              </w:rPr>
              <w:t>1</w:t>
            </w:r>
          </w:p>
        </w:tc>
        <w:tc>
          <w:tcPr>
            <w:tcW w:w="1202" w:type="dxa"/>
          </w:tcPr>
          <w:p>
            <w:pPr>
              <w:spacing w:after="120" w:line="400" w:lineRule="exact"/>
              <w:rPr>
                <w:rFonts w:ascii="宋体"/>
                <w:szCs w:val="21"/>
                <w:highlight w:val="none"/>
              </w:rPr>
            </w:pPr>
          </w:p>
        </w:tc>
        <w:tc>
          <w:tcPr>
            <w:tcW w:w="3466"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rPr>
                <w:rFonts w:ascii="宋体"/>
                <w:szCs w:val="21"/>
                <w:highlight w:val="none"/>
              </w:rPr>
            </w:pPr>
            <w:r>
              <w:rPr>
                <w:rFonts w:hint="eastAsia" w:ascii="宋体"/>
                <w:szCs w:val="21"/>
                <w:highlight w:val="none"/>
              </w:rPr>
              <w:t>2</w:t>
            </w:r>
          </w:p>
        </w:tc>
        <w:tc>
          <w:tcPr>
            <w:tcW w:w="1202" w:type="dxa"/>
          </w:tcPr>
          <w:p>
            <w:pPr>
              <w:spacing w:after="120" w:line="400" w:lineRule="exact"/>
              <w:rPr>
                <w:rFonts w:ascii="宋体"/>
                <w:szCs w:val="21"/>
                <w:highlight w:val="none"/>
              </w:rPr>
            </w:pPr>
          </w:p>
        </w:tc>
        <w:tc>
          <w:tcPr>
            <w:tcW w:w="3466"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rPr>
                <w:rFonts w:ascii="宋体"/>
                <w:szCs w:val="21"/>
                <w:highlight w:val="none"/>
              </w:rPr>
            </w:pPr>
            <w:r>
              <w:rPr>
                <w:rFonts w:hint="eastAsia" w:ascii="宋体"/>
                <w:szCs w:val="21"/>
                <w:highlight w:val="none"/>
              </w:rPr>
              <w:t>3</w:t>
            </w:r>
          </w:p>
        </w:tc>
        <w:tc>
          <w:tcPr>
            <w:tcW w:w="1202" w:type="dxa"/>
          </w:tcPr>
          <w:p>
            <w:pPr>
              <w:spacing w:after="120" w:line="400" w:lineRule="exact"/>
              <w:rPr>
                <w:rFonts w:ascii="宋体"/>
                <w:szCs w:val="21"/>
                <w:highlight w:val="none"/>
              </w:rPr>
            </w:pPr>
          </w:p>
        </w:tc>
        <w:tc>
          <w:tcPr>
            <w:tcW w:w="3466"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rPr>
                <w:rFonts w:ascii="宋体"/>
                <w:szCs w:val="21"/>
                <w:highlight w:val="none"/>
              </w:rPr>
            </w:pPr>
            <w:r>
              <w:rPr>
                <w:rFonts w:hint="eastAsia" w:ascii="宋体"/>
                <w:szCs w:val="21"/>
                <w:highlight w:val="none"/>
              </w:rPr>
              <w:t>4</w:t>
            </w:r>
          </w:p>
        </w:tc>
        <w:tc>
          <w:tcPr>
            <w:tcW w:w="1202" w:type="dxa"/>
          </w:tcPr>
          <w:p>
            <w:pPr>
              <w:spacing w:after="120" w:line="400" w:lineRule="exact"/>
              <w:rPr>
                <w:rFonts w:ascii="宋体"/>
                <w:szCs w:val="21"/>
                <w:highlight w:val="none"/>
              </w:rPr>
            </w:pPr>
          </w:p>
        </w:tc>
        <w:tc>
          <w:tcPr>
            <w:tcW w:w="3466"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rPr>
                <w:rFonts w:ascii="宋体"/>
                <w:szCs w:val="21"/>
                <w:highlight w:val="none"/>
              </w:rPr>
            </w:pPr>
            <w:r>
              <w:rPr>
                <w:rFonts w:hint="eastAsia" w:ascii="宋体"/>
                <w:szCs w:val="21"/>
                <w:highlight w:val="none"/>
              </w:rPr>
              <w:t>5</w:t>
            </w:r>
          </w:p>
        </w:tc>
        <w:tc>
          <w:tcPr>
            <w:tcW w:w="1202" w:type="dxa"/>
          </w:tcPr>
          <w:p>
            <w:pPr>
              <w:spacing w:after="120" w:line="400" w:lineRule="exact"/>
              <w:rPr>
                <w:rFonts w:ascii="宋体"/>
                <w:szCs w:val="21"/>
                <w:highlight w:val="none"/>
              </w:rPr>
            </w:pPr>
          </w:p>
        </w:tc>
        <w:tc>
          <w:tcPr>
            <w:tcW w:w="3466"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rPr>
                <w:rFonts w:ascii="宋体"/>
                <w:szCs w:val="21"/>
                <w:highlight w:val="none"/>
              </w:rPr>
            </w:pPr>
            <w:r>
              <w:rPr>
                <w:rFonts w:hint="eastAsia" w:ascii="宋体"/>
                <w:szCs w:val="21"/>
                <w:highlight w:val="none"/>
              </w:rPr>
              <w:t>6</w:t>
            </w:r>
          </w:p>
        </w:tc>
        <w:tc>
          <w:tcPr>
            <w:tcW w:w="1202" w:type="dxa"/>
          </w:tcPr>
          <w:p>
            <w:pPr>
              <w:spacing w:after="120" w:line="400" w:lineRule="exact"/>
              <w:rPr>
                <w:rFonts w:ascii="宋体"/>
                <w:szCs w:val="21"/>
                <w:highlight w:val="none"/>
              </w:rPr>
            </w:pPr>
          </w:p>
        </w:tc>
        <w:tc>
          <w:tcPr>
            <w:tcW w:w="3466"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rPr>
                <w:rFonts w:ascii="宋体"/>
                <w:szCs w:val="21"/>
                <w:highlight w:val="none"/>
              </w:rPr>
            </w:pPr>
            <w:r>
              <w:rPr>
                <w:rFonts w:hint="eastAsia" w:ascii="宋体"/>
                <w:szCs w:val="21"/>
                <w:highlight w:val="none"/>
              </w:rPr>
              <w:t>7</w:t>
            </w:r>
          </w:p>
        </w:tc>
        <w:tc>
          <w:tcPr>
            <w:tcW w:w="1202" w:type="dxa"/>
          </w:tcPr>
          <w:p>
            <w:pPr>
              <w:spacing w:after="120" w:line="400" w:lineRule="exact"/>
              <w:rPr>
                <w:rFonts w:ascii="宋体"/>
                <w:szCs w:val="21"/>
                <w:highlight w:val="none"/>
              </w:rPr>
            </w:pPr>
          </w:p>
        </w:tc>
        <w:tc>
          <w:tcPr>
            <w:tcW w:w="3466"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rPr>
                <w:rFonts w:ascii="宋体"/>
                <w:szCs w:val="21"/>
                <w:highlight w:val="none"/>
              </w:rPr>
            </w:pPr>
            <w:r>
              <w:rPr>
                <w:rFonts w:hint="eastAsia" w:ascii="宋体"/>
                <w:szCs w:val="21"/>
                <w:highlight w:val="none"/>
              </w:rPr>
              <w:t>8</w:t>
            </w:r>
          </w:p>
        </w:tc>
        <w:tc>
          <w:tcPr>
            <w:tcW w:w="1202" w:type="dxa"/>
          </w:tcPr>
          <w:p>
            <w:pPr>
              <w:spacing w:after="120" w:line="400" w:lineRule="exact"/>
              <w:rPr>
                <w:rFonts w:ascii="宋体"/>
                <w:szCs w:val="21"/>
                <w:highlight w:val="none"/>
              </w:rPr>
            </w:pPr>
          </w:p>
        </w:tc>
        <w:tc>
          <w:tcPr>
            <w:tcW w:w="3466"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rPr>
                <w:rFonts w:ascii="宋体"/>
                <w:szCs w:val="21"/>
                <w:highlight w:val="none"/>
              </w:rPr>
            </w:pPr>
          </w:p>
        </w:tc>
        <w:tc>
          <w:tcPr>
            <w:tcW w:w="1202" w:type="dxa"/>
          </w:tcPr>
          <w:p>
            <w:pPr>
              <w:spacing w:after="120" w:line="400" w:lineRule="exact"/>
              <w:rPr>
                <w:rFonts w:ascii="宋体"/>
                <w:szCs w:val="21"/>
                <w:highlight w:val="none"/>
              </w:rPr>
            </w:pPr>
          </w:p>
        </w:tc>
        <w:tc>
          <w:tcPr>
            <w:tcW w:w="3466"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rPr>
                <w:rFonts w:ascii="宋体"/>
                <w:szCs w:val="21"/>
                <w:highlight w:val="none"/>
              </w:rPr>
            </w:pPr>
          </w:p>
        </w:tc>
        <w:tc>
          <w:tcPr>
            <w:tcW w:w="1202" w:type="dxa"/>
          </w:tcPr>
          <w:p>
            <w:pPr>
              <w:spacing w:after="120" w:line="400" w:lineRule="exact"/>
              <w:rPr>
                <w:rFonts w:ascii="宋体"/>
                <w:szCs w:val="21"/>
                <w:highlight w:val="none"/>
              </w:rPr>
            </w:pPr>
          </w:p>
        </w:tc>
        <w:tc>
          <w:tcPr>
            <w:tcW w:w="3466"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 w:type="dxa"/>
          </w:tcPr>
          <w:p>
            <w:pPr>
              <w:spacing w:after="120" w:line="400" w:lineRule="exact"/>
              <w:rPr>
                <w:rFonts w:ascii="宋体"/>
                <w:szCs w:val="21"/>
                <w:highlight w:val="none"/>
              </w:rPr>
            </w:pPr>
          </w:p>
        </w:tc>
        <w:tc>
          <w:tcPr>
            <w:tcW w:w="1202" w:type="dxa"/>
          </w:tcPr>
          <w:p>
            <w:pPr>
              <w:spacing w:after="120" w:line="400" w:lineRule="exact"/>
              <w:rPr>
                <w:rFonts w:ascii="宋体"/>
                <w:szCs w:val="21"/>
                <w:highlight w:val="none"/>
              </w:rPr>
            </w:pPr>
          </w:p>
        </w:tc>
        <w:tc>
          <w:tcPr>
            <w:tcW w:w="3466"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c>
          <w:tcPr>
            <w:tcW w:w="1857" w:type="dxa"/>
          </w:tcPr>
          <w:p>
            <w:pPr>
              <w:spacing w:after="120" w:line="400" w:lineRule="exact"/>
              <w:rPr>
                <w:rFonts w:ascii="宋体"/>
                <w:szCs w:val="21"/>
                <w:highlight w:val="none"/>
              </w:rPr>
            </w:pPr>
          </w:p>
        </w:tc>
      </w:tr>
    </w:tbl>
    <w:p>
      <w:pPr>
        <w:spacing w:after="120" w:line="400" w:lineRule="exact"/>
        <w:rPr>
          <w:rFonts w:ascii="宋体"/>
          <w:szCs w:val="21"/>
          <w:highlight w:val="none"/>
        </w:rPr>
      </w:pPr>
    </w:p>
    <w:p>
      <w:pPr>
        <w:spacing w:line="360" w:lineRule="auto"/>
        <w:ind w:firstLine="4678" w:firstLineChars="2228"/>
        <w:rPr>
          <w:rFonts w:ascii="宋体"/>
          <w:highlight w:val="none"/>
        </w:rPr>
      </w:pPr>
      <w:r>
        <w:rPr>
          <w:rFonts w:hint="eastAsia" w:ascii="宋体"/>
          <w:highlight w:val="none"/>
        </w:rPr>
        <w:t>投标人（法人公章）：</w:t>
      </w:r>
    </w:p>
    <w:p>
      <w:pPr>
        <w:spacing w:line="360" w:lineRule="auto"/>
        <w:ind w:firstLine="4678" w:firstLineChars="2228"/>
        <w:rPr>
          <w:rFonts w:ascii="宋体"/>
          <w:highlight w:val="none"/>
        </w:rPr>
      </w:pPr>
      <w:r>
        <w:rPr>
          <w:rFonts w:hint="eastAsia" w:ascii="宋体"/>
          <w:highlight w:val="none"/>
        </w:rPr>
        <w:t>授权代表（签字或盖章）：</w:t>
      </w:r>
    </w:p>
    <w:p>
      <w:pPr>
        <w:rPr>
          <w:highlight w:val="none"/>
        </w:rPr>
      </w:pPr>
      <w:r>
        <w:rPr>
          <w:rFonts w:hint="eastAsia"/>
          <w:highlight w:val="none"/>
        </w:rPr>
        <w:t xml:space="preserve">                                             日期：</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ascii="宋体" w:hAnsi="宋体"/>
          <w:b/>
          <w:kern w:val="144"/>
          <w:szCs w:val="21"/>
          <w:highlight w:val="none"/>
        </w:rPr>
      </w:pPr>
    </w:p>
    <w:p>
      <w:pPr>
        <w:pStyle w:val="3"/>
        <w:numPr>
          <w:ilvl w:val="0"/>
          <w:numId w:val="0"/>
        </w:numPr>
        <w:tabs>
          <w:tab w:val="clear" w:pos="840"/>
        </w:tabs>
        <w:snapToGrid w:val="0"/>
        <w:spacing w:before="120" w:after="120"/>
        <w:jc w:val="left"/>
        <w:rPr>
          <w:rFonts w:hAnsi="宋体"/>
          <w:b w:val="0"/>
          <w:kern w:val="44"/>
          <w:szCs w:val="21"/>
          <w:highlight w:val="none"/>
        </w:rPr>
      </w:pPr>
      <w:bookmarkStart w:id="482" w:name="_Toc23421"/>
      <w:bookmarkStart w:id="483" w:name="_Toc16339"/>
      <w:bookmarkStart w:id="484" w:name="_Toc4033"/>
      <w:bookmarkStart w:id="485" w:name="_Toc14848"/>
      <w:bookmarkStart w:id="486" w:name="_Toc14016"/>
      <w:r>
        <w:rPr>
          <w:rFonts w:hint="eastAsia"/>
          <w:sz w:val="24"/>
          <w:szCs w:val="24"/>
          <w:highlight w:val="none"/>
        </w:rPr>
        <w:t>格式8：</w:t>
      </w:r>
      <w:r>
        <w:rPr>
          <w:rFonts w:hint="eastAsia"/>
          <w:sz w:val="24"/>
          <w:highlight w:val="none"/>
        </w:rPr>
        <w:t>投标</w:t>
      </w:r>
      <w:r>
        <w:rPr>
          <w:rFonts w:hint="eastAsia"/>
          <w:sz w:val="24"/>
          <w:szCs w:val="24"/>
          <w:highlight w:val="none"/>
        </w:rPr>
        <w:t>保证金</w:t>
      </w:r>
      <w:r>
        <w:rPr>
          <w:rFonts w:hint="eastAsia"/>
          <w:sz w:val="24"/>
          <w:highlight w:val="none"/>
        </w:rPr>
        <w:t>汇款声明函</w:t>
      </w:r>
      <w:bookmarkEnd w:id="482"/>
      <w:bookmarkEnd w:id="483"/>
      <w:bookmarkEnd w:id="484"/>
      <w:bookmarkEnd w:id="485"/>
      <w:bookmarkEnd w:id="486"/>
    </w:p>
    <w:p>
      <w:pPr>
        <w:spacing w:line="360" w:lineRule="auto"/>
        <w:rPr>
          <w:rFonts w:ascii="宋体" w:hAnsi="宋体" w:cs="Arial"/>
          <w:b/>
          <w:szCs w:val="21"/>
          <w:highlight w:val="none"/>
        </w:rPr>
      </w:pPr>
    </w:p>
    <w:p>
      <w:pPr>
        <w:spacing w:line="360" w:lineRule="auto"/>
        <w:rPr>
          <w:rFonts w:ascii="宋体" w:hAnsi="宋体" w:cs="Arial"/>
          <w:b/>
          <w:szCs w:val="21"/>
          <w:highlight w:val="none"/>
        </w:rPr>
      </w:pPr>
      <w:r>
        <w:rPr>
          <w:rFonts w:hint="eastAsia" w:ascii="宋体" w:hAnsi="宋体" w:cs="Arial"/>
          <w:b/>
          <w:szCs w:val="21"/>
          <w:highlight w:val="none"/>
        </w:rPr>
        <w:t>致：</w:t>
      </w:r>
    </w:p>
    <w:p>
      <w:pPr>
        <w:tabs>
          <w:tab w:val="left" w:pos="1560"/>
        </w:tabs>
        <w:rPr>
          <w:rFonts w:ascii="宋体" w:hAnsi="宋体"/>
          <w:szCs w:val="21"/>
          <w:highlight w:val="none"/>
        </w:rPr>
      </w:pPr>
      <w:r>
        <w:rPr>
          <w:rFonts w:ascii="宋体" w:hAnsi="宋体"/>
          <w:szCs w:val="21"/>
          <w:highlight w:val="none"/>
        </w:rPr>
        <w:tab/>
      </w:r>
    </w:p>
    <w:p>
      <w:pPr>
        <w:spacing w:line="360" w:lineRule="auto"/>
        <w:ind w:firstLine="420" w:firstLineChars="200"/>
        <w:rPr>
          <w:rFonts w:ascii="宋体" w:hAnsi="宋体" w:cs="Arial"/>
          <w:szCs w:val="21"/>
          <w:highlight w:val="none"/>
        </w:rPr>
      </w:pPr>
      <w:r>
        <w:rPr>
          <w:rFonts w:hint="eastAsia" w:ascii="宋体" w:hAnsi="宋体" w:cs="Arial"/>
          <w:szCs w:val="21"/>
          <w:highlight w:val="none"/>
        </w:rPr>
        <w:t>我方为（招标编号：）递交投标保证金人民币    元（大写：人民币元）已于2019年月日以银行主动划账方式划入你方账户。</w:t>
      </w:r>
    </w:p>
    <w:p>
      <w:pPr>
        <w:spacing w:line="360" w:lineRule="auto"/>
        <w:ind w:firstLine="422" w:firstLineChars="200"/>
        <w:rPr>
          <w:rFonts w:ascii="宋体" w:hAnsi="宋体" w:cs="Arial"/>
          <w:b/>
          <w:bCs/>
          <w:szCs w:val="21"/>
          <w:highlight w:val="none"/>
          <w:u w:val="single"/>
        </w:rPr>
      </w:pPr>
      <w:r>
        <w:rPr>
          <w:rFonts w:hint="eastAsia" w:ascii="宋体" w:hAnsi="宋体" w:cs="Arial"/>
          <w:b/>
          <w:bCs/>
          <w:szCs w:val="21"/>
          <w:highlight w:val="none"/>
          <w:u w:val="single"/>
        </w:rPr>
        <w:t>详见附件：银行出具的汇款单或转账凭证复印件。</w:t>
      </w:r>
    </w:p>
    <w:p>
      <w:pPr>
        <w:spacing w:line="360" w:lineRule="auto"/>
        <w:ind w:firstLine="420" w:firstLineChars="200"/>
        <w:rPr>
          <w:rFonts w:ascii="宋体" w:hAnsi="宋体" w:cs="Arial"/>
          <w:szCs w:val="21"/>
          <w:highlight w:val="none"/>
        </w:rPr>
      </w:pPr>
      <w:r>
        <w:rPr>
          <w:rFonts w:hint="eastAsia" w:ascii="宋体" w:hAnsi="宋体" w:cs="Arial"/>
          <w:szCs w:val="21"/>
          <w:highlight w:val="none"/>
        </w:rPr>
        <w:t>退还保证金时请按以下内容划入我方账户。若因内容不全、错误、字迹潦草模糊导致该项目保证金未能及时退还或退还过程中发生错误，我方将自行承担全部责任和损失。</w:t>
      </w:r>
    </w:p>
    <w:tbl>
      <w:tblPr>
        <w:tblStyle w:val="42"/>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637"/>
        <w:gridCol w:w="4163"/>
        <w:gridCol w:w="109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7" w:type="dxa"/>
            <w:vMerge w:val="restart"/>
            <w:textDirection w:val="tbRlV"/>
            <w:vAlign w:val="center"/>
          </w:tcPr>
          <w:p>
            <w:pPr>
              <w:ind w:left="113" w:right="113"/>
              <w:jc w:val="center"/>
              <w:rPr>
                <w:rFonts w:ascii="宋体"/>
                <w:szCs w:val="21"/>
                <w:highlight w:val="none"/>
              </w:rPr>
            </w:pPr>
            <w:r>
              <w:rPr>
                <w:rFonts w:hint="eastAsia" w:ascii="宋体"/>
                <w:szCs w:val="21"/>
                <w:highlight w:val="none"/>
              </w:rPr>
              <w:t>收 款 人</w:t>
            </w:r>
          </w:p>
        </w:tc>
        <w:tc>
          <w:tcPr>
            <w:tcW w:w="1637" w:type="dxa"/>
            <w:vAlign w:val="center"/>
          </w:tcPr>
          <w:p>
            <w:pPr>
              <w:jc w:val="center"/>
              <w:rPr>
                <w:rFonts w:ascii="宋体"/>
                <w:szCs w:val="21"/>
                <w:highlight w:val="none"/>
              </w:rPr>
            </w:pPr>
            <w:r>
              <w:rPr>
                <w:rFonts w:hint="eastAsia" w:ascii="宋体"/>
                <w:szCs w:val="21"/>
                <w:highlight w:val="none"/>
              </w:rPr>
              <w:t>收款人名称</w:t>
            </w:r>
          </w:p>
        </w:tc>
        <w:tc>
          <w:tcPr>
            <w:tcW w:w="6810" w:type="dxa"/>
            <w:gridSpan w:val="3"/>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7" w:type="dxa"/>
            <w:vMerge w:val="continue"/>
            <w:vAlign w:val="center"/>
          </w:tcPr>
          <w:p>
            <w:pPr>
              <w:jc w:val="center"/>
              <w:rPr>
                <w:rFonts w:ascii="宋体"/>
                <w:szCs w:val="21"/>
                <w:highlight w:val="none"/>
              </w:rPr>
            </w:pPr>
          </w:p>
        </w:tc>
        <w:tc>
          <w:tcPr>
            <w:tcW w:w="1637" w:type="dxa"/>
            <w:vAlign w:val="center"/>
          </w:tcPr>
          <w:p>
            <w:pPr>
              <w:jc w:val="center"/>
              <w:rPr>
                <w:rFonts w:ascii="宋体"/>
                <w:szCs w:val="21"/>
                <w:highlight w:val="none"/>
              </w:rPr>
            </w:pPr>
            <w:r>
              <w:rPr>
                <w:rFonts w:hint="eastAsia" w:ascii="宋体"/>
                <w:szCs w:val="21"/>
                <w:highlight w:val="none"/>
              </w:rPr>
              <w:t>收款人地址</w:t>
            </w:r>
          </w:p>
        </w:tc>
        <w:tc>
          <w:tcPr>
            <w:tcW w:w="6810" w:type="dxa"/>
            <w:gridSpan w:val="3"/>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557" w:type="dxa"/>
            <w:vMerge w:val="continue"/>
            <w:vAlign w:val="center"/>
          </w:tcPr>
          <w:p>
            <w:pPr>
              <w:jc w:val="center"/>
              <w:rPr>
                <w:rFonts w:ascii="宋体"/>
                <w:szCs w:val="21"/>
                <w:highlight w:val="none"/>
              </w:rPr>
            </w:pPr>
          </w:p>
        </w:tc>
        <w:tc>
          <w:tcPr>
            <w:tcW w:w="1637" w:type="dxa"/>
            <w:vAlign w:val="center"/>
          </w:tcPr>
          <w:p>
            <w:pPr>
              <w:jc w:val="center"/>
              <w:rPr>
                <w:rFonts w:ascii="宋体"/>
                <w:szCs w:val="21"/>
                <w:highlight w:val="none"/>
              </w:rPr>
            </w:pPr>
            <w:r>
              <w:rPr>
                <w:rFonts w:hint="eastAsia" w:ascii="宋体"/>
                <w:szCs w:val="21"/>
                <w:highlight w:val="none"/>
              </w:rPr>
              <w:t>开户银行</w:t>
            </w:r>
            <w:r>
              <w:rPr>
                <w:rFonts w:ascii="宋体"/>
                <w:szCs w:val="21"/>
                <w:highlight w:val="none"/>
              </w:rPr>
              <w:br w:type="textWrapping"/>
            </w:r>
            <w:r>
              <w:rPr>
                <w:rFonts w:hint="eastAsia" w:ascii="宋体"/>
                <w:szCs w:val="21"/>
                <w:highlight w:val="none"/>
              </w:rPr>
              <w:t>（含汇入地点）</w:t>
            </w:r>
          </w:p>
        </w:tc>
        <w:tc>
          <w:tcPr>
            <w:tcW w:w="4163" w:type="dxa"/>
            <w:vAlign w:val="center"/>
          </w:tcPr>
          <w:p>
            <w:pPr>
              <w:jc w:val="center"/>
              <w:rPr>
                <w:rFonts w:ascii="宋体"/>
                <w:szCs w:val="21"/>
                <w:highlight w:val="none"/>
              </w:rPr>
            </w:pPr>
          </w:p>
        </w:tc>
        <w:tc>
          <w:tcPr>
            <w:tcW w:w="1097" w:type="dxa"/>
            <w:vAlign w:val="center"/>
          </w:tcPr>
          <w:p>
            <w:pPr>
              <w:jc w:val="center"/>
              <w:rPr>
                <w:rFonts w:ascii="宋体"/>
                <w:szCs w:val="21"/>
                <w:highlight w:val="none"/>
              </w:rPr>
            </w:pPr>
            <w:r>
              <w:rPr>
                <w:rFonts w:hint="eastAsia" w:ascii="宋体"/>
                <w:szCs w:val="21"/>
                <w:highlight w:val="none"/>
              </w:rPr>
              <w:t>联系人</w:t>
            </w:r>
          </w:p>
        </w:tc>
        <w:tc>
          <w:tcPr>
            <w:tcW w:w="1550" w:type="dxa"/>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7" w:type="dxa"/>
            <w:vMerge w:val="continue"/>
            <w:vAlign w:val="center"/>
          </w:tcPr>
          <w:p>
            <w:pPr>
              <w:jc w:val="center"/>
              <w:rPr>
                <w:rFonts w:ascii="宋体"/>
                <w:szCs w:val="21"/>
                <w:highlight w:val="none"/>
              </w:rPr>
            </w:pPr>
          </w:p>
        </w:tc>
        <w:tc>
          <w:tcPr>
            <w:tcW w:w="1637" w:type="dxa"/>
            <w:vAlign w:val="center"/>
          </w:tcPr>
          <w:p>
            <w:pPr>
              <w:jc w:val="center"/>
              <w:rPr>
                <w:rFonts w:ascii="宋体"/>
                <w:szCs w:val="21"/>
                <w:highlight w:val="none"/>
              </w:rPr>
            </w:pPr>
            <w:r>
              <w:rPr>
                <w:rFonts w:hint="eastAsia" w:ascii="宋体"/>
                <w:szCs w:val="21"/>
                <w:highlight w:val="none"/>
              </w:rPr>
              <w:t>帐    号</w:t>
            </w:r>
          </w:p>
        </w:tc>
        <w:tc>
          <w:tcPr>
            <w:tcW w:w="4163" w:type="dxa"/>
            <w:vAlign w:val="center"/>
          </w:tcPr>
          <w:p>
            <w:pPr>
              <w:jc w:val="center"/>
              <w:rPr>
                <w:rFonts w:ascii="宋体"/>
                <w:szCs w:val="21"/>
                <w:highlight w:val="none"/>
              </w:rPr>
            </w:pPr>
          </w:p>
        </w:tc>
        <w:tc>
          <w:tcPr>
            <w:tcW w:w="1097" w:type="dxa"/>
            <w:vAlign w:val="center"/>
          </w:tcPr>
          <w:p>
            <w:pPr>
              <w:jc w:val="center"/>
              <w:rPr>
                <w:rFonts w:ascii="宋体"/>
                <w:szCs w:val="21"/>
                <w:highlight w:val="none"/>
              </w:rPr>
            </w:pPr>
            <w:r>
              <w:rPr>
                <w:rFonts w:hint="eastAsia" w:ascii="宋体"/>
                <w:szCs w:val="21"/>
                <w:highlight w:val="none"/>
              </w:rPr>
              <w:t>联系电话</w:t>
            </w:r>
          </w:p>
        </w:tc>
        <w:tc>
          <w:tcPr>
            <w:tcW w:w="1550" w:type="dxa"/>
            <w:vAlign w:val="center"/>
          </w:tcPr>
          <w:p>
            <w:pPr>
              <w:jc w:val="center"/>
              <w:rPr>
                <w:rFonts w:ascii="宋体"/>
                <w:szCs w:val="21"/>
                <w:highlight w:val="none"/>
              </w:rPr>
            </w:pPr>
          </w:p>
        </w:tc>
      </w:tr>
    </w:tbl>
    <w:p>
      <w:pPr>
        <w:rPr>
          <w:vanish/>
          <w:highlight w:val="none"/>
        </w:rPr>
      </w:pPr>
    </w:p>
    <w:tbl>
      <w:tblPr>
        <w:tblStyle w:val="42"/>
        <w:tblpPr w:leftFromText="180" w:rightFromText="180" w:vertAnchor="text" w:horzAnchor="margin" w:tblpXSpec="center" w:tblpY="500"/>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2" w:hRule="atLeast"/>
        </w:trPr>
        <w:tc>
          <w:tcPr>
            <w:tcW w:w="9004" w:type="dxa"/>
          </w:tcPr>
          <w:p>
            <w:pPr>
              <w:spacing w:line="360" w:lineRule="auto"/>
              <w:ind w:firstLine="3373" w:firstLineChars="1600"/>
              <w:jc w:val="center"/>
              <w:rPr>
                <w:rFonts w:hAnsi="宋体"/>
                <w:b/>
                <w:szCs w:val="21"/>
                <w:highlight w:val="none"/>
              </w:rPr>
            </w:pPr>
          </w:p>
          <w:p>
            <w:pPr>
              <w:spacing w:line="360" w:lineRule="auto"/>
              <w:ind w:firstLine="3373" w:firstLineChars="1600"/>
              <w:jc w:val="center"/>
              <w:rPr>
                <w:rFonts w:hAnsi="宋体"/>
                <w:b/>
                <w:szCs w:val="21"/>
                <w:highlight w:val="none"/>
              </w:rPr>
            </w:pPr>
          </w:p>
          <w:p>
            <w:pPr>
              <w:spacing w:line="360" w:lineRule="auto"/>
              <w:ind w:firstLine="2566" w:firstLineChars="1217"/>
              <w:rPr>
                <w:rFonts w:hAnsi="宋体"/>
                <w:b/>
                <w:szCs w:val="21"/>
                <w:highlight w:val="none"/>
              </w:rPr>
            </w:pPr>
            <w:r>
              <w:rPr>
                <w:rFonts w:hint="eastAsia" w:hAnsi="宋体"/>
                <w:b/>
                <w:szCs w:val="21"/>
                <w:highlight w:val="none"/>
              </w:rPr>
              <w:t>投标保证金汇款单或转账凭证复印件粘贴处</w:t>
            </w:r>
          </w:p>
          <w:p>
            <w:pPr>
              <w:spacing w:line="360" w:lineRule="auto"/>
              <w:ind w:firstLine="4498"/>
              <w:rPr>
                <w:rFonts w:hAnsi="宋体"/>
                <w:b/>
                <w:szCs w:val="21"/>
                <w:highlight w:val="none"/>
              </w:rPr>
            </w:pPr>
          </w:p>
        </w:tc>
      </w:tr>
    </w:tbl>
    <w:p>
      <w:pPr>
        <w:tabs>
          <w:tab w:val="left" w:pos="2520"/>
        </w:tabs>
        <w:spacing w:line="360" w:lineRule="auto"/>
        <w:ind w:firstLine="420" w:firstLineChars="200"/>
        <w:rPr>
          <w:rFonts w:ascii="宋体" w:hAnsi="宋体"/>
          <w:highlight w:val="none"/>
        </w:rPr>
      </w:pPr>
    </w:p>
    <w:p>
      <w:pPr>
        <w:spacing w:line="400" w:lineRule="exact"/>
        <w:rPr>
          <w:rFonts w:ascii="宋体" w:hAnsi="宋体"/>
          <w:szCs w:val="21"/>
          <w:highlight w:val="none"/>
        </w:rPr>
      </w:pPr>
      <w:r>
        <w:rPr>
          <w:rFonts w:hint="eastAsia" w:ascii="宋体" w:hAnsi="宋体"/>
          <w:szCs w:val="21"/>
          <w:highlight w:val="none"/>
        </w:rPr>
        <w:t>投标人：（盖章）</w:t>
      </w:r>
    </w:p>
    <w:p>
      <w:pPr>
        <w:spacing w:line="400" w:lineRule="exact"/>
        <w:rPr>
          <w:rFonts w:ascii="宋体" w:hAnsi="宋体"/>
          <w:szCs w:val="21"/>
          <w:highlight w:val="none"/>
          <w:u w:val="single"/>
        </w:rPr>
      </w:pPr>
      <w:r>
        <w:rPr>
          <w:rFonts w:hint="eastAsia" w:ascii="宋体" w:hAnsi="宋体"/>
          <w:bCs/>
          <w:szCs w:val="21"/>
          <w:highlight w:val="none"/>
        </w:rPr>
        <w:t>法定代表人或法人授权代表：（签名或盖章）</w:t>
      </w:r>
    </w:p>
    <w:p>
      <w:pPr>
        <w:tabs>
          <w:tab w:val="left" w:pos="1440"/>
        </w:tabs>
        <w:spacing w:line="400" w:lineRule="exact"/>
        <w:rPr>
          <w:rFonts w:ascii="宋体" w:hAnsi="宋体"/>
          <w:szCs w:val="21"/>
          <w:highlight w:val="none"/>
        </w:rPr>
      </w:pPr>
      <w:r>
        <w:rPr>
          <w:rFonts w:hint="eastAsia" w:ascii="宋体" w:hAnsi="宋体"/>
          <w:szCs w:val="21"/>
          <w:highlight w:val="none"/>
        </w:rPr>
        <w:t>日期：    年  月   日</w:t>
      </w:r>
    </w:p>
    <w:p>
      <w:pPr>
        <w:spacing w:line="360" w:lineRule="auto"/>
        <w:rPr>
          <w:rFonts w:ascii="宋体" w:hAnsi="宋体"/>
          <w:bCs/>
          <w:szCs w:val="21"/>
          <w:highlight w:val="none"/>
        </w:rPr>
      </w:pPr>
    </w:p>
    <w:p>
      <w:pPr>
        <w:rPr>
          <w:rFonts w:ascii="宋体" w:hAnsi="宋体"/>
          <w:highlight w:val="none"/>
        </w:rPr>
      </w:pPr>
      <w:r>
        <w:rPr>
          <w:rFonts w:hint="eastAsia" w:ascii="宋体" w:hAnsi="宋体"/>
          <w:highlight w:val="none"/>
        </w:rPr>
        <w:t>注：1、投标人应详细填写本文函，以便项目结束后办理保证金的退回手续。</w:t>
      </w:r>
    </w:p>
    <w:p>
      <w:pPr>
        <w:rPr>
          <w:rFonts w:ascii="宋体" w:hAnsi="宋体"/>
          <w:highlight w:val="none"/>
        </w:rPr>
      </w:pPr>
      <w:r>
        <w:rPr>
          <w:rFonts w:hint="eastAsia" w:ascii="宋体" w:hAnsi="宋体"/>
          <w:highlight w:val="none"/>
        </w:rPr>
        <w:t xml:space="preserve">    </w:t>
      </w:r>
    </w:p>
    <w:p>
      <w:pPr>
        <w:rPr>
          <w:rFonts w:ascii="宋体" w:hAnsi="宋体"/>
          <w:highlight w:val="none"/>
        </w:rPr>
      </w:pPr>
      <w:r>
        <w:rPr>
          <w:rFonts w:hint="eastAsia" w:ascii="宋体" w:hAnsi="宋体"/>
          <w:highlight w:val="none"/>
        </w:rPr>
        <w:t xml:space="preserve">    2、投标保证金限定从投标人基本账户转出。</w:t>
      </w:r>
    </w:p>
    <w:p>
      <w:pPr>
        <w:pStyle w:val="3"/>
        <w:numPr>
          <w:ilvl w:val="0"/>
          <w:numId w:val="0"/>
        </w:numPr>
        <w:snapToGrid w:val="0"/>
        <w:spacing w:before="120" w:after="120"/>
        <w:jc w:val="left"/>
        <w:rPr>
          <w:sz w:val="24"/>
          <w:szCs w:val="24"/>
          <w:highlight w:val="none"/>
        </w:rPr>
      </w:pPr>
      <w:bookmarkStart w:id="487" w:name="_Toc520971424"/>
      <w:bookmarkStart w:id="488" w:name="_Toc9407"/>
      <w:bookmarkStart w:id="489" w:name="_Toc1597"/>
      <w:bookmarkStart w:id="490" w:name="_Toc31629"/>
      <w:bookmarkStart w:id="491" w:name="_Toc16047"/>
      <w:bookmarkStart w:id="492" w:name="_Toc489230122"/>
      <w:bookmarkStart w:id="493" w:name="_Toc2245"/>
      <w:r>
        <w:rPr>
          <w:rFonts w:hint="eastAsia"/>
          <w:sz w:val="24"/>
          <w:szCs w:val="24"/>
          <w:highlight w:val="none"/>
        </w:rPr>
        <w:t>格式9：</w:t>
      </w:r>
      <w:bookmarkEnd w:id="487"/>
      <w:r>
        <w:rPr>
          <w:rFonts w:hint="eastAsia"/>
          <w:sz w:val="24"/>
          <w:szCs w:val="24"/>
          <w:highlight w:val="none"/>
        </w:rPr>
        <w:t>企业信誉</w:t>
      </w:r>
      <w:bookmarkEnd w:id="488"/>
      <w:bookmarkEnd w:id="489"/>
      <w:bookmarkEnd w:id="490"/>
    </w:p>
    <w:p>
      <w:pPr>
        <w:tabs>
          <w:tab w:val="left" w:pos="2520"/>
        </w:tabs>
        <w:spacing w:line="360" w:lineRule="auto"/>
        <w:jc w:val="center"/>
        <w:rPr>
          <w:rFonts w:ascii="宋体" w:hAnsi="宋体"/>
          <w:b/>
          <w:highlight w:val="none"/>
        </w:rPr>
      </w:pPr>
      <w:r>
        <w:rPr>
          <w:rFonts w:hint="eastAsia" w:ascii="宋体" w:hAnsi="宋体"/>
          <w:b/>
          <w:highlight w:val="none"/>
        </w:rPr>
        <w:t>（1）奖励</w:t>
      </w:r>
      <w:r>
        <w:rPr>
          <w:rFonts w:ascii="宋体" w:hAnsi="宋体"/>
          <w:b/>
          <w:highlight w:val="none"/>
        </w:rPr>
        <w:t>/证书一览表</w:t>
      </w:r>
    </w:p>
    <w:tbl>
      <w:tblPr>
        <w:tblStyle w:val="43"/>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2386"/>
        <w:gridCol w:w="2387"/>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2386" w:type="dxa"/>
            <w:vAlign w:val="center"/>
          </w:tcPr>
          <w:p>
            <w:pPr>
              <w:jc w:val="center"/>
              <w:rPr>
                <w:rFonts w:ascii="宋体" w:hAnsi="Calibri"/>
                <w:sz w:val="24"/>
                <w:highlight w:val="none"/>
              </w:rPr>
            </w:pPr>
            <w:r>
              <w:rPr>
                <w:rFonts w:hint="eastAsia" w:ascii="宋体" w:hAnsi="Calibri"/>
                <w:sz w:val="24"/>
                <w:highlight w:val="none"/>
              </w:rPr>
              <w:t>证书名称</w:t>
            </w:r>
          </w:p>
        </w:tc>
        <w:tc>
          <w:tcPr>
            <w:tcW w:w="2386" w:type="dxa"/>
            <w:vAlign w:val="center"/>
          </w:tcPr>
          <w:p>
            <w:pPr>
              <w:jc w:val="center"/>
              <w:rPr>
                <w:rFonts w:ascii="宋体" w:hAnsi="Calibri"/>
                <w:sz w:val="24"/>
                <w:highlight w:val="none"/>
              </w:rPr>
            </w:pPr>
            <w:r>
              <w:rPr>
                <w:rFonts w:hint="eastAsia" w:ascii="宋体" w:hAnsi="Calibri"/>
                <w:sz w:val="24"/>
                <w:highlight w:val="none"/>
              </w:rPr>
              <w:t>发证单位</w:t>
            </w:r>
          </w:p>
        </w:tc>
        <w:tc>
          <w:tcPr>
            <w:tcW w:w="2387" w:type="dxa"/>
            <w:vAlign w:val="center"/>
          </w:tcPr>
          <w:p>
            <w:pPr>
              <w:jc w:val="center"/>
              <w:rPr>
                <w:rFonts w:ascii="宋体" w:hAnsi="Calibri"/>
                <w:sz w:val="24"/>
                <w:highlight w:val="none"/>
              </w:rPr>
            </w:pPr>
            <w:r>
              <w:rPr>
                <w:rFonts w:hint="eastAsia" w:ascii="宋体" w:hAnsi="Calibri"/>
                <w:sz w:val="24"/>
                <w:highlight w:val="none"/>
              </w:rPr>
              <w:t>证书等级</w:t>
            </w:r>
          </w:p>
        </w:tc>
        <w:tc>
          <w:tcPr>
            <w:tcW w:w="2387" w:type="dxa"/>
            <w:vAlign w:val="center"/>
          </w:tcPr>
          <w:p>
            <w:pPr>
              <w:jc w:val="center"/>
              <w:rPr>
                <w:rFonts w:ascii="宋体" w:hAnsi="Calibri"/>
                <w:sz w:val="24"/>
                <w:highlight w:val="none"/>
              </w:rPr>
            </w:pPr>
            <w:r>
              <w:rPr>
                <w:rFonts w:hint="eastAsia" w:ascii="宋体" w:hAnsi="Calibri"/>
                <w:sz w:val="24"/>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Cs w:val="21"/>
                <w:highlight w:val="none"/>
              </w:rPr>
            </w:pPr>
          </w:p>
        </w:tc>
        <w:tc>
          <w:tcPr>
            <w:tcW w:w="2386"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Cs w:val="21"/>
                <w:highlight w:val="none"/>
              </w:rPr>
            </w:pPr>
          </w:p>
        </w:tc>
        <w:tc>
          <w:tcPr>
            <w:tcW w:w="2386"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Cs w:val="21"/>
                <w:highlight w:val="none"/>
              </w:rPr>
            </w:pPr>
          </w:p>
        </w:tc>
        <w:tc>
          <w:tcPr>
            <w:tcW w:w="2386"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2386" w:type="dxa"/>
            <w:vAlign w:val="center"/>
          </w:tcPr>
          <w:p>
            <w:pPr>
              <w:jc w:val="center"/>
              <w:rPr>
                <w:rFonts w:ascii="宋体" w:hAnsi="Calibri"/>
                <w:szCs w:val="21"/>
                <w:highlight w:val="none"/>
              </w:rPr>
            </w:pPr>
          </w:p>
        </w:tc>
        <w:tc>
          <w:tcPr>
            <w:tcW w:w="2386"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Cs w:val="21"/>
                <w:highlight w:val="none"/>
              </w:rPr>
            </w:pPr>
          </w:p>
        </w:tc>
        <w:tc>
          <w:tcPr>
            <w:tcW w:w="2386"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Cs w:val="21"/>
                <w:highlight w:val="none"/>
              </w:rPr>
            </w:pPr>
          </w:p>
        </w:tc>
        <w:tc>
          <w:tcPr>
            <w:tcW w:w="2386"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r>
    </w:tbl>
    <w:p>
      <w:pPr>
        <w:rPr>
          <w:rFonts w:ascii="宋体"/>
          <w:sz w:val="24"/>
          <w:highlight w:val="none"/>
        </w:rPr>
      </w:pPr>
    </w:p>
    <w:p>
      <w:pPr>
        <w:rPr>
          <w:rFonts w:ascii="宋体"/>
          <w:sz w:val="24"/>
          <w:highlight w:val="none"/>
        </w:rPr>
      </w:pPr>
      <w:r>
        <w:rPr>
          <w:rFonts w:hint="eastAsia" w:ascii="宋体"/>
          <w:sz w:val="24"/>
          <w:highlight w:val="none"/>
        </w:rPr>
        <w:t>填写要求：</w:t>
      </w:r>
    </w:p>
    <w:p>
      <w:pPr>
        <w:rPr>
          <w:rFonts w:ascii="宋体" w:hAnsi="宋体"/>
          <w:sz w:val="24"/>
          <w:highlight w:val="none"/>
        </w:rPr>
      </w:pPr>
      <w:r>
        <w:rPr>
          <w:rFonts w:hint="eastAsia" w:ascii="宋体"/>
          <w:sz w:val="24"/>
          <w:highlight w:val="none"/>
        </w:rPr>
        <w:t>1、列出</w:t>
      </w:r>
      <w:r>
        <w:rPr>
          <w:rFonts w:hint="eastAsia" w:ascii="宋体" w:hAnsi="宋体"/>
          <w:sz w:val="24"/>
          <w:highlight w:val="none"/>
        </w:rPr>
        <w:t>国家有关部门或行业协会颁发的资质等级或奖项。</w:t>
      </w:r>
    </w:p>
    <w:p>
      <w:pPr>
        <w:rPr>
          <w:rFonts w:ascii="宋体"/>
          <w:sz w:val="24"/>
          <w:highlight w:val="none"/>
        </w:rPr>
      </w:pPr>
      <w:r>
        <w:rPr>
          <w:rFonts w:hint="eastAsia" w:ascii="宋体"/>
          <w:sz w:val="24"/>
          <w:highlight w:val="none"/>
        </w:rPr>
        <w:t>2、提供所列证书材料复印件。</w:t>
      </w:r>
    </w:p>
    <w:p>
      <w:pPr>
        <w:rPr>
          <w:rFonts w:ascii="宋体"/>
          <w:sz w:val="24"/>
          <w:highlight w:val="none"/>
        </w:rPr>
      </w:pPr>
    </w:p>
    <w:p>
      <w:pPr>
        <w:jc w:val="center"/>
        <w:rPr>
          <w:rFonts w:ascii="宋体"/>
          <w:sz w:val="24"/>
          <w:highlight w:val="none"/>
        </w:rPr>
      </w:pPr>
      <w:r>
        <w:rPr>
          <w:rFonts w:hint="eastAsia" w:ascii="宋体"/>
          <w:sz w:val="24"/>
          <w:highlight w:val="none"/>
        </w:rPr>
        <w:t xml:space="preserve">                                      投标人：（公章）</w:t>
      </w:r>
    </w:p>
    <w:p>
      <w:pPr>
        <w:jc w:val="center"/>
        <w:rPr>
          <w:rFonts w:ascii="宋体"/>
          <w:sz w:val="24"/>
          <w:highlight w:val="none"/>
        </w:rPr>
      </w:pPr>
      <w:r>
        <w:rPr>
          <w:rFonts w:hint="eastAsia" w:ascii="宋体"/>
          <w:sz w:val="24"/>
          <w:highlight w:val="none"/>
        </w:rPr>
        <w:t xml:space="preserve">                         日期：</w:t>
      </w:r>
    </w:p>
    <w:p>
      <w:pPr>
        <w:jc w:val="center"/>
        <w:rPr>
          <w:rFonts w:ascii="宋体"/>
          <w:sz w:val="24"/>
          <w:highlight w:val="none"/>
        </w:rPr>
      </w:pPr>
    </w:p>
    <w:p>
      <w:pPr>
        <w:tabs>
          <w:tab w:val="left" w:pos="2520"/>
        </w:tabs>
        <w:spacing w:line="360" w:lineRule="auto"/>
        <w:jc w:val="center"/>
        <w:rPr>
          <w:rFonts w:ascii="宋体" w:hAnsi="宋体"/>
          <w:b/>
          <w:highlight w:val="none"/>
        </w:rPr>
      </w:pPr>
      <w:r>
        <w:rPr>
          <w:rFonts w:hint="eastAsia" w:ascii="宋体" w:hAnsi="宋体"/>
          <w:b/>
          <w:highlight w:val="none"/>
        </w:rPr>
        <w:t>（2）管理体系</w:t>
      </w:r>
      <w:r>
        <w:rPr>
          <w:rFonts w:ascii="宋体" w:hAnsi="宋体"/>
          <w:b/>
          <w:highlight w:val="none"/>
        </w:rPr>
        <w:t>证书一览表</w:t>
      </w:r>
    </w:p>
    <w:tbl>
      <w:tblPr>
        <w:tblStyle w:val="43"/>
        <w:tblW w:w="7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2386"/>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2386" w:type="dxa"/>
            <w:vAlign w:val="center"/>
          </w:tcPr>
          <w:p>
            <w:pPr>
              <w:jc w:val="center"/>
              <w:rPr>
                <w:rFonts w:ascii="宋体" w:hAnsi="Calibri"/>
                <w:sz w:val="24"/>
                <w:highlight w:val="none"/>
              </w:rPr>
            </w:pPr>
            <w:r>
              <w:rPr>
                <w:rFonts w:hint="eastAsia" w:ascii="宋体" w:hAnsi="Calibri"/>
                <w:sz w:val="24"/>
                <w:highlight w:val="none"/>
              </w:rPr>
              <w:t>证书名称</w:t>
            </w:r>
          </w:p>
        </w:tc>
        <w:tc>
          <w:tcPr>
            <w:tcW w:w="2386" w:type="dxa"/>
            <w:vAlign w:val="center"/>
          </w:tcPr>
          <w:p>
            <w:pPr>
              <w:jc w:val="center"/>
              <w:rPr>
                <w:rFonts w:ascii="宋体" w:hAnsi="Calibri"/>
                <w:sz w:val="24"/>
                <w:highlight w:val="none"/>
              </w:rPr>
            </w:pPr>
            <w:r>
              <w:rPr>
                <w:rFonts w:hint="eastAsia" w:ascii="宋体" w:hAnsi="Calibri"/>
                <w:sz w:val="24"/>
                <w:highlight w:val="none"/>
              </w:rPr>
              <w:t>发证单位</w:t>
            </w:r>
          </w:p>
        </w:tc>
        <w:tc>
          <w:tcPr>
            <w:tcW w:w="2387" w:type="dxa"/>
            <w:vAlign w:val="center"/>
          </w:tcPr>
          <w:p>
            <w:pPr>
              <w:jc w:val="center"/>
              <w:rPr>
                <w:rFonts w:ascii="宋体" w:hAnsi="Calibri"/>
                <w:sz w:val="24"/>
                <w:highlight w:val="none"/>
              </w:rPr>
            </w:pPr>
            <w:r>
              <w:rPr>
                <w:rFonts w:hint="eastAsia" w:ascii="宋体" w:hAnsi="Calibri"/>
                <w:sz w:val="24"/>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Cs w:val="21"/>
                <w:highlight w:val="none"/>
              </w:rPr>
            </w:pPr>
          </w:p>
        </w:tc>
        <w:tc>
          <w:tcPr>
            <w:tcW w:w="2386"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Cs w:val="21"/>
                <w:highlight w:val="none"/>
              </w:rPr>
            </w:pPr>
          </w:p>
        </w:tc>
        <w:tc>
          <w:tcPr>
            <w:tcW w:w="2386"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Cs w:val="21"/>
                <w:highlight w:val="none"/>
              </w:rPr>
            </w:pPr>
          </w:p>
        </w:tc>
        <w:tc>
          <w:tcPr>
            <w:tcW w:w="2386" w:type="dxa"/>
            <w:vAlign w:val="center"/>
          </w:tcPr>
          <w:p>
            <w:pPr>
              <w:jc w:val="center"/>
              <w:rPr>
                <w:rFonts w:ascii="宋体" w:hAnsi="Calibri"/>
                <w:szCs w:val="21"/>
                <w:highlight w:val="none"/>
              </w:rPr>
            </w:pPr>
          </w:p>
        </w:tc>
        <w:tc>
          <w:tcPr>
            <w:tcW w:w="2387" w:type="dxa"/>
            <w:vAlign w:val="center"/>
          </w:tcPr>
          <w:p>
            <w:pPr>
              <w:jc w:val="center"/>
              <w:rPr>
                <w:rFonts w:ascii="宋体" w:hAnsi="Calibri"/>
                <w:szCs w:val="21"/>
                <w:highlight w:val="none"/>
              </w:rPr>
            </w:pPr>
          </w:p>
        </w:tc>
      </w:tr>
    </w:tbl>
    <w:p>
      <w:pPr>
        <w:rPr>
          <w:rFonts w:ascii="宋体"/>
          <w:sz w:val="24"/>
          <w:highlight w:val="none"/>
        </w:rPr>
      </w:pPr>
    </w:p>
    <w:p>
      <w:pPr>
        <w:rPr>
          <w:rFonts w:ascii="宋体"/>
          <w:sz w:val="24"/>
          <w:highlight w:val="none"/>
        </w:rPr>
      </w:pPr>
      <w:r>
        <w:rPr>
          <w:rFonts w:hint="eastAsia" w:ascii="宋体"/>
          <w:sz w:val="24"/>
          <w:highlight w:val="none"/>
        </w:rPr>
        <w:t>填写要求：</w:t>
      </w:r>
    </w:p>
    <w:p>
      <w:pPr>
        <w:rPr>
          <w:rFonts w:ascii="宋体" w:hAnsi="宋体"/>
          <w:sz w:val="24"/>
          <w:highlight w:val="none"/>
        </w:rPr>
      </w:pPr>
      <w:r>
        <w:rPr>
          <w:rFonts w:hint="eastAsia" w:ascii="宋体" w:hAnsi="宋体"/>
          <w:sz w:val="24"/>
          <w:highlight w:val="none"/>
        </w:rPr>
        <w:t>1、如投标人具备ISO 9001质量管理体系认证证书、OHSAS 18001职业健康和安全管理体系认证证书、ISO14001环境管理体系认证，请在上表中列明。</w:t>
      </w:r>
    </w:p>
    <w:p>
      <w:pPr>
        <w:rPr>
          <w:rFonts w:ascii="宋体" w:hAnsi="宋体"/>
          <w:sz w:val="24"/>
          <w:highlight w:val="none"/>
        </w:rPr>
      </w:pPr>
      <w:r>
        <w:rPr>
          <w:rFonts w:hint="eastAsia" w:ascii="宋体" w:hAnsi="宋体"/>
          <w:sz w:val="24"/>
          <w:highlight w:val="none"/>
        </w:rPr>
        <w:t>2、提供所列证书材料的复印件。</w:t>
      </w:r>
    </w:p>
    <w:p>
      <w:pPr>
        <w:jc w:val="center"/>
        <w:rPr>
          <w:rFonts w:ascii="宋体"/>
          <w:sz w:val="24"/>
          <w:highlight w:val="none"/>
        </w:rPr>
      </w:pPr>
    </w:p>
    <w:p>
      <w:pPr>
        <w:jc w:val="center"/>
        <w:rPr>
          <w:rFonts w:ascii="宋体"/>
          <w:sz w:val="24"/>
          <w:highlight w:val="none"/>
        </w:rPr>
      </w:pPr>
      <w:r>
        <w:rPr>
          <w:rFonts w:hint="eastAsia" w:ascii="宋体"/>
          <w:sz w:val="24"/>
          <w:highlight w:val="none"/>
        </w:rPr>
        <w:t xml:space="preserve">          投标人：（公章）</w:t>
      </w:r>
    </w:p>
    <w:p>
      <w:pPr>
        <w:jc w:val="center"/>
        <w:rPr>
          <w:rFonts w:ascii="宋体"/>
          <w:sz w:val="24"/>
          <w:highlight w:val="none"/>
        </w:rPr>
      </w:pPr>
      <w:r>
        <w:rPr>
          <w:rFonts w:hint="eastAsia" w:ascii="宋体"/>
          <w:sz w:val="24"/>
          <w:highlight w:val="none"/>
        </w:rPr>
        <w:t>日期：</w:t>
      </w:r>
    </w:p>
    <w:p>
      <w:pPr>
        <w:widowControl/>
        <w:jc w:val="left"/>
        <w:rPr>
          <w:rFonts w:ascii="宋体" w:hAnsi="Arial" w:eastAsia="黑体"/>
          <w:b/>
          <w:kern w:val="0"/>
          <w:sz w:val="24"/>
          <w:szCs w:val="20"/>
          <w:highlight w:val="none"/>
        </w:rPr>
      </w:pPr>
    </w:p>
    <w:p>
      <w:pPr>
        <w:pStyle w:val="3"/>
        <w:numPr>
          <w:ilvl w:val="0"/>
          <w:numId w:val="0"/>
        </w:numPr>
        <w:snapToGrid w:val="0"/>
        <w:spacing w:before="120" w:after="120"/>
        <w:jc w:val="left"/>
        <w:rPr>
          <w:sz w:val="24"/>
          <w:szCs w:val="24"/>
          <w:highlight w:val="none"/>
        </w:rPr>
      </w:pPr>
      <w:bookmarkStart w:id="494" w:name="_Toc520971425"/>
      <w:r>
        <w:rPr>
          <w:rFonts w:hint="eastAsia"/>
          <w:sz w:val="24"/>
          <w:szCs w:val="24"/>
          <w:highlight w:val="none"/>
        </w:rPr>
        <w:br w:type="page"/>
      </w:r>
    </w:p>
    <w:p>
      <w:pPr>
        <w:pStyle w:val="3"/>
        <w:numPr>
          <w:ilvl w:val="0"/>
          <w:numId w:val="0"/>
        </w:numPr>
        <w:snapToGrid w:val="0"/>
        <w:spacing w:before="120" w:after="120"/>
        <w:jc w:val="left"/>
        <w:rPr>
          <w:sz w:val="24"/>
          <w:szCs w:val="24"/>
          <w:highlight w:val="none"/>
        </w:rPr>
      </w:pPr>
      <w:bookmarkStart w:id="495" w:name="_Toc15718"/>
      <w:bookmarkStart w:id="496" w:name="_Toc6828"/>
      <w:bookmarkStart w:id="497" w:name="_Toc4579"/>
      <w:r>
        <w:rPr>
          <w:rFonts w:hint="eastAsia"/>
          <w:sz w:val="24"/>
          <w:szCs w:val="24"/>
          <w:highlight w:val="none"/>
        </w:rPr>
        <w:t>格式10：财务状况</w:t>
      </w:r>
      <w:bookmarkEnd w:id="495"/>
      <w:bookmarkEnd w:id="496"/>
      <w:bookmarkEnd w:id="497"/>
    </w:p>
    <w:p>
      <w:pPr>
        <w:jc w:val="center"/>
        <w:rPr>
          <w:rFonts w:ascii="宋体"/>
          <w:b/>
          <w:bCs/>
          <w:szCs w:val="21"/>
          <w:highlight w:val="none"/>
        </w:rPr>
      </w:pPr>
      <w:r>
        <w:rPr>
          <w:rFonts w:hint="eastAsia" w:ascii="宋体"/>
          <w:b/>
          <w:bCs/>
          <w:szCs w:val="21"/>
          <w:highlight w:val="none"/>
        </w:rPr>
        <w:t>（1）投标人近三年（2016-2018）主营业务累计营业额</w:t>
      </w:r>
    </w:p>
    <w:p>
      <w:pPr>
        <w:jc w:val="center"/>
        <w:rPr>
          <w:rFonts w:asciiTheme="minorEastAsia" w:hAnsiTheme="minorEastAsia" w:eastAsiaTheme="minorEastAsia"/>
          <w:szCs w:val="21"/>
          <w:highlight w:val="none"/>
        </w:rPr>
      </w:pPr>
    </w:p>
    <w:p>
      <w:pPr>
        <w:jc w:val="center"/>
        <w:rPr>
          <w:rFonts w:asciiTheme="minorEastAsia" w:hAnsiTheme="minorEastAsia" w:eastAsiaTheme="minorEastAsia"/>
          <w:szCs w:val="21"/>
          <w:highlight w:val="none"/>
        </w:rPr>
      </w:pPr>
    </w:p>
    <w:tbl>
      <w:tblPr>
        <w:tblStyle w:val="43"/>
        <w:tblW w:w="8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2386" w:type="dxa"/>
            <w:vAlign w:val="center"/>
          </w:tcPr>
          <w:p>
            <w:pPr>
              <w:jc w:val="center"/>
              <w:rPr>
                <w:rFonts w:ascii="宋体" w:hAnsi="Calibri"/>
                <w:sz w:val="24"/>
                <w:highlight w:val="none"/>
              </w:rPr>
            </w:pPr>
            <w:r>
              <w:rPr>
                <w:rFonts w:hint="eastAsia" w:ascii="宋体" w:hAnsi="Calibri"/>
                <w:sz w:val="24"/>
                <w:highlight w:val="none"/>
              </w:rPr>
              <w:t>年度</w:t>
            </w:r>
          </w:p>
        </w:tc>
        <w:tc>
          <w:tcPr>
            <w:tcW w:w="5798" w:type="dxa"/>
            <w:vAlign w:val="center"/>
          </w:tcPr>
          <w:p>
            <w:pPr>
              <w:jc w:val="center"/>
              <w:rPr>
                <w:rFonts w:ascii="宋体" w:hAnsi="Calibri"/>
                <w:sz w:val="24"/>
                <w:highlight w:val="none"/>
              </w:rPr>
            </w:pPr>
            <w:r>
              <w:rPr>
                <w:rFonts w:hint="eastAsia" w:ascii="宋体" w:hAnsi="Calibri"/>
                <w:sz w:val="24"/>
                <w:highlight w:val="none"/>
              </w:rPr>
              <w:t>主营业务营业额</w:t>
            </w:r>
          </w:p>
          <w:p>
            <w:pPr>
              <w:jc w:val="center"/>
              <w:rPr>
                <w:rFonts w:ascii="宋体" w:hAnsi="Calibri"/>
                <w:sz w:val="24"/>
                <w:highlight w:val="none"/>
              </w:rPr>
            </w:pPr>
            <w:r>
              <w:rPr>
                <w:rFonts w:hint="eastAsia" w:ascii="宋体" w:hAnsi="Calibri"/>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 w:val="24"/>
                <w:highlight w:val="none"/>
              </w:rPr>
            </w:pPr>
            <w:r>
              <w:rPr>
                <w:rFonts w:hint="eastAsia" w:ascii="宋体" w:hAnsi="Calibri"/>
                <w:sz w:val="24"/>
                <w:highlight w:val="none"/>
              </w:rPr>
              <w:t>2016</w:t>
            </w:r>
          </w:p>
        </w:tc>
        <w:tc>
          <w:tcPr>
            <w:tcW w:w="5798" w:type="dxa"/>
            <w:vAlign w:val="center"/>
          </w:tcPr>
          <w:p>
            <w:pPr>
              <w:jc w:val="center"/>
              <w:rPr>
                <w:rFonts w:ascii="宋体"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 w:val="24"/>
                <w:highlight w:val="none"/>
              </w:rPr>
            </w:pPr>
            <w:r>
              <w:rPr>
                <w:rFonts w:hint="eastAsia" w:ascii="宋体" w:hAnsi="Calibri"/>
                <w:sz w:val="24"/>
                <w:highlight w:val="none"/>
              </w:rPr>
              <w:t>2017</w:t>
            </w:r>
          </w:p>
        </w:tc>
        <w:tc>
          <w:tcPr>
            <w:tcW w:w="5798" w:type="dxa"/>
            <w:vAlign w:val="center"/>
          </w:tcPr>
          <w:p>
            <w:pPr>
              <w:jc w:val="center"/>
              <w:rPr>
                <w:rFonts w:ascii="宋体"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 w:val="24"/>
                <w:highlight w:val="none"/>
              </w:rPr>
            </w:pPr>
            <w:r>
              <w:rPr>
                <w:rFonts w:hint="eastAsia" w:ascii="宋体" w:hAnsi="Calibri"/>
                <w:sz w:val="24"/>
                <w:highlight w:val="none"/>
              </w:rPr>
              <w:t>2018</w:t>
            </w:r>
          </w:p>
        </w:tc>
        <w:tc>
          <w:tcPr>
            <w:tcW w:w="5798" w:type="dxa"/>
            <w:vAlign w:val="center"/>
          </w:tcPr>
          <w:p>
            <w:pPr>
              <w:jc w:val="center"/>
              <w:rPr>
                <w:rFonts w:ascii="宋体"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6" w:type="dxa"/>
            <w:vAlign w:val="center"/>
          </w:tcPr>
          <w:p>
            <w:pPr>
              <w:jc w:val="center"/>
              <w:rPr>
                <w:rFonts w:ascii="宋体" w:hAnsi="Calibri"/>
                <w:sz w:val="24"/>
                <w:highlight w:val="none"/>
              </w:rPr>
            </w:pPr>
            <w:r>
              <w:rPr>
                <w:rFonts w:hint="eastAsia" w:ascii="宋体" w:hAnsi="Calibri"/>
                <w:sz w:val="24"/>
                <w:highlight w:val="none"/>
              </w:rPr>
              <w:t>三年累积</w:t>
            </w:r>
          </w:p>
        </w:tc>
        <w:tc>
          <w:tcPr>
            <w:tcW w:w="5798" w:type="dxa"/>
            <w:vAlign w:val="center"/>
          </w:tcPr>
          <w:p>
            <w:pPr>
              <w:jc w:val="center"/>
              <w:rPr>
                <w:rFonts w:ascii="宋体" w:hAnsi="Calibri"/>
                <w:szCs w:val="21"/>
                <w:highlight w:val="none"/>
              </w:rPr>
            </w:pPr>
          </w:p>
        </w:tc>
      </w:tr>
    </w:tbl>
    <w:p>
      <w:pPr>
        <w:jc w:val="center"/>
        <w:rPr>
          <w:rFonts w:asciiTheme="minorEastAsia" w:hAnsiTheme="minorEastAsia" w:eastAsiaTheme="minorEastAsia"/>
          <w:szCs w:val="21"/>
          <w:highlight w:val="none"/>
        </w:rPr>
      </w:pPr>
    </w:p>
    <w:p>
      <w:pPr>
        <w:jc w:val="center"/>
        <w:rPr>
          <w:rFonts w:asciiTheme="minorEastAsia" w:hAnsiTheme="minorEastAsia" w:eastAsiaTheme="minorEastAsia"/>
          <w:szCs w:val="21"/>
          <w:highlight w:val="none"/>
        </w:rPr>
      </w:pPr>
    </w:p>
    <w:p>
      <w:pPr>
        <w:rPr>
          <w:rFonts w:ascii="宋体" w:hAnsi="宋体"/>
          <w:sz w:val="24"/>
          <w:highlight w:val="none"/>
        </w:rPr>
      </w:pPr>
      <w:r>
        <w:rPr>
          <w:rFonts w:hint="eastAsia" w:ascii="宋体" w:hAnsi="宋体"/>
          <w:sz w:val="24"/>
          <w:highlight w:val="none"/>
        </w:rPr>
        <w:t>注：提供经第三方会计师事务所审计的财务报表的复印件。</w:t>
      </w:r>
    </w:p>
    <w:p>
      <w:pPr>
        <w:jc w:val="center"/>
        <w:rPr>
          <w:rFonts w:ascii="宋体"/>
          <w:sz w:val="24"/>
          <w:highlight w:val="none"/>
        </w:rPr>
      </w:pPr>
    </w:p>
    <w:p>
      <w:pPr>
        <w:jc w:val="center"/>
        <w:rPr>
          <w:rFonts w:ascii="宋体"/>
          <w:sz w:val="24"/>
          <w:highlight w:val="none"/>
        </w:rPr>
      </w:pPr>
    </w:p>
    <w:p>
      <w:pPr>
        <w:jc w:val="center"/>
        <w:rPr>
          <w:rFonts w:ascii="宋体"/>
          <w:sz w:val="24"/>
          <w:highlight w:val="none"/>
        </w:rPr>
      </w:pPr>
      <w:r>
        <w:rPr>
          <w:rFonts w:hint="eastAsia" w:ascii="宋体"/>
          <w:sz w:val="24"/>
          <w:highlight w:val="none"/>
        </w:rPr>
        <w:t xml:space="preserve">          投标人：（公章）</w:t>
      </w:r>
    </w:p>
    <w:p>
      <w:pPr>
        <w:jc w:val="center"/>
        <w:rPr>
          <w:rFonts w:ascii="宋体"/>
          <w:sz w:val="24"/>
          <w:highlight w:val="none"/>
        </w:rPr>
      </w:pPr>
      <w:r>
        <w:rPr>
          <w:rFonts w:hint="eastAsia" w:ascii="宋体"/>
          <w:sz w:val="24"/>
          <w:highlight w:val="none"/>
        </w:rPr>
        <w:t>日期：</w:t>
      </w:r>
    </w:p>
    <w:p>
      <w:pPr>
        <w:jc w:val="center"/>
        <w:rPr>
          <w:rFonts w:ascii="宋体"/>
          <w:sz w:val="24"/>
          <w:highlight w:val="none"/>
        </w:rPr>
      </w:pPr>
    </w:p>
    <w:p>
      <w:pPr>
        <w:jc w:val="center"/>
        <w:rPr>
          <w:rFonts w:ascii="宋体"/>
          <w:sz w:val="24"/>
          <w:highlight w:val="none"/>
        </w:rPr>
      </w:pPr>
    </w:p>
    <w:p>
      <w:pPr>
        <w:jc w:val="center"/>
        <w:rPr>
          <w:rFonts w:ascii="宋体"/>
          <w:sz w:val="24"/>
          <w:highlight w:val="none"/>
        </w:rPr>
      </w:pPr>
    </w:p>
    <w:p>
      <w:pPr>
        <w:numPr>
          <w:ilvl w:val="0"/>
          <w:numId w:val="17"/>
        </w:numPr>
        <w:jc w:val="center"/>
        <w:rPr>
          <w:rFonts w:cs="Arial" w:asciiTheme="minorEastAsia" w:hAnsiTheme="minorEastAsia" w:eastAsiaTheme="minorEastAsia"/>
          <w:b/>
          <w:szCs w:val="21"/>
          <w:highlight w:val="none"/>
        </w:rPr>
      </w:pPr>
      <w:r>
        <w:rPr>
          <w:rFonts w:hint="eastAsia" w:ascii="宋体"/>
          <w:b/>
          <w:bCs/>
          <w:szCs w:val="21"/>
          <w:highlight w:val="none"/>
        </w:rPr>
        <w:t>投标人</w:t>
      </w:r>
      <w:r>
        <w:rPr>
          <w:rFonts w:hint="eastAsia" w:cs="Arial" w:asciiTheme="minorEastAsia" w:hAnsiTheme="minorEastAsia" w:eastAsiaTheme="minorEastAsia"/>
          <w:b/>
          <w:szCs w:val="21"/>
          <w:highlight w:val="none"/>
        </w:rPr>
        <w:t>实缴注册资金</w:t>
      </w:r>
    </w:p>
    <w:p>
      <w:pPr>
        <w:rPr>
          <w:rFonts w:ascii="宋体" w:hAnsi="宋体"/>
          <w:sz w:val="24"/>
          <w:highlight w:val="none"/>
        </w:rPr>
      </w:pPr>
    </w:p>
    <w:p>
      <w:pPr>
        <w:rPr>
          <w:rFonts w:ascii="宋体" w:hAnsi="宋体"/>
          <w:sz w:val="24"/>
          <w:highlight w:val="none"/>
        </w:rPr>
      </w:pPr>
      <w:r>
        <w:rPr>
          <w:rFonts w:hint="eastAsia" w:ascii="宋体" w:hAnsi="宋体"/>
          <w:sz w:val="24"/>
          <w:highlight w:val="none"/>
        </w:rPr>
        <w:t>致：佛山市恒益环保建材有限公司</w:t>
      </w:r>
    </w:p>
    <w:p>
      <w:pPr>
        <w:ind w:firstLine="480"/>
        <w:rPr>
          <w:rFonts w:ascii="宋体" w:hAnsi="宋体"/>
          <w:sz w:val="24"/>
          <w:highlight w:val="none"/>
        </w:rPr>
      </w:pPr>
      <w:r>
        <w:rPr>
          <w:rFonts w:hint="eastAsia" w:ascii="宋体" w:hAnsi="宋体"/>
          <w:sz w:val="24"/>
          <w:highlight w:val="none"/>
        </w:rPr>
        <w:t>我司的实缴注册资本为（        ）。</w:t>
      </w:r>
    </w:p>
    <w:p>
      <w:pPr>
        <w:rPr>
          <w:rFonts w:ascii="宋体" w:hAnsi="宋体"/>
          <w:sz w:val="24"/>
          <w:highlight w:val="none"/>
        </w:rPr>
      </w:pPr>
    </w:p>
    <w:p>
      <w:pPr>
        <w:rPr>
          <w:rFonts w:ascii="宋体" w:hAnsi="宋体"/>
          <w:sz w:val="24"/>
          <w:highlight w:val="none"/>
        </w:rPr>
      </w:pPr>
      <w:r>
        <w:rPr>
          <w:rFonts w:hint="eastAsia" w:ascii="宋体" w:hAnsi="宋体"/>
          <w:sz w:val="24"/>
          <w:highlight w:val="none"/>
        </w:rPr>
        <w:t>注：投标人须提供相应的证明文件。</w:t>
      </w:r>
    </w:p>
    <w:p>
      <w:pPr>
        <w:jc w:val="center"/>
        <w:rPr>
          <w:rFonts w:ascii="宋体"/>
          <w:sz w:val="24"/>
          <w:highlight w:val="none"/>
        </w:rPr>
      </w:pPr>
    </w:p>
    <w:p>
      <w:pPr>
        <w:jc w:val="center"/>
        <w:rPr>
          <w:rFonts w:ascii="宋体"/>
          <w:sz w:val="24"/>
          <w:highlight w:val="none"/>
        </w:rPr>
      </w:pPr>
    </w:p>
    <w:p>
      <w:pPr>
        <w:jc w:val="center"/>
        <w:rPr>
          <w:rFonts w:ascii="宋体"/>
          <w:sz w:val="24"/>
          <w:highlight w:val="none"/>
        </w:rPr>
      </w:pPr>
      <w:r>
        <w:rPr>
          <w:rFonts w:hint="eastAsia" w:ascii="宋体"/>
          <w:sz w:val="24"/>
          <w:highlight w:val="none"/>
        </w:rPr>
        <w:t xml:space="preserve">                                      投标人：（公章）</w:t>
      </w:r>
    </w:p>
    <w:p>
      <w:pPr>
        <w:ind w:firstLine="5760" w:firstLineChars="2400"/>
        <w:rPr>
          <w:rFonts w:ascii="宋体"/>
          <w:sz w:val="24"/>
          <w:highlight w:val="none"/>
        </w:rPr>
      </w:pPr>
      <w:r>
        <w:rPr>
          <w:rFonts w:hint="eastAsia" w:ascii="宋体"/>
          <w:sz w:val="24"/>
          <w:highlight w:val="none"/>
        </w:rPr>
        <w:t>日期：</w:t>
      </w:r>
    </w:p>
    <w:p>
      <w:pPr>
        <w:pStyle w:val="3"/>
        <w:numPr>
          <w:ilvl w:val="255"/>
          <w:numId w:val="0"/>
        </w:numPr>
        <w:snapToGrid w:val="0"/>
        <w:spacing w:before="120" w:after="120"/>
        <w:jc w:val="left"/>
        <w:rPr>
          <w:sz w:val="24"/>
          <w:szCs w:val="24"/>
          <w:highlight w:val="none"/>
        </w:rPr>
      </w:pPr>
    </w:p>
    <w:p>
      <w:pPr>
        <w:pStyle w:val="3"/>
        <w:numPr>
          <w:ilvl w:val="0"/>
          <w:numId w:val="0"/>
        </w:numPr>
        <w:snapToGrid w:val="0"/>
        <w:spacing w:before="120" w:after="120"/>
        <w:jc w:val="left"/>
        <w:rPr>
          <w:sz w:val="24"/>
          <w:szCs w:val="24"/>
          <w:highlight w:val="none"/>
        </w:rPr>
      </w:pPr>
      <w:r>
        <w:rPr>
          <w:rFonts w:hint="eastAsia"/>
          <w:sz w:val="24"/>
          <w:szCs w:val="24"/>
          <w:highlight w:val="none"/>
        </w:rPr>
        <w:br w:type="page"/>
      </w:r>
    </w:p>
    <w:p>
      <w:pPr>
        <w:pStyle w:val="3"/>
        <w:numPr>
          <w:ilvl w:val="0"/>
          <w:numId w:val="0"/>
        </w:numPr>
        <w:snapToGrid w:val="0"/>
        <w:spacing w:before="120" w:after="120"/>
        <w:jc w:val="left"/>
        <w:rPr>
          <w:sz w:val="24"/>
          <w:szCs w:val="24"/>
          <w:highlight w:val="none"/>
        </w:rPr>
      </w:pPr>
      <w:bookmarkStart w:id="498" w:name="_Toc16107"/>
      <w:bookmarkStart w:id="499" w:name="_Toc17657"/>
      <w:bookmarkStart w:id="500" w:name="_Toc14140"/>
      <w:r>
        <w:rPr>
          <w:rFonts w:hint="eastAsia"/>
          <w:sz w:val="24"/>
          <w:szCs w:val="24"/>
          <w:highlight w:val="none"/>
        </w:rPr>
        <w:t>格式11：业绩一览表</w:t>
      </w:r>
      <w:bookmarkEnd w:id="494"/>
      <w:bookmarkEnd w:id="498"/>
      <w:bookmarkEnd w:id="499"/>
      <w:bookmarkEnd w:id="500"/>
    </w:p>
    <w:p>
      <w:pPr>
        <w:jc w:val="center"/>
        <w:rPr>
          <w:rFonts w:ascii="宋体"/>
          <w:b/>
          <w:sz w:val="24"/>
          <w:highlight w:val="none"/>
        </w:rPr>
      </w:pPr>
      <w:r>
        <w:rPr>
          <w:rFonts w:hint="eastAsia" w:ascii="宋体"/>
          <w:b/>
          <w:sz w:val="24"/>
          <w:highlight w:val="none"/>
        </w:rPr>
        <w:t>业绩一览表</w:t>
      </w:r>
    </w:p>
    <w:tbl>
      <w:tblPr>
        <w:tblStyle w:val="43"/>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00"/>
        <w:gridCol w:w="1400"/>
        <w:gridCol w:w="1400"/>
        <w:gridCol w:w="1400"/>
        <w:gridCol w:w="1686"/>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93" w:hRule="atLeast"/>
        </w:trPr>
        <w:tc>
          <w:tcPr>
            <w:tcW w:w="829" w:type="dxa"/>
            <w:vAlign w:val="center"/>
          </w:tcPr>
          <w:p>
            <w:pPr>
              <w:jc w:val="center"/>
              <w:rPr>
                <w:rFonts w:ascii="宋体" w:hAnsi="Calibri"/>
                <w:sz w:val="24"/>
                <w:highlight w:val="none"/>
              </w:rPr>
            </w:pPr>
            <w:r>
              <w:rPr>
                <w:rFonts w:hint="eastAsia" w:ascii="宋体" w:hAnsi="Calibri"/>
                <w:sz w:val="24"/>
                <w:highlight w:val="none"/>
              </w:rPr>
              <w:t>序号</w:t>
            </w:r>
          </w:p>
        </w:tc>
        <w:tc>
          <w:tcPr>
            <w:tcW w:w="1400" w:type="dxa"/>
            <w:vAlign w:val="center"/>
          </w:tcPr>
          <w:p>
            <w:pPr>
              <w:jc w:val="center"/>
              <w:rPr>
                <w:rFonts w:ascii="宋体" w:hAnsi="Calibri"/>
                <w:sz w:val="24"/>
                <w:highlight w:val="none"/>
              </w:rPr>
            </w:pPr>
            <w:r>
              <w:rPr>
                <w:rFonts w:hint="eastAsia" w:ascii="宋体" w:hAnsi="Calibri"/>
                <w:sz w:val="24"/>
                <w:highlight w:val="none"/>
              </w:rPr>
              <w:t>项目名称</w:t>
            </w:r>
          </w:p>
        </w:tc>
        <w:tc>
          <w:tcPr>
            <w:tcW w:w="1400" w:type="dxa"/>
            <w:vAlign w:val="center"/>
          </w:tcPr>
          <w:p>
            <w:pPr>
              <w:jc w:val="center"/>
              <w:rPr>
                <w:rFonts w:ascii="宋体" w:hAnsi="Calibri"/>
                <w:sz w:val="24"/>
                <w:highlight w:val="none"/>
              </w:rPr>
            </w:pPr>
            <w:r>
              <w:rPr>
                <w:rFonts w:hint="eastAsia" w:ascii="宋体" w:hAnsi="Calibri"/>
                <w:sz w:val="24"/>
                <w:highlight w:val="none"/>
              </w:rPr>
              <w:t>项目地址</w:t>
            </w:r>
          </w:p>
        </w:tc>
        <w:tc>
          <w:tcPr>
            <w:tcW w:w="1400" w:type="dxa"/>
            <w:vAlign w:val="center"/>
          </w:tcPr>
          <w:p>
            <w:pPr>
              <w:jc w:val="center"/>
              <w:rPr>
                <w:rFonts w:ascii="宋体" w:hAnsi="Calibri"/>
                <w:sz w:val="24"/>
                <w:highlight w:val="none"/>
              </w:rPr>
            </w:pPr>
            <w:r>
              <w:rPr>
                <w:rFonts w:hint="eastAsia" w:ascii="宋体" w:hAnsi="Calibri"/>
                <w:sz w:val="24"/>
                <w:highlight w:val="none"/>
              </w:rPr>
              <w:t>合同总价</w:t>
            </w:r>
          </w:p>
        </w:tc>
        <w:tc>
          <w:tcPr>
            <w:tcW w:w="1400" w:type="dxa"/>
            <w:vAlign w:val="center"/>
          </w:tcPr>
          <w:p>
            <w:pPr>
              <w:jc w:val="center"/>
              <w:rPr>
                <w:rFonts w:ascii="宋体" w:hAnsi="Calibri"/>
                <w:sz w:val="24"/>
                <w:highlight w:val="none"/>
              </w:rPr>
            </w:pPr>
            <w:r>
              <w:rPr>
                <w:rFonts w:hint="eastAsia" w:ascii="宋体" w:hAnsi="Calibri"/>
                <w:sz w:val="24"/>
                <w:highlight w:val="none"/>
              </w:rPr>
              <w:t>服务年限</w:t>
            </w:r>
          </w:p>
        </w:tc>
        <w:tc>
          <w:tcPr>
            <w:tcW w:w="1686" w:type="dxa"/>
            <w:vAlign w:val="center"/>
          </w:tcPr>
          <w:p>
            <w:pPr>
              <w:jc w:val="center"/>
              <w:rPr>
                <w:rFonts w:ascii="宋体" w:hAnsi="Calibri"/>
                <w:sz w:val="24"/>
                <w:highlight w:val="none"/>
              </w:rPr>
            </w:pPr>
            <w:r>
              <w:rPr>
                <w:rFonts w:hint="eastAsia" w:ascii="宋体" w:hAnsi="Calibri"/>
                <w:sz w:val="24"/>
                <w:highlight w:val="none"/>
              </w:rPr>
              <w:t>项目负责人</w:t>
            </w:r>
          </w:p>
        </w:tc>
        <w:tc>
          <w:tcPr>
            <w:tcW w:w="1399" w:type="dxa"/>
            <w:vAlign w:val="center"/>
          </w:tcPr>
          <w:p>
            <w:pPr>
              <w:jc w:val="center"/>
              <w:rPr>
                <w:rFonts w:ascii="宋体" w:hAnsi="Calibri"/>
                <w:sz w:val="24"/>
                <w:highlight w:val="none"/>
              </w:rPr>
            </w:pPr>
            <w:r>
              <w:rPr>
                <w:rFonts w:hint="eastAsia" w:ascii="宋体" w:hAnsi="Calibri"/>
                <w:sz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93" w:hRule="atLeast"/>
        </w:trPr>
        <w:tc>
          <w:tcPr>
            <w:tcW w:w="829" w:type="dxa"/>
            <w:vAlign w:val="center"/>
          </w:tcPr>
          <w:p>
            <w:pPr>
              <w:jc w:val="center"/>
              <w:rPr>
                <w:rFonts w:ascii="宋体" w:hAnsi="Calibri"/>
                <w:sz w:val="24"/>
                <w:highlight w:val="none"/>
              </w:rPr>
            </w:pPr>
            <w:r>
              <w:rPr>
                <w:rFonts w:hint="eastAsia" w:ascii="宋体" w:hAnsi="Calibri"/>
                <w:sz w:val="24"/>
                <w:highlight w:val="none"/>
              </w:rPr>
              <w:t>1</w:t>
            </w:r>
          </w:p>
        </w:tc>
        <w:tc>
          <w:tcPr>
            <w:tcW w:w="1400" w:type="dxa"/>
            <w:vAlign w:val="center"/>
          </w:tcPr>
          <w:p>
            <w:pPr>
              <w:jc w:val="center"/>
              <w:rPr>
                <w:rFonts w:ascii="宋体" w:hAnsi="Calibri"/>
                <w:sz w:val="24"/>
                <w:highlight w:val="none"/>
              </w:rPr>
            </w:pPr>
          </w:p>
        </w:tc>
        <w:tc>
          <w:tcPr>
            <w:tcW w:w="1400" w:type="dxa"/>
            <w:vAlign w:val="center"/>
          </w:tcPr>
          <w:p>
            <w:pPr>
              <w:jc w:val="center"/>
              <w:rPr>
                <w:rFonts w:ascii="宋体" w:hAnsi="Calibri"/>
                <w:sz w:val="24"/>
                <w:highlight w:val="none"/>
              </w:rPr>
            </w:pPr>
          </w:p>
        </w:tc>
        <w:tc>
          <w:tcPr>
            <w:tcW w:w="1400" w:type="dxa"/>
            <w:vAlign w:val="center"/>
          </w:tcPr>
          <w:p>
            <w:pPr>
              <w:jc w:val="center"/>
              <w:rPr>
                <w:rFonts w:ascii="宋体" w:hAnsi="Calibri"/>
                <w:sz w:val="24"/>
                <w:highlight w:val="none"/>
              </w:rPr>
            </w:pPr>
          </w:p>
        </w:tc>
        <w:tc>
          <w:tcPr>
            <w:tcW w:w="1400" w:type="dxa"/>
            <w:vAlign w:val="center"/>
          </w:tcPr>
          <w:p>
            <w:pPr>
              <w:jc w:val="center"/>
              <w:rPr>
                <w:rFonts w:ascii="宋体" w:hAnsi="Calibri"/>
                <w:sz w:val="24"/>
                <w:highlight w:val="none"/>
              </w:rPr>
            </w:pPr>
          </w:p>
        </w:tc>
        <w:tc>
          <w:tcPr>
            <w:tcW w:w="1686" w:type="dxa"/>
            <w:vAlign w:val="center"/>
          </w:tcPr>
          <w:p>
            <w:pPr>
              <w:jc w:val="center"/>
              <w:rPr>
                <w:rFonts w:ascii="宋体" w:hAnsi="Calibri"/>
                <w:sz w:val="24"/>
                <w:highlight w:val="none"/>
              </w:rPr>
            </w:pPr>
          </w:p>
        </w:tc>
        <w:tc>
          <w:tcPr>
            <w:tcW w:w="1399" w:type="dxa"/>
            <w:vAlign w:val="center"/>
          </w:tcPr>
          <w:p>
            <w:pPr>
              <w:jc w:val="center"/>
              <w:rPr>
                <w:rFonts w:ascii="宋体" w:hAnsi="Calibri"/>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829" w:type="dxa"/>
            <w:vAlign w:val="center"/>
          </w:tcPr>
          <w:p>
            <w:pPr>
              <w:jc w:val="center"/>
              <w:rPr>
                <w:rFonts w:ascii="宋体" w:hAnsi="Calibri"/>
                <w:sz w:val="24"/>
                <w:highlight w:val="none"/>
              </w:rPr>
            </w:pPr>
            <w:r>
              <w:rPr>
                <w:rFonts w:hint="eastAsia" w:ascii="宋体" w:hAnsi="Calibri"/>
                <w:sz w:val="24"/>
                <w:highlight w:val="none"/>
              </w:rPr>
              <w:t>2</w:t>
            </w:r>
          </w:p>
        </w:tc>
        <w:tc>
          <w:tcPr>
            <w:tcW w:w="1400" w:type="dxa"/>
            <w:vAlign w:val="center"/>
          </w:tcPr>
          <w:p>
            <w:pPr>
              <w:jc w:val="center"/>
              <w:rPr>
                <w:rFonts w:ascii="宋体" w:hAnsi="Calibri"/>
                <w:sz w:val="24"/>
                <w:highlight w:val="none"/>
              </w:rPr>
            </w:pPr>
          </w:p>
        </w:tc>
        <w:tc>
          <w:tcPr>
            <w:tcW w:w="1400" w:type="dxa"/>
            <w:vAlign w:val="center"/>
          </w:tcPr>
          <w:p>
            <w:pPr>
              <w:jc w:val="center"/>
              <w:rPr>
                <w:rFonts w:ascii="宋体" w:hAnsi="Calibri"/>
                <w:sz w:val="24"/>
                <w:highlight w:val="none"/>
              </w:rPr>
            </w:pPr>
          </w:p>
        </w:tc>
        <w:tc>
          <w:tcPr>
            <w:tcW w:w="1400" w:type="dxa"/>
            <w:vAlign w:val="center"/>
          </w:tcPr>
          <w:p>
            <w:pPr>
              <w:jc w:val="center"/>
              <w:rPr>
                <w:rFonts w:ascii="宋体" w:hAnsi="Calibri"/>
                <w:sz w:val="24"/>
                <w:highlight w:val="none"/>
              </w:rPr>
            </w:pPr>
          </w:p>
        </w:tc>
        <w:tc>
          <w:tcPr>
            <w:tcW w:w="1400" w:type="dxa"/>
            <w:vAlign w:val="center"/>
          </w:tcPr>
          <w:p>
            <w:pPr>
              <w:jc w:val="center"/>
              <w:rPr>
                <w:rFonts w:ascii="宋体" w:hAnsi="Calibri"/>
                <w:sz w:val="24"/>
                <w:highlight w:val="none"/>
              </w:rPr>
            </w:pPr>
          </w:p>
        </w:tc>
        <w:tc>
          <w:tcPr>
            <w:tcW w:w="1686" w:type="dxa"/>
            <w:vAlign w:val="center"/>
          </w:tcPr>
          <w:p>
            <w:pPr>
              <w:jc w:val="center"/>
              <w:rPr>
                <w:rFonts w:ascii="宋体" w:hAnsi="Calibri"/>
                <w:sz w:val="24"/>
                <w:highlight w:val="none"/>
              </w:rPr>
            </w:pPr>
          </w:p>
        </w:tc>
        <w:tc>
          <w:tcPr>
            <w:tcW w:w="1399" w:type="dxa"/>
            <w:vAlign w:val="center"/>
          </w:tcPr>
          <w:p>
            <w:pPr>
              <w:jc w:val="center"/>
              <w:rPr>
                <w:rFonts w:ascii="宋体" w:hAnsi="Calibri"/>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829" w:type="dxa"/>
            <w:vAlign w:val="center"/>
          </w:tcPr>
          <w:p>
            <w:pPr>
              <w:jc w:val="center"/>
              <w:rPr>
                <w:rFonts w:ascii="宋体" w:hAnsi="Calibri"/>
                <w:sz w:val="24"/>
                <w:highlight w:val="none"/>
              </w:rPr>
            </w:pPr>
            <w:r>
              <w:rPr>
                <w:rFonts w:hint="eastAsia" w:ascii="宋体" w:hAnsi="Calibri"/>
                <w:sz w:val="24"/>
                <w:highlight w:val="none"/>
              </w:rPr>
              <w:t>3</w:t>
            </w:r>
          </w:p>
        </w:tc>
        <w:tc>
          <w:tcPr>
            <w:tcW w:w="1400" w:type="dxa"/>
            <w:vAlign w:val="center"/>
          </w:tcPr>
          <w:p>
            <w:pPr>
              <w:jc w:val="center"/>
              <w:rPr>
                <w:rFonts w:ascii="宋体" w:hAnsi="Calibri"/>
                <w:sz w:val="24"/>
                <w:highlight w:val="none"/>
              </w:rPr>
            </w:pPr>
          </w:p>
        </w:tc>
        <w:tc>
          <w:tcPr>
            <w:tcW w:w="1400" w:type="dxa"/>
            <w:vAlign w:val="center"/>
          </w:tcPr>
          <w:p>
            <w:pPr>
              <w:jc w:val="center"/>
              <w:rPr>
                <w:rFonts w:ascii="宋体" w:hAnsi="Calibri"/>
                <w:sz w:val="24"/>
                <w:highlight w:val="none"/>
              </w:rPr>
            </w:pPr>
          </w:p>
        </w:tc>
        <w:tc>
          <w:tcPr>
            <w:tcW w:w="1400" w:type="dxa"/>
            <w:vAlign w:val="center"/>
          </w:tcPr>
          <w:p>
            <w:pPr>
              <w:jc w:val="center"/>
              <w:rPr>
                <w:rFonts w:ascii="宋体" w:hAnsi="Calibri"/>
                <w:sz w:val="24"/>
                <w:highlight w:val="none"/>
              </w:rPr>
            </w:pPr>
          </w:p>
        </w:tc>
        <w:tc>
          <w:tcPr>
            <w:tcW w:w="1400" w:type="dxa"/>
            <w:vAlign w:val="center"/>
          </w:tcPr>
          <w:p>
            <w:pPr>
              <w:jc w:val="center"/>
              <w:rPr>
                <w:rFonts w:ascii="宋体" w:hAnsi="Calibri"/>
                <w:sz w:val="24"/>
                <w:highlight w:val="none"/>
              </w:rPr>
            </w:pPr>
          </w:p>
        </w:tc>
        <w:tc>
          <w:tcPr>
            <w:tcW w:w="1686" w:type="dxa"/>
            <w:vAlign w:val="center"/>
          </w:tcPr>
          <w:p>
            <w:pPr>
              <w:jc w:val="center"/>
              <w:rPr>
                <w:rFonts w:ascii="宋体" w:hAnsi="Calibri"/>
                <w:sz w:val="24"/>
                <w:highlight w:val="none"/>
              </w:rPr>
            </w:pPr>
          </w:p>
        </w:tc>
        <w:tc>
          <w:tcPr>
            <w:tcW w:w="1399" w:type="dxa"/>
            <w:vAlign w:val="center"/>
          </w:tcPr>
          <w:p>
            <w:pPr>
              <w:jc w:val="center"/>
              <w:rPr>
                <w:rFonts w:ascii="宋体" w:hAnsi="Calibri"/>
                <w:sz w:val="24"/>
                <w:highlight w:val="none"/>
              </w:rPr>
            </w:pPr>
          </w:p>
        </w:tc>
      </w:tr>
    </w:tbl>
    <w:p>
      <w:pPr>
        <w:rPr>
          <w:rFonts w:ascii="宋体"/>
          <w:sz w:val="24"/>
          <w:highlight w:val="none"/>
        </w:rPr>
      </w:pPr>
    </w:p>
    <w:p>
      <w:pPr>
        <w:rPr>
          <w:rFonts w:ascii="宋体"/>
          <w:sz w:val="24"/>
          <w:highlight w:val="none"/>
        </w:rPr>
      </w:pPr>
      <w:r>
        <w:rPr>
          <w:rFonts w:hint="eastAsia" w:ascii="宋体"/>
          <w:sz w:val="24"/>
          <w:highlight w:val="none"/>
        </w:rPr>
        <w:t>填写要求：</w:t>
      </w:r>
    </w:p>
    <w:p>
      <w:pPr>
        <w:autoSpaceDE w:val="0"/>
        <w:autoSpaceDN w:val="0"/>
        <w:spacing w:line="300" w:lineRule="exact"/>
        <w:rPr>
          <w:rFonts w:ascii="宋体" w:hAnsi="宋体" w:cs="Arial"/>
          <w:sz w:val="24"/>
          <w:highlight w:val="none"/>
        </w:rPr>
      </w:pPr>
      <w:r>
        <w:rPr>
          <w:rFonts w:hint="eastAsia" w:ascii="宋体"/>
          <w:sz w:val="24"/>
          <w:highlight w:val="none"/>
        </w:rPr>
        <w:t>1、列出投标人自2</w:t>
      </w:r>
      <w:r>
        <w:rPr>
          <w:rFonts w:ascii="宋体"/>
          <w:sz w:val="24"/>
          <w:highlight w:val="none"/>
        </w:rPr>
        <w:t>016</w:t>
      </w:r>
      <w:r>
        <w:rPr>
          <w:rFonts w:hint="eastAsia" w:ascii="宋体"/>
          <w:sz w:val="24"/>
          <w:highlight w:val="none"/>
        </w:rPr>
        <w:t>年1月1日</w:t>
      </w:r>
      <w:r>
        <w:rPr>
          <w:rFonts w:hint="eastAsia" w:ascii="宋体" w:hAnsi="宋体"/>
          <w:sz w:val="24"/>
          <w:highlight w:val="none"/>
        </w:rPr>
        <w:t>起至投标截止日期止工矿企业的生产辅助服务业绩，业绩有效时间以合同签订时间为准。</w:t>
      </w:r>
    </w:p>
    <w:p>
      <w:pPr>
        <w:rPr>
          <w:rFonts w:ascii="宋体" w:hAnsi="宋体"/>
          <w:sz w:val="24"/>
          <w:highlight w:val="none"/>
        </w:rPr>
      </w:pPr>
      <w:r>
        <w:rPr>
          <w:rFonts w:hint="eastAsia" w:ascii="宋体"/>
          <w:sz w:val="24"/>
          <w:highlight w:val="none"/>
        </w:rPr>
        <w:t>2、提供所列业绩合同关键页复印件，关键页包括封面页、签字盖章页和主要内容页。</w:t>
      </w:r>
    </w:p>
    <w:p>
      <w:pPr>
        <w:rPr>
          <w:rFonts w:ascii="宋体"/>
          <w:sz w:val="24"/>
          <w:highlight w:val="none"/>
        </w:rPr>
      </w:pPr>
    </w:p>
    <w:p>
      <w:pPr>
        <w:jc w:val="right"/>
        <w:rPr>
          <w:rFonts w:ascii="宋体"/>
          <w:sz w:val="24"/>
          <w:highlight w:val="none"/>
        </w:rPr>
      </w:pPr>
    </w:p>
    <w:p>
      <w:pPr>
        <w:jc w:val="right"/>
        <w:rPr>
          <w:rFonts w:ascii="宋体"/>
          <w:sz w:val="24"/>
          <w:highlight w:val="none"/>
        </w:rPr>
      </w:pPr>
    </w:p>
    <w:p>
      <w:pPr>
        <w:jc w:val="right"/>
        <w:rPr>
          <w:rFonts w:ascii="宋体"/>
          <w:sz w:val="24"/>
          <w:highlight w:val="none"/>
        </w:rPr>
      </w:pPr>
      <w:r>
        <w:rPr>
          <w:rFonts w:hint="eastAsia" w:ascii="宋体"/>
          <w:sz w:val="24"/>
          <w:highlight w:val="none"/>
        </w:rPr>
        <w:t>投标人：（公章）</w:t>
      </w:r>
    </w:p>
    <w:p>
      <w:pPr>
        <w:jc w:val="right"/>
        <w:rPr>
          <w:rFonts w:ascii="宋体"/>
          <w:sz w:val="24"/>
          <w:highlight w:val="none"/>
        </w:rPr>
      </w:pPr>
    </w:p>
    <w:p>
      <w:pPr>
        <w:ind w:firstLine="7140" w:firstLineChars="2975"/>
        <w:rPr>
          <w:rFonts w:ascii="黑体" w:hAnsi="黑体" w:eastAsia="黑体"/>
          <w:sz w:val="28"/>
          <w:szCs w:val="28"/>
          <w:highlight w:val="none"/>
        </w:rPr>
      </w:pPr>
      <w:r>
        <w:rPr>
          <w:rFonts w:hint="eastAsia" w:ascii="宋体"/>
          <w:sz w:val="24"/>
          <w:highlight w:val="none"/>
        </w:rPr>
        <w:t>日期：</w:t>
      </w: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rPr>
          <w:rFonts w:ascii="黑体" w:hAnsi="黑体" w:eastAsia="黑体"/>
          <w:sz w:val="28"/>
          <w:szCs w:val="28"/>
          <w:highlight w:val="none"/>
        </w:rPr>
      </w:pPr>
    </w:p>
    <w:p>
      <w:pPr>
        <w:jc w:val="center"/>
        <w:rPr>
          <w:rFonts w:ascii="宋体" w:hAnsi="Courier New"/>
          <w:szCs w:val="21"/>
          <w:highlight w:val="none"/>
        </w:rPr>
      </w:pPr>
      <w:r>
        <w:rPr>
          <w:rFonts w:ascii="黑体" w:hAnsi="黑体" w:eastAsia="黑体"/>
          <w:sz w:val="28"/>
          <w:szCs w:val="28"/>
          <w:highlight w:val="none"/>
        </w:rPr>
        <w:t>二、技术投标文件格式</w:t>
      </w:r>
    </w:p>
    <w:p>
      <w:pPr>
        <w:rPr>
          <w:rFonts w:ascii="宋体" w:hAnsi="Courier New"/>
          <w:szCs w:val="21"/>
          <w:highlight w:val="none"/>
        </w:rPr>
      </w:pPr>
    </w:p>
    <w:p>
      <w:pPr>
        <w:rPr>
          <w:rFonts w:ascii="宋体" w:hAnsi="Courier New"/>
          <w:szCs w:val="21"/>
          <w:highlight w:val="none"/>
        </w:rPr>
      </w:pPr>
    </w:p>
    <w:p>
      <w:pPr>
        <w:widowControl/>
        <w:jc w:val="left"/>
        <w:rPr>
          <w:rFonts w:ascii="宋体" w:hAnsi="宋体"/>
          <w:sz w:val="24"/>
          <w:highlight w:val="none"/>
        </w:rPr>
      </w:pPr>
      <w:bookmarkStart w:id="501" w:name="_Toc520971427"/>
      <w:r>
        <w:rPr>
          <w:highlight w:val="none"/>
        </w:rPr>
        <w:br w:type="page"/>
      </w:r>
    </w:p>
    <w:p>
      <w:pPr>
        <w:pStyle w:val="3"/>
        <w:numPr>
          <w:ilvl w:val="0"/>
          <w:numId w:val="0"/>
        </w:numPr>
        <w:snapToGrid w:val="0"/>
        <w:spacing w:before="120" w:after="120"/>
        <w:jc w:val="left"/>
        <w:rPr>
          <w:sz w:val="24"/>
          <w:szCs w:val="24"/>
          <w:highlight w:val="none"/>
        </w:rPr>
      </w:pPr>
      <w:bookmarkStart w:id="502" w:name="_Toc21241"/>
      <w:bookmarkStart w:id="503" w:name="_Toc24963"/>
      <w:bookmarkStart w:id="504" w:name="_Toc11502"/>
      <w:r>
        <w:rPr>
          <w:rFonts w:hint="eastAsia"/>
          <w:sz w:val="24"/>
          <w:szCs w:val="24"/>
          <w:highlight w:val="none"/>
        </w:rPr>
        <w:t>格式12：技术力量</w:t>
      </w:r>
      <w:bookmarkEnd w:id="501"/>
      <w:bookmarkEnd w:id="502"/>
      <w:bookmarkEnd w:id="503"/>
      <w:bookmarkEnd w:id="504"/>
    </w:p>
    <w:p>
      <w:pPr>
        <w:spacing w:line="360" w:lineRule="auto"/>
        <w:jc w:val="center"/>
        <w:rPr>
          <w:rFonts w:ascii="Arial" w:hAnsi="Arial"/>
          <w:b/>
          <w:bCs/>
          <w:sz w:val="24"/>
          <w:highlight w:val="none"/>
        </w:rPr>
      </w:pPr>
    </w:p>
    <w:p>
      <w:pPr>
        <w:spacing w:line="360" w:lineRule="auto"/>
        <w:jc w:val="center"/>
        <w:rPr>
          <w:rFonts w:ascii="Arial" w:hAnsi="Arial"/>
          <w:sz w:val="24"/>
          <w:highlight w:val="none"/>
        </w:rPr>
      </w:pPr>
      <w:r>
        <w:rPr>
          <w:rFonts w:hint="eastAsia" w:ascii="Arial" w:hAnsi="Arial"/>
          <w:b/>
          <w:bCs/>
          <w:sz w:val="24"/>
          <w:highlight w:val="none"/>
        </w:rPr>
        <w:t>（1）应急保障能力</w:t>
      </w:r>
    </w:p>
    <w:p>
      <w:pPr>
        <w:pStyle w:val="3"/>
        <w:keepNext w:val="0"/>
        <w:keepLines w:val="0"/>
        <w:numPr>
          <w:ilvl w:val="0"/>
          <w:numId w:val="0"/>
        </w:numPr>
        <w:tabs>
          <w:tab w:val="clear" w:pos="840"/>
        </w:tabs>
        <w:snapToGrid w:val="0"/>
        <w:spacing w:before="120" w:after="120"/>
        <w:jc w:val="left"/>
        <w:rPr>
          <w:rFonts w:eastAsia="宋体"/>
          <w:b w:val="0"/>
          <w:kern w:val="2"/>
          <w:sz w:val="21"/>
          <w:szCs w:val="21"/>
          <w:highlight w:val="none"/>
        </w:rPr>
      </w:pPr>
      <w:bookmarkStart w:id="505" w:name="_Toc19525"/>
      <w:bookmarkStart w:id="506" w:name="_Toc25150"/>
      <w:bookmarkStart w:id="507" w:name="_Toc28274"/>
      <w:r>
        <w:rPr>
          <w:rFonts w:hint="eastAsia" w:eastAsia="宋体"/>
          <w:b w:val="0"/>
          <w:kern w:val="2"/>
          <w:sz w:val="21"/>
          <w:szCs w:val="21"/>
          <w:highlight w:val="none"/>
        </w:rPr>
        <w:t>注：投标人须依据本项目的实际需求编制相应的应急保障方案，格式与内容自拟。</w:t>
      </w:r>
      <w:bookmarkEnd w:id="505"/>
      <w:bookmarkEnd w:id="506"/>
      <w:bookmarkEnd w:id="507"/>
    </w:p>
    <w:p>
      <w:pPr>
        <w:rPr>
          <w:rFonts w:ascii="Arial" w:hAnsi="Arial"/>
          <w:szCs w:val="21"/>
          <w:highlight w:val="none"/>
        </w:rPr>
      </w:pPr>
    </w:p>
    <w:p>
      <w:pPr>
        <w:rPr>
          <w:rFonts w:ascii="Arial" w:hAnsi="Arial"/>
          <w:szCs w:val="21"/>
          <w:highlight w:val="none"/>
        </w:rPr>
      </w:pPr>
    </w:p>
    <w:p>
      <w:pPr>
        <w:rPr>
          <w:highlight w:val="none"/>
        </w:rPr>
      </w:pPr>
    </w:p>
    <w:p>
      <w:pPr>
        <w:numPr>
          <w:ilvl w:val="255"/>
          <w:numId w:val="0"/>
        </w:numPr>
        <w:snapToGrid w:val="0"/>
        <w:spacing w:before="120" w:after="120" w:line="360" w:lineRule="auto"/>
        <w:jc w:val="center"/>
        <w:rPr>
          <w:rFonts w:ascii="Arial" w:hAnsi="Arial"/>
          <w:b/>
          <w:bCs/>
          <w:sz w:val="24"/>
          <w:highlight w:val="none"/>
        </w:rPr>
      </w:pPr>
      <w:r>
        <w:rPr>
          <w:rFonts w:hint="eastAsia" w:ascii="Arial" w:hAnsi="Arial"/>
          <w:b/>
          <w:bCs/>
          <w:sz w:val="24"/>
          <w:highlight w:val="none"/>
        </w:rPr>
        <w:t>（2）服务管理方案</w:t>
      </w:r>
    </w:p>
    <w:p>
      <w:pPr>
        <w:autoSpaceDE w:val="0"/>
        <w:autoSpaceDN w:val="0"/>
        <w:snapToGrid w:val="0"/>
        <w:spacing w:before="120" w:after="120" w:line="300" w:lineRule="exact"/>
        <w:jc w:val="left"/>
        <w:rPr>
          <w:rFonts w:ascii="Arial" w:hAnsi="Arial"/>
          <w:b/>
          <w:bCs/>
          <w:sz w:val="24"/>
          <w:highlight w:val="none"/>
        </w:rPr>
      </w:pPr>
      <w:r>
        <w:rPr>
          <w:rFonts w:hint="eastAsia" w:cs="宋体" w:asciiTheme="minorEastAsia" w:hAnsiTheme="minorEastAsia" w:eastAsiaTheme="minorEastAsia"/>
          <w:szCs w:val="21"/>
          <w:highlight w:val="none"/>
        </w:rPr>
        <w:t>注：投标人须提供完整且具有可操作性的</w:t>
      </w:r>
      <w:r>
        <w:rPr>
          <w:rFonts w:cs="宋体" w:asciiTheme="minorEastAsia" w:hAnsiTheme="minorEastAsia" w:eastAsiaTheme="minorEastAsia"/>
          <w:szCs w:val="21"/>
          <w:highlight w:val="none"/>
        </w:rPr>
        <w:t>服务管理方案(</w:t>
      </w:r>
      <w:r>
        <w:rPr>
          <w:rFonts w:hint="eastAsia" w:cs="宋体" w:asciiTheme="minorEastAsia" w:hAnsiTheme="minorEastAsia" w:eastAsiaTheme="minorEastAsia"/>
          <w:szCs w:val="21"/>
          <w:highlight w:val="none"/>
        </w:rPr>
        <w:t>应</w:t>
      </w:r>
      <w:r>
        <w:rPr>
          <w:rFonts w:cs="宋体" w:asciiTheme="minorEastAsia" w:hAnsiTheme="minorEastAsia" w:eastAsiaTheme="minorEastAsia"/>
          <w:szCs w:val="21"/>
          <w:highlight w:val="none"/>
        </w:rPr>
        <w:t>涉及到人员架构、驻场管理、安全文明生产管理</w:t>
      </w:r>
      <w:r>
        <w:rPr>
          <w:rFonts w:hint="eastAsia" w:cs="宋体" w:asciiTheme="minorEastAsia" w:hAnsiTheme="minorEastAsia" w:eastAsiaTheme="minorEastAsia"/>
          <w:szCs w:val="21"/>
          <w:highlight w:val="none"/>
        </w:rPr>
        <w:t>等方面</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人员架构参考格式15中的（2）编制，其他内容格式自拟。</w:t>
      </w:r>
    </w:p>
    <w:p>
      <w:pPr>
        <w:spacing w:line="360" w:lineRule="auto"/>
        <w:jc w:val="center"/>
        <w:rPr>
          <w:highlight w:val="none"/>
        </w:rPr>
      </w:pPr>
    </w:p>
    <w:p>
      <w:pPr>
        <w:pStyle w:val="12"/>
        <w:rPr>
          <w:szCs w:val="24"/>
          <w:highlight w:val="none"/>
        </w:rPr>
      </w:pPr>
    </w:p>
    <w:p>
      <w:pPr>
        <w:pStyle w:val="12"/>
        <w:rPr>
          <w:szCs w:val="24"/>
          <w:highlight w:val="none"/>
        </w:rPr>
      </w:pPr>
    </w:p>
    <w:p>
      <w:pPr>
        <w:pStyle w:val="12"/>
        <w:rPr>
          <w:szCs w:val="24"/>
          <w:highlight w:val="none"/>
        </w:rPr>
      </w:pPr>
    </w:p>
    <w:p>
      <w:pPr>
        <w:pStyle w:val="12"/>
        <w:rPr>
          <w:szCs w:val="24"/>
          <w:highlight w:val="none"/>
        </w:rPr>
      </w:pPr>
    </w:p>
    <w:p>
      <w:pPr>
        <w:pStyle w:val="12"/>
        <w:rPr>
          <w:szCs w:val="24"/>
          <w:highlight w:val="none"/>
        </w:rPr>
      </w:pPr>
    </w:p>
    <w:p>
      <w:pPr>
        <w:pStyle w:val="12"/>
        <w:rPr>
          <w:szCs w:val="24"/>
          <w:highlight w:val="none"/>
        </w:rPr>
      </w:pPr>
    </w:p>
    <w:p>
      <w:pPr>
        <w:pStyle w:val="12"/>
        <w:rPr>
          <w:szCs w:val="24"/>
          <w:highlight w:val="none"/>
        </w:rPr>
      </w:pPr>
    </w:p>
    <w:p>
      <w:pPr>
        <w:pStyle w:val="12"/>
        <w:rPr>
          <w:szCs w:val="24"/>
          <w:highlight w:val="none"/>
        </w:rPr>
      </w:pPr>
    </w:p>
    <w:p>
      <w:pPr>
        <w:pStyle w:val="12"/>
        <w:rPr>
          <w:szCs w:val="24"/>
          <w:highlight w:val="none"/>
        </w:rPr>
      </w:pPr>
      <w:r>
        <w:rPr>
          <w:szCs w:val="24"/>
          <w:highlight w:val="none"/>
        </w:rPr>
        <w:br w:type="page"/>
      </w:r>
    </w:p>
    <w:p>
      <w:pPr>
        <w:pStyle w:val="3"/>
        <w:keepNext w:val="0"/>
        <w:keepLines w:val="0"/>
        <w:numPr>
          <w:ilvl w:val="0"/>
          <w:numId w:val="0"/>
        </w:numPr>
        <w:tabs>
          <w:tab w:val="clear" w:pos="840"/>
        </w:tabs>
        <w:snapToGrid w:val="0"/>
        <w:spacing w:before="120" w:after="120"/>
        <w:jc w:val="left"/>
        <w:rPr>
          <w:sz w:val="24"/>
          <w:szCs w:val="24"/>
          <w:highlight w:val="none"/>
        </w:rPr>
      </w:pPr>
      <w:bookmarkStart w:id="508" w:name="_Toc28839"/>
      <w:bookmarkStart w:id="509" w:name="_Toc6156"/>
      <w:bookmarkStart w:id="510" w:name="_Toc8947"/>
      <w:r>
        <w:rPr>
          <w:rFonts w:hint="eastAsia"/>
          <w:sz w:val="24"/>
          <w:szCs w:val="24"/>
          <w:highlight w:val="none"/>
        </w:rPr>
        <w:t>格式13：用户需求书响应表格式</w:t>
      </w:r>
      <w:bookmarkEnd w:id="491"/>
      <w:bookmarkEnd w:id="492"/>
      <w:bookmarkEnd w:id="493"/>
      <w:bookmarkEnd w:id="508"/>
      <w:bookmarkEnd w:id="509"/>
      <w:bookmarkEnd w:id="510"/>
    </w:p>
    <w:p>
      <w:pPr>
        <w:spacing w:before="240" w:line="360" w:lineRule="auto"/>
        <w:jc w:val="center"/>
        <w:rPr>
          <w:b/>
          <w:sz w:val="22"/>
          <w:szCs w:val="22"/>
          <w:highlight w:val="none"/>
        </w:rPr>
      </w:pPr>
      <w:r>
        <w:rPr>
          <w:rFonts w:hint="eastAsia"/>
          <w:b/>
          <w:sz w:val="22"/>
          <w:szCs w:val="22"/>
          <w:highlight w:val="none"/>
        </w:rPr>
        <w:t>用户需求书响应表</w:t>
      </w:r>
    </w:p>
    <w:p>
      <w:pPr>
        <w:spacing w:before="240" w:line="360" w:lineRule="auto"/>
        <w:ind w:firstLine="420" w:firstLineChars="200"/>
        <w:rPr>
          <w:szCs w:val="21"/>
          <w:highlight w:val="none"/>
        </w:rPr>
      </w:pPr>
      <w:r>
        <w:rPr>
          <w:rFonts w:hint="eastAsia"/>
          <w:szCs w:val="21"/>
          <w:highlight w:val="none"/>
        </w:rPr>
        <w:t>[说明]投标人应对照招标文件要求与投标的实际情况对招标文件中《用户需求书》的条款内容作全面响应。完全满足的在“是否响应”栏中写“响应”，有差异的请在“是否响应”栏中写“偏离”。如“偏离”，无论是正偏离还是负偏离，均需并将差异情况（包括优于需求书的有关条款）在“差异描述”栏中说明。</w:t>
      </w:r>
    </w:p>
    <w:tbl>
      <w:tblPr>
        <w:tblStyle w:val="42"/>
        <w:tblW w:w="9130" w:type="dxa"/>
        <w:tblInd w:w="0" w:type="dxa"/>
        <w:tblLayout w:type="fixed"/>
        <w:tblCellMar>
          <w:top w:w="0" w:type="dxa"/>
          <w:left w:w="30" w:type="dxa"/>
          <w:bottom w:w="0" w:type="dxa"/>
          <w:right w:w="30" w:type="dxa"/>
        </w:tblCellMar>
      </w:tblPr>
      <w:tblGrid>
        <w:gridCol w:w="918"/>
        <w:gridCol w:w="845"/>
        <w:gridCol w:w="3796"/>
        <w:gridCol w:w="1141"/>
        <w:gridCol w:w="2430"/>
      </w:tblGrid>
      <w:tr>
        <w:tblPrEx>
          <w:tblLayout w:type="fixed"/>
          <w:tblCellMar>
            <w:top w:w="0" w:type="dxa"/>
            <w:left w:w="30" w:type="dxa"/>
            <w:bottom w:w="0" w:type="dxa"/>
            <w:right w:w="30" w:type="dxa"/>
          </w:tblCellMar>
        </w:tblPrEx>
        <w:trPr>
          <w:cantSplit/>
          <w:trHeight w:val="1221" w:hRule="atLeast"/>
        </w:trPr>
        <w:tc>
          <w:tcPr>
            <w:tcW w:w="918" w:type="dxa"/>
            <w:tcBorders>
              <w:top w:val="single" w:color="auto" w:sz="12" w:space="0"/>
              <w:left w:val="single" w:color="auto" w:sz="12" w:space="0"/>
              <w:right w:val="single" w:color="auto" w:sz="6" w:space="0"/>
            </w:tcBorders>
            <w:vAlign w:val="center"/>
          </w:tcPr>
          <w:p>
            <w:pPr>
              <w:autoSpaceDE w:val="0"/>
              <w:autoSpaceDN w:val="0"/>
              <w:adjustRightInd w:val="0"/>
              <w:jc w:val="center"/>
              <w:rPr>
                <w:rFonts w:ascii="宋体"/>
                <w:highlight w:val="none"/>
              </w:rPr>
            </w:pPr>
            <w:r>
              <w:rPr>
                <w:rFonts w:hint="eastAsia" w:ascii="宋体"/>
                <w:highlight w:val="none"/>
              </w:rPr>
              <w:t>序号</w:t>
            </w:r>
          </w:p>
        </w:tc>
        <w:tc>
          <w:tcPr>
            <w:tcW w:w="845" w:type="dxa"/>
            <w:tcBorders>
              <w:top w:val="single" w:color="auto" w:sz="12" w:space="0"/>
              <w:left w:val="single" w:color="auto" w:sz="6" w:space="0"/>
            </w:tcBorders>
            <w:vAlign w:val="center"/>
          </w:tcPr>
          <w:p>
            <w:pPr>
              <w:spacing w:before="240" w:line="360" w:lineRule="auto"/>
              <w:jc w:val="center"/>
              <w:rPr>
                <w:szCs w:val="21"/>
                <w:highlight w:val="none"/>
              </w:rPr>
            </w:pPr>
            <w:r>
              <w:rPr>
                <w:rFonts w:hint="eastAsia"/>
                <w:szCs w:val="21"/>
                <w:highlight w:val="none"/>
              </w:rPr>
              <w:t>需求书条款号</w:t>
            </w:r>
          </w:p>
        </w:tc>
        <w:tc>
          <w:tcPr>
            <w:tcW w:w="3796" w:type="dxa"/>
            <w:tcBorders>
              <w:top w:val="single" w:color="auto" w:sz="12" w:space="0"/>
              <w:left w:val="single" w:color="auto" w:sz="6" w:space="0"/>
            </w:tcBorders>
            <w:vAlign w:val="center"/>
          </w:tcPr>
          <w:p>
            <w:pPr>
              <w:spacing w:before="240" w:line="360" w:lineRule="auto"/>
              <w:jc w:val="center"/>
              <w:rPr>
                <w:szCs w:val="21"/>
                <w:highlight w:val="none"/>
              </w:rPr>
            </w:pPr>
            <w:r>
              <w:rPr>
                <w:rFonts w:hint="eastAsia"/>
                <w:szCs w:val="21"/>
                <w:highlight w:val="none"/>
              </w:rPr>
              <w:t>需求书条款题目</w:t>
            </w:r>
          </w:p>
        </w:tc>
        <w:tc>
          <w:tcPr>
            <w:tcW w:w="1141" w:type="dxa"/>
            <w:tcBorders>
              <w:top w:val="single" w:color="auto" w:sz="12" w:space="0"/>
              <w:left w:val="single" w:color="auto" w:sz="6" w:space="0"/>
              <w:right w:val="single" w:color="auto" w:sz="12" w:space="0"/>
            </w:tcBorders>
            <w:vAlign w:val="center"/>
          </w:tcPr>
          <w:p>
            <w:pPr>
              <w:spacing w:before="240" w:line="360" w:lineRule="auto"/>
              <w:jc w:val="center"/>
              <w:rPr>
                <w:szCs w:val="21"/>
                <w:highlight w:val="none"/>
              </w:rPr>
            </w:pPr>
            <w:r>
              <w:rPr>
                <w:rFonts w:hint="eastAsia"/>
                <w:szCs w:val="21"/>
                <w:highlight w:val="none"/>
              </w:rPr>
              <w:t>是否响应</w:t>
            </w:r>
          </w:p>
        </w:tc>
        <w:tc>
          <w:tcPr>
            <w:tcW w:w="2430" w:type="dxa"/>
            <w:tcBorders>
              <w:top w:val="single" w:color="auto" w:sz="12" w:space="0"/>
              <w:left w:val="single" w:color="auto" w:sz="6" w:space="0"/>
              <w:right w:val="single" w:color="auto" w:sz="12" w:space="0"/>
            </w:tcBorders>
            <w:vAlign w:val="center"/>
          </w:tcPr>
          <w:p>
            <w:pPr>
              <w:spacing w:before="240" w:line="360" w:lineRule="auto"/>
              <w:jc w:val="center"/>
              <w:rPr>
                <w:szCs w:val="21"/>
                <w:highlight w:val="none"/>
              </w:rPr>
            </w:pPr>
            <w:r>
              <w:rPr>
                <w:rFonts w:hint="eastAsia"/>
                <w:szCs w:val="21"/>
                <w:highlight w:val="none"/>
              </w:rPr>
              <w:t>差异描述</w:t>
            </w:r>
          </w:p>
        </w:tc>
      </w:tr>
      <w:tr>
        <w:tblPrEx>
          <w:tblLayout w:type="fixed"/>
          <w:tblCellMar>
            <w:top w:w="0" w:type="dxa"/>
            <w:left w:w="30" w:type="dxa"/>
            <w:bottom w:w="0" w:type="dxa"/>
            <w:right w:w="30" w:type="dxa"/>
          </w:tblCellMar>
        </w:tblPrEx>
        <w:trPr>
          <w:cantSplit/>
          <w:trHeight w:val="340" w:hRule="atLeast"/>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 w:val="18"/>
                <w:szCs w:val="18"/>
                <w:highlight w:val="none"/>
              </w:rPr>
            </w:pPr>
            <w:r>
              <w:rPr>
                <w:rFonts w:hint="eastAsia" w:ascii="宋体" w:hAnsi="宋体"/>
                <w:sz w:val="18"/>
                <w:szCs w:val="18"/>
                <w:highlight w:val="none"/>
              </w:rPr>
              <w:t>1</w:t>
            </w:r>
          </w:p>
        </w:tc>
        <w:tc>
          <w:tcPr>
            <w:tcW w:w="8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 w:val="18"/>
                <w:szCs w:val="18"/>
                <w:highlight w:val="none"/>
              </w:rPr>
            </w:pPr>
          </w:p>
        </w:tc>
        <w:tc>
          <w:tcPr>
            <w:tcW w:w="37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 w:val="18"/>
                <w:szCs w:val="18"/>
                <w:highlight w:val="none"/>
              </w:rPr>
            </w:pPr>
          </w:p>
        </w:tc>
        <w:tc>
          <w:tcPr>
            <w:tcW w:w="11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outlineLvl w:val="0"/>
              <w:rPr>
                <w:rFonts w:ascii="宋体" w:hAnsi="宋体"/>
                <w:sz w:val="18"/>
                <w:szCs w:val="18"/>
                <w:highlight w:val="none"/>
              </w:rPr>
            </w:pPr>
          </w:p>
        </w:tc>
        <w:tc>
          <w:tcPr>
            <w:tcW w:w="243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hAnsi="宋体"/>
                <w:sz w:val="18"/>
                <w:szCs w:val="18"/>
                <w:highlight w:val="none"/>
              </w:rPr>
            </w:pPr>
          </w:p>
        </w:tc>
      </w:tr>
      <w:tr>
        <w:tblPrEx>
          <w:tblLayout w:type="fixed"/>
          <w:tblCellMar>
            <w:top w:w="0" w:type="dxa"/>
            <w:left w:w="30" w:type="dxa"/>
            <w:bottom w:w="0" w:type="dxa"/>
            <w:right w:w="30" w:type="dxa"/>
          </w:tblCellMar>
        </w:tblPrEx>
        <w:trPr>
          <w:cantSplit/>
          <w:trHeight w:val="340" w:hRule="atLeast"/>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 w:val="18"/>
                <w:szCs w:val="18"/>
                <w:highlight w:val="none"/>
              </w:rPr>
            </w:pPr>
            <w:r>
              <w:rPr>
                <w:rFonts w:hint="eastAsia" w:ascii="宋体" w:hAnsi="宋体"/>
                <w:sz w:val="18"/>
                <w:szCs w:val="18"/>
                <w:highlight w:val="none"/>
              </w:rPr>
              <w:t>2</w:t>
            </w:r>
          </w:p>
        </w:tc>
        <w:tc>
          <w:tcPr>
            <w:tcW w:w="8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 w:val="18"/>
                <w:szCs w:val="18"/>
                <w:highlight w:val="none"/>
              </w:rPr>
            </w:pPr>
          </w:p>
        </w:tc>
        <w:tc>
          <w:tcPr>
            <w:tcW w:w="37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 w:val="18"/>
                <w:szCs w:val="18"/>
                <w:highlight w:val="none"/>
              </w:rPr>
            </w:pPr>
          </w:p>
        </w:tc>
        <w:tc>
          <w:tcPr>
            <w:tcW w:w="11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outlineLvl w:val="0"/>
              <w:rPr>
                <w:rFonts w:ascii="宋体" w:hAnsi="宋体"/>
                <w:sz w:val="18"/>
                <w:szCs w:val="18"/>
                <w:highlight w:val="none"/>
              </w:rPr>
            </w:pPr>
          </w:p>
        </w:tc>
        <w:tc>
          <w:tcPr>
            <w:tcW w:w="243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hAnsi="宋体"/>
                <w:sz w:val="18"/>
                <w:szCs w:val="18"/>
                <w:highlight w:val="none"/>
              </w:rPr>
            </w:pPr>
          </w:p>
        </w:tc>
      </w:tr>
      <w:tr>
        <w:tblPrEx>
          <w:tblLayout w:type="fixed"/>
          <w:tblCellMar>
            <w:top w:w="0" w:type="dxa"/>
            <w:left w:w="30" w:type="dxa"/>
            <w:bottom w:w="0" w:type="dxa"/>
            <w:right w:w="30" w:type="dxa"/>
          </w:tblCellMar>
        </w:tblPrEx>
        <w:trPr>
          <w:cantSplit/>
          <w:trHeight w:val="340" w:hRule="atLeast"/>
        </w:trPr>
        <w:tc>
          <w:tcPr>
            <w:tcW w:w="91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 w:val="18"/>
                <w:szCs w:val="18"/>
                <w:highlight w:val="none"/>
              </w:rPr>
            </w:pPr>
            <w:r>
              <w:rPr>
                <w:rFonts w:hint="eastAsia" w:ascii="宋体" w:hAnsi="宋体"/>
                <w:sz w:val="18"/>
                <w:szCs w:val="18"/>
                <w:highlight w:val="none"/>
              </w:rPr>
              <w:t>3</w:t>
            </w:r>
          </w:p>
        </w:tc>
        <w:tc>
          <w:tcPr>
            <w:tcW w:w="8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 w:val="18"/>
                <w:szCs w:val="18"/>
                <w:highlight w:val="none"/>
              </w:rPr>
            </w:pPr>
          </w:p>
        </w:tc>
        <w:tc>
          <w:tcPr>
            <w:tcW w:w="37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 w:val="18"/>
                <w:szCs w:val="18"/>
                <w:highlight w:val="none"/>
              </w:rPr>
            </w:pPr>
          </w:p>
        </w:tc>
        <w:tc>
          <w:tcPr>
            <w:tcW w:w="11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outlineLvl w:val="0"/>
              <w:rPr>
                <w:rFonts w:ascii="宋体" w:hAnsi="宋体"/>
                <w:sz w:val="18"/>
                <w:szCs w:val="18"/>
                <w:highlight w:val="none"/>
              </w:rPr>
            </w:pPr>
          </w:p>
        </w:tc>
        <w:tc>
          <w:tcPr>
            <w:tcW w:w="243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hAnsi="宋体"/>
                <w:sz w:val="18"/>
                <w:szCs w:val="18"/>
                <w:highlight w:val="none"/>
              </w:rPr>
            </w:pPr>
          </w:p>
        </w:tc>
      </w:tr>
      <w:tr>
        <w:tblPrEx>
          <w:tblLayout w:type="fixed"/>
          <w:tblCellMar>
            <w:top w:w="0" w:type="dxa"/>
            <w:left w:w="30" w:type="dxa"/>
            <w:bottom w:w="0" w:type="dxa"/>
            <w:right w:w="30" w:type="dxa"/>
          </w:tblCellMar>
        </w:tblPrEx>
        <w:trPr>
          <w:cantSplit/>
          <w:trHeight w:val="340" w:hRule="atLeast"/>
        </w:trPr>
        <w:tc>
          <w:tcPr>
            <w:tcW w:w="918"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sz w:val="18"/>
                <w:szCs w:val="18"/>
                <w:highlight w:val="none"/>
              </w:rPr>
            </w:pPr>
            <w:r>
              <w:rPr>
                <w:rFonts w:ascii="宋体" w:hAnsi="宋体"/>
                <w:sz w:val="18"/>
                <w:szCs w:val="18"/>
                <w:highlight w:val="none"/>
              </w:rPr>
              <w:t>……</w:t>
            </w:r>
          </w:p>
        </w:tc>
        <w:tc>
          <w:tcPr>
            <w:tcW w:w="8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sz w:val="18"/>
                <w:szCs w:val="18"/>
                <w:highlight w:val="none"/>
              </w:rPr>
            </w:pPr>
          </w:p>
        </w:tc>
        <w:tc>
          <w:tcPr>
            <w:tcW w:w="3796"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宋体" w:hAnsi="宋体"/>
                <w:sz w:val="18"/>
                <w:szCs w:val="18"/>
                <w:highlight w:val="none"/>
              </w:rPr>
            </w:pPr>
          </w:p>
        </w:tc>
        <w:tc>
          <w:tcPr>
            <w:tcW w:w="1141"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outlineLvl w:val="0"/>
              <w:rPr>
                <w:rFonts w:ascii="宋体" w:hAnsi="宋体"/>
                <w:sz w:val="18"/>
                <w:szCs w:val="18"/>
                <w:highlight w:val="none"/>
              </w:rPr>
            </w:pPr>
          </w:p>
        </w:tc>
        <w:tc>
          <w:tcPr>
            <w:tcW w:w="2430"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hAnsi="宋体"/>
                <w:sz w:val="18"/>
                <w:szCs w:val="18"/>
                <w:highlight w:val="none"/>
              </w:rPr>
            </w:pPr>
          </w:p>
        </w:tc>
      </w:tr>
    </w:tbl>
    <w:p>
      <w:pPr>
        <w:tabs>
          <w:tab w:val="left" w:pos="676"/>
          <w:tab w:val="left" w:pos="2330"/>
          <w:tab w:val="left" w:pos="9230"/>
        </w:tabs>
        <w:autoSpaceDE w:val="0"/>
        <w:autoSpaceDN w:val="0"/>
        <w:adjustRightInd w:val="0"/>
        <w:spacing w:line="360" w:lineRule="auto"/>
        <w:ind w:left="4700" w:leftChars="2238"/>
        <w:rPr>
          <w:rFonts w:ascii="宋体"/>
          <w:highlight w:val="none"/>
        </w:rPr>
      </w:pPr>
    </w:p>
    <w:p>
      <w:pPr>
        <w:tabs>
          <w:tab w:val="left" w:pos="676"/>
          <w:tab w:val="left" w:pos="2330"/>
          <w:tab w:val="left" w:pos="9230"/>
        </w:tabs>
        <w:autoSpaceDE w:val="0"/>
        <w:autoSpaceDN w:val="0"/>
        <w:adjustRightInd w:val="0"/>
        <w:spacing w:line="360" w:lineRule="auto"/>
        <w:ind w:left="4700" w:leftChars="2238"/>
        <w:rPr>
          <w:rFonts w:ascii="宋体"/>
          <w:highlight w:val="none"/>
        </w:rPr>
      </w:pPr>
      <w:r>
        <w:rPr>
          <w:rFonts w:hint="eastAsia" w:ascii="宋体"/>
          <w:highlight w:val="none"/>
        </w:rPr>
        <w:t>投标人（法人公章）：</w:t>
      </w:r>
    </w:p>
    <w:p>
      <w:pPr>
        <w:tabs>
          <w:tab w:val="left" w:pos="676"/>
          <w:tab w:val="left" w:pos="2330"/>
          <w:tab w:val="left" w:pos="9230"/>
        </w:tabs>
        <w:autoSpaceDE w:val="0"/>
        <w:autoSpaceDN w:val="0"/>
        <w:adjustRightInd w:val="0"/>
        <w:spacing w:line="360" w:lineRule="auto"/>
        <w:ind w:left="4700" w:leftChars="2238"/>
        <w:rPr>
          <w:rFonts w:ascii="宋体"/>
          <w:highlight w:val="none"/>
        </w:rPr>
      </w:pPr>
      <w:r>
        <w:rPr>
          <w:rFonts w:hint="eastAsia" w:ascii="宋体"/>
          <w:highlight w:val="none"/>
        </w:rPr>
        <w:t>授权代表（签名或盖章）：</w:t>
      </w:r>
    </w:p>
    <w:p>
      <w:pPr>
        <w:rPr>
          <w:highlight w:val="none"/>
        </w:rPr>
      </w:pPr>
      <w:r>
        <w:rPr>
          <w:highlight w:val="none"/>
        </w:rPr>
        <w:t>日期：</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3"/>
        <w:numPr>
          <w:ilvl w:val="0"/>
          <w:numId w:val="0"/>
        </w:numPr>
        <w:tabs>
          <w:tab w:val="clear" w:pos="840"/>
        </w:tabs>
        <w:snapToGrid w:val="0"/>
        <w:spacing w:before="120" w:after="120"/>
        <w:jc w:val="left"/>
        <w:rPr>
          <w:sz w:val="24"/>
          <w:szCs w:val="24"/>
          <w:highlight w:val="none"/>
        </w:rPr>
      </w:pPr>
      <w:bookmarkStart w:id="511" w:name="_Toc489230123"/>
      <w:bookmarkStart w:id="512" w:name="_Toc18973"/>
      <w:bookmarkStart w:id="513" w:name="_Toc19480"/>
      <w:bookmarkStart w:id="514" w:name="_Toc30789"/>
      <w:bookmarkStart w:id="515" w:name="_Toc1620"/>
      <w:bookmarkStart w:id="516" w:name="_Toc17790"/>
      <w:r>
        <w:rPr>
          <w:rFonts w:hint="eastAsia"/>
          <w:sz w:val="24"/>
          <w:szCs w:val="24"/>
          <w:highlight w:val="none"/>
        </w:rPr>
        <w:t>格式14：投标人简介</w:t>
      </w:r>
      <w:bookmarkEnd w:id="511"/>
      <w:bookmarkEnd w:id="512"/>
      <w:bookmarkEnd w:id="513"/>
      <w:bookmarkEnd w:id="514"/>
      <w:bookmarkEnd w:id="515"/>
      <w:bookmarkEnd w:id="516"/>
    </w:p>
    <w:p>
      <w:pPr>
        <w:snapToGrid w:val="0"/>
        <w:spacing w:line="320" w:lineRule="exact"/>
        <w:rPr>
          <w:b/>
          <w:kern w:val="44"/>
          <w:sz w:val="28"/>
          <w:szCs w:val="28"/>
          <w:highlight w:val="none"/>
        </w:rPr>
      </w:pPr>
    </w:p>
    <w:p>
      <w:pPr>
        <w:snapToGrid w:val="0"/>
        <w:spacing w:line="320" w:lineRule="exact"/>
        <w:jc w:val="center"/>
        <w:rPr>
          <w:b/>
          <w:kern w:val="44"/>
          <w:sz w:val="28"/>
          <w:szCs w:val="28"/>
          <w:highlight w:val="none"/>
        </w:rPr>
      </w:pPr>
    </w:p>
    <w:p>
      <w:pPr>
        <w:autoSpaceDE w:val="0"/>
        <w:autoSpaceDN w:val="0"/>
        <w:adjustRightInd w:val="0"/>
        <w:jc w:val="center"/>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投标人企业概况</w:t>
      </w:r>
    </w:p>
    <w:p>
      <w:pPr>
        <w:autoSpaceDE w:val="0"/>
        <w:autoSpaceDN w:val="0"/>
        <w:adjustRightInd w:val="0"/>
        <w:jc w:val="center"/>
        <w:rPr>
          <w:rFonts w:cs="宋体" w:asciiTheme="minorEastAsia" w:hAnsiTheme="minorEastAsia" w:eastAsiaTheme="minorEastAsia"/>
          <w:color w:val="000000"/>
          <w:sz w:val="24"/>
          <w:highlight w:val="none"/>
        </w:rPr>
      </w:pPr>
    </w:p>
    <w:tbl>
      <w:tblPr>
        <w:tblStyle w:val="42"/>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815"/>
        <w:gridCol w:w="900"/>
        <w:gridCol w:w="1620"/>
        <w:gridCol w:w="9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425" w:type="dxa"/>
            <w:vAlign w:val="bottom"/>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企业名称</w:t>
            </w:r>
          </w:p>
        </w:tc>
        <w:tc>
          <w:tcPr>
            <w:tcW w:w="2715" w:type="dxa"/>
            <w:gridSpan w:val="2"/>
            <w:vAlign w:val="bottom"/>
          </w:tcPr>
          <w:p>
            <w:pPr>
              <w:spacing w:line="360" w:lineRule="auto"/>
              <w:rPr>
                <w:rFonts w:asciiTheme="minorEastAsia" w:hAnsiTheme="minorEastAsia" w:eastAsiaTheme="minorEastAsia"/>
                <w:color w:val="000000"/>
                <w:szCs w:val="21"/>
                <w:highlight w:val="none"/>
              </w:rPr>
            </w:pPr>
          </w:p>
        </w:tc>
        <w:tc>
          <w:tcPr>
            <w:tcW w:w="1620" w:type="dxa"/>
            <w:vAlign w:val="bottom"/>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法定代表人</w:t>
            </w:r>
          </w:p>
        </w:tc>
        <w:tc>
          <w:tcPr>
            <w:tcW w:w="3240" w:type="dxa"/>
            <w:gridSpan w:val="2"/>
            <w:vAlign w:val="bottom"/>
          </w:tcPr>
          <w:p>
            <w:pPr>
              <w:spacing w:line="360" w:lineRule="auto"/>
              <w:rPr>
                <w:rFonts w:asciiTheme="minorEastAsia" w:hAnsiTheme="minorEastAsia" w:eastAsiaTheme="minor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425" w:type="dxa"/>
            <w:vAlign w:val="bottom"/>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注册地址</w:t>
            </w:r>
          </w:p>
        </w:tc>
        <w:tc>
          <w:tcPr>
            <w:tcW w:w="2715" w:type="dxa"/>
            <w:gridSpan w:val="2"/>
            <w:vAlign w:val="bottom"/>
          </w:tcPr>
          <w:p>
            <w:pPr>
              <w:spacing w:line="360" w:lineRule="auto"/>
              <w:rPr>
                <w:rFonts w:asciiTheme="minorEastAsia" w:hAnsiTheme="minorEastAsia" w:eastAsiaTheme="minorEastAsia"/>
                <w:color w:val="000000"/>
                <w:szCs w:val="21"/>
                <w:highlight w:val="none"/>
              </w:rPr>
            </w:pPr>
          </w:p>
        </w:tc>
        <w:tc>
          <w:tcPr>
            <w:tcW w:w="1620" w:type="dxa"/>
            <w:vAlign w:val="bottom"/>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邮政编码</w:t>
            </w:r>
          </w:p>
        </w:tc>
        <w:tc>
          <w:tcPr>
            <w:tcW w:w="3240" w:type="dxa"/>
            <w:gridSpan w:val="2"/>
            <w:vAlign w:val="bottom"/>
          </w:tcPr>
          <w:p>
            <w:pPr>
              <w:spacing w:line="360" w:lineRule="auto"/>
              <w:rPr>
                <w:rFonts w:asciiTheme="minorEastAsia" w:hAnsiTheme="minorEastAsia" w:eastAsiaTheme="minor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425" w:type="dxa"/>
            <w:vAlign w:val="bottom"/>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成立时间</w:t>
            </w:r>
          </w:p>
        </w:tc>
        <w:tc>
          <w:tcPr>
            <w:tcW w:w="1815" w:type="dxa"/>
            <w:vAlign w:val="bottom"/>
          </w:tcPr>
          <w:p>
            <w:pPr>
              <w:spacing w:line="360" w:lineRule="auto"/>
              <w:rPr>
                <w:rFonts w:asciiTheme="minorEastAsia" w:hAnsiTheme="minorEastAsia" w:eastAsiaTheme="minorEastAsia"/>
                <w:color w:val="000000"/>
                <w:szCs w:val="21"/>
                <w:highlight w:val="none"/>
              </w:rPr>
            </w:pPr>
          </w:p>
        </w:tc>
        <w:tc>
          <w:tcPr>
            <w:tcW w:w="900" w:type="dxa"/>
            <w:vAlign w:val="bottom"/>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电话</w:t>
            </w:r>
          </w:p>
        </w:tc>
        <w:tc>
          <w:tcPr>
            <w:tcW w:w="1620" w:type="dxa"/>
            <w:vAlign w:val="bottom"/>
          </w:tcPr>
          <w:p>
            <w:pPr>
              <w:spacing w:line="360" w:lineRule="auto"/>
              <w:rPr>
                <w:rFonts w:asciiTheme="minorEastAsia" w:hAnsiTheme="minorEastAsia" w:eastAsiaTheme="minorEastAsia"/>
                <w:color w:val="000000"/>
                <w:szCs w:val="21"/>
                <w:highlight w:val="none"/>
              </w:rPr>
            </w:pPr>
          </w:p>
        </w:tc>
        <w:tc>
          <w:tcPr>
            <w:tcW w:w="900" w:type="dxa"/>
            <w:vAlign w:val="bottom"/>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传真</w:t>
            </w:r>
          </w:p>
        </w:tc>
        <w:tc>
          <w:tcPr>
            <w:tcW w:w="2340" w:type="dxa"/>
            <w:vAlign w:val="bottom"/>
          </w:tcPr>
          <w:p>
            <w:pPr>
              <w:spacing w:line="360" w:lineRule="auto"/>
              <w:rPr>
                <w:rFonts w:asciiTheme="minorEastAsia" w:hAnsiTheme="minorEastAsia" w:eastAsiaTheme="minor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425" w:type="dxa"/>
            <w:vAlign w:val="bottom"/>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资质等级</w:t>
            </w:r>
          </w:p>
        </w:tc>
        <w:tc>
          <w:tcPr>
            <w:tcW w:w="2715" w:type="dxa"/>
            <w:gridSpan w:val="2"/>
            <w:vAlign w:val="bottom"/>
          </w:tcPr>
          <w:p>
            <w:pPr>
              <w:spacing w:line="360" w:lineRule="auto"/>
              <w:rPr>
                <w:rFonts w:asciiTheme="minorEastAsia" w:hAnsiTheme="minorEastAsia" w:eastAsiaTheme="minorEastAsia"/>
                <w:color w:val="000000"/>
                <w:szCs w:val="21"/>
                <w:highlight w:val="none"/>
              </w:rPr>
            </w:pPr>
          </w:p>
        </w:tc>
        <w:tc>
          <w:tcPr>
            <w:tcW w:w="1620" w:type="dxa"/>
            <w:vAlign w:val="bottom"/>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营业执照</w:t>
            </w:r>
          </w:p>
        </w:tc>
        <w:tc>
          <w:tcPr>
            <w:tcW w:w="3240" w:type="dxa"/>
            <w:gridSpan w:val="2"/>
            <w:vAlign w:val="bottom"/>
          </w:tcPr>
          <w:p>
            <w:pPr>
              <w:spacing w:line="360" w:lineRule="auto"/>
              <w:rPr>
                <w:rFonts w:asciiTheme="minorEastAsia" w:hAnsiTheme="minorEastAsia" w:eastAsiaTheme="minor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425" w:type="dxa"/>
            <w:vAlign w:val="bottom"/>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职工人数</w:t>
            </w:r>
          </w:p>
        </w:tc>
        <w:tc>
          <w:tcPr>
            <w:tcW w:w="7575" w:type="dxa"/>
            <w:gridSpan w:val="5"/>
            <w:vAlign w:val="bottom"/>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总人数：技术人员：行政人员：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2" w:hRule="atLeast"/>
          <w:jc w:val="center"/>
        </w:trPr>
        <w:tc>
          <w:tcPr>
            <w:tcW w:w="1425" w:type="dxa"/>
            <w:vAlign w:val="center"/>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公司主要</w:t>
            </w:r>
          </w:p>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业务概况</w:t>
            </w:r>
          </w:p>
        </w:tc>
        <w:tc>
          <w:tcPr>
            <w:tcW w:w="7575" w:type="dxa"/>
            <w:gridSpan w:val="5"/>
          </w:tcPr>
          <w:p>
            <w:pPr>
              <w:spacing w:line="360" w:lineRule="auto"/>
              <w:rPr>
                <w:rFonts w:asciiTheme="minorEastAsia" w:hAnsiTheme="minorEastAsia" w:eastAsiaTheme="minorEastAsia"/>
                <w:color w:val="000000"/>
                <w:szCs w:val="21"/>
                <w:highlight w:val="none"/>
              </w:rPr>
            </w:pPr>
          </w:p>
          <w:p>
            <w:pPr>
              <w:spacing w:line="360" w:lineRule="auto"/>
              <w:rPr>
                <w:rFonts w:asciiTheme="minorEastAsia" w:hAnsiTheme="minorEastAsia" w:eastAsiaTheme="minor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9" w:hRule="atLeast"/>
          <w:jc w:val="center"/>
        </w:trPr>
        <w:tc>
          <w:tcPr>
            <w:tcW w:w="9000" w:type="dxa"/>
            <w:gridSpan w:val="6"/>
          </w:tcPr>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组织机构框图</w:t>
            </w:r>
          </w:p>
          <w:p>
            <w:pPr>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（包括结构、领导成员、主要技术人员及数量等情况）</w:t>
            </w:r>
          </w:p>
          <w:p>
            <w:pPr>
              <w:spacing w:line="360" w:lineRule="auto"/>
              <w:rPr>
                <w:rFonts w:asciiTheme="minorEastAsia" w:hAnsiTheme="minorEastAsia" w:eastAsiaTheme="minorEastAsia"/>
                <w:color w:val="000000"/>
                <w:szCs w:val="21"/>
                <w:highlight w:val="none"/>
              </w:rPr>
            </w:pPr>
          </w:p>
          <w:p>
            <w:pPr>
              <w:spacing w:line="360" w:lineRule="auto"/>
              <w:rPr>
                <w:rFonts w:asciiTheme="minorEastAsia" w:hAnsiTheme="minorEastAsia" w:eastAsiaTheme="minorEastAsia"/>
                <w:color w:val="000000"/>
                <w:szCs w:val="21"/>
                <w:highlight w:val="none"/>
              </w:rPr>
            </w:pPr>
          </w:p>
        </w:tc>
      </w:tr>
    </w:tbl>
    <w:p>
      <w:pPr>
        <w:spacing w:line="360" w:lineRule="auto"/>
        <w:rPr>
          <w:rFonts w:asciiTheme="minorEastAsia" w:hAnsiTheme="minorEastAsia" w:eastAsiaTheme="minorEastAsia"/>
          <w:b/>
          <w:color w:val="000000"/>
          <w:szCs w:val="21"/>
          <w:highlight w:val="none"/>
        </w:rPr>
      </w:pPr>
    </w:p>
    <w:p>
      <w:pPr>
        <w:autoSpaceDE w:val="0"/>
        <w:autoSpaceDN w:val="0"/>
        <w:adjustRightInd w:val="0"/>
        <w:spacing w:line="480" w:lineRule="auto"/>
        <w:ind w:firstLine="315" w:firstLineChars="150"/>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投标人名称：（盖章）</w:t>
      </w:r>
    </w:p>
    <w:p>
      <w:pPr>
        <w:autoSpaceDE w:val="0"/>
        <w:autoSpaceDN w:val="0"/>
        <w:adjustRightInd w:val="0"/>
        <w:spacing w:line="480" w:lineRule="auto"/>
        <w:ind w:firstLine="315" w:firstLineChars="150"/>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投标人法人代表（或其授权代理人）：（签字或盖章）</w:t>
      </w:r>
    </w:p>
    <w:p>
      <w:pPr>
        <w:spacing w:line="360" w:lineRule="auto"/>
        <w:ind w:firstLine="315" w:firstLineChars="150"/>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日期：</w:t>
      </w:r>
      <w:r>
        <w:rPr>
          <w:rFonts w:asciiTheme="minorEastAsia" w:hAnsiTheme="minorEastAsia" w:eastAsiaTheme="minorEastAsia"/>
          <w:color w:val="000000"/>
          <w:szCs w:val="21"/>
          <w:highlight w:val="none"/>
        </w:rPr>
        <w:t>201</w:t>
      </w:r>
      <w:r>
        <w:rPr>
          <w:rFonts w:hint="eastAsia" w:asciiTheme="minorEastAsia" w:hAnsiTheme="minorEastAsia" w:eastAsiaTheme="minorEastAsia"/>
          <w:color w:val="000000"/>
          <w:szCs w:val="21"/>
          <w:highlight w:val="none"/>
        </w:rPr>
        <w:t>9年月日</w:t>
      </w:r>
    </w:p>
    <w:p>
      <w:pPr>
        <w:rPr>
          <w:rFonts w:ascii="黑体" w:eastAsia="黑体"/>
          <w:b/>
          <w:kern w:val="144"/>
          <w:sz w:val="44"/>
          <w:highlight w:val="none"/>
        </w:rPr>
      </w:pPr>
    </w:p>
    <w:p>
      <w:pPr>
        <w:rPr>
          <w:rFonts w:ascii="黑体" w:eastAsia="黑体"/>
          <w:b/>
          <w:kern w:val="144"/>
          <w:sz w:val="44"/>
          <w:highlight w:val="none"/>
        </w:rPr>
      </w:pPr>
    </w:p>
    <w:p>
      <w:pPr>
        <w:pStyle w:val="3"/>
        <w:numPr>
          <w:ilvl w:val="255"/>
          <w:numId w:val="0"/>
        </w:numPr>
        <w:tabs>
          <w:tab w:val="clear" w:pos="840"/>
        </w:tabs>
        <w:snapToGrid w:val="0"/>
        <w:spacing w:before="156" w:after="156"/>
        <w:jc w:val="left"/>
        <w:rPr>
          <w:b w:val="0"/>
          <w:kern w:val="44"/>
          <w:sz w:val="28"/>
          <w:szCs w:val="28"/>
          <w:highlight w:val="none"/>
        </w:rPr>
      </w:pPr>
      <w:bookmarkStart w:id="517" w:name="_Toc18027"/>
      <w:bookmarkStart w:id="518" w:name="_Toc8133605"/>
      <w:bookmarkStart w:id="519" w:name="_Toc534757718"/>
      <w:bookmarkStart w:id="520" w:name="_Toc8261"/>
      <w:bookmarkStart w:id="521" w:name="_Toc17326"/>
      <w:bookmarkStart w:id="522" w:name="_Toc24870"/>
      <w:r>
        <w:rPr>
          <w:rFonts w:hint="eastAsia"/>
          <w:sz w:val="24"/>
          <w:szCs w:val="24"/>
          <w:highlight w:val="none"/>
        </w:rPr>
        <w:t>格式15：项目人员配置</w:t>
      </w:r>
      <w:bookmarkEnd w:id="517"/>
      <w:bookmarkEnd w:id="518"/>
      <w:bookmarkEnd w:id="519"/>
      <w:bookmarkEnd w:id="520"/>
      <w:bookmarkEnd w:id="521"/>
      <w:bookmarkEnd w:id="522"/>
    </w:p>
    <w:p>
      <w:pPr>
        <w:spacing w:beforeLines="100" w:afterLines="100" w:line="440" w:lineRule="exact"/>
        <w:jc w:val="center"/>
        <w:rPr>
          <w:rFonts w:ascii="Arial" w:hAnsi="Arial" w:eastAsia="黑体"/>
          <w:b/>
          <w:bCs/>
          <w:sz w:val="24"/>
          <w:szCs w:val="32"/>
          <w:highlight w:val="none"/>
        </w:rPr>
      </w:pPr>
      <w:bookmarkStart w:id="523" w:name="_Toc332188245"/>
      <w:bookmarkStart w:id="524" w:name="_Toc246997114"/>
      <w:bookmarkStart w:id="525" w:name="_Toc179632825"/>
      <w:bookmarkStart w:id="526" w:name="_Toc246996371"/>
      <w:bookmarkStart w:id="527" w:name="_Toc144974873"/>
      <w:bookmarkStart w:id="528" w:name="_Toc326223616"/>
      <w:bookmarkStart w:id="529" w:name="_Toc152042594"/>
      <w:bookmarkStart w:id="530" w:name="_Toc334766998"/>
      <w:bookmarkStart w:id="531" w:name="_Toc247085889"/>
      <w:bookmarkStart w:id="532" w:name="_Toc152045805"/>
      <w:r>
        <w:rPr>
          <w:rFonts w:ascii="Arial" w:hAnsi="Arial" w:eastAsia="黑体"/>
          <w:b/>
          <w:bCs/>
          <w:sz w:val="24"/>
          <w:szCs w:val="32"/>
          <w:highlight w:val="none"/>
        </w:rPr>
        <w:t>（</w:t>
      </w:r>
      <w:r>
        <w:rPr>
          <w:rFonts w:hint="eastAsia" w:ascii="Arial" w:hAnsi="Arial" w:eastAsia="黑体"/>
          <w:b/>
          <w:bCs/>
          <w:sz w:val="24"/>
          <w:szCs w:val="32"/>
          <w:highlight w:val="none"/>
        </w:rPr>
        <w:t>1</w:t>
      </w:r>
      <w:r>
        <w:rPr>
          <w:rFonts w:ascii="Arial" w:hAnsi="Arial" w:eastAsia="黑体"/>
          <w:b/>
          <w:bCs/>
          <w:sz w:val="24"/>
          <w:szCs w:val="32"/>
          <w:highlight w:val="none"/>
        </w:rPr>
        <w:t>）</w:t>
      </w:r>
      <w:r>
        <w:rPr>
          <w:rFonts w:hint="eastAsia" w:ascii="Arial" w:hAnsi="Arial" w:eastAsia="黑体"/>
          <w:b/>
          <w:bCs/>
          <w:sz w:val="24"/>
          <w:szCs w:val="32"/>
          <w:highlight w:val="none"/>
        </w:rPr>
        <w:t>项目负责人</w:t>
      </w:r>
      <w:r>
        <w:rPr>
          <w:rFonts w:ascii="Arial" w:hAnsi="Arial" w:eastAsia="黑体"/>
          <w:b/>
          <w:bCs/>
          <w:sz w:val="24"/>
          <w:szCs w:val="32"/>
          <w:highlight w:val="none"/>
        </w:rPr>
        <w:t>简历表</w:t>
      </w:r>
      <w:bookmarkEnd w:id="523"/>
      <w:bookmarkEnd w:id="524"/>
      <w:bookmarkEnd w:id="525"/>
      <w:bookmarkEnd w:id="526"/>
      <w:bookmarkEnd w:id="527"/>
      <w:bookmarkEnd w:id="528"/>
      <w:bookmarkEnd w:id="529"/>
      <w:bookmarkEnd w:id="530"/>
      <w:bookmarkEnd w:id="531"/>
      <w:bookmarkEnd w:id="532"/>
    </w:p>
    <w:p>
      <w:pPr>
        <w:spacing w:line="400" w:lineRule="exact"/>
        <w:ind w:firstLine="420" w:firstLineChars="200"/>
        <w:rPr>
          <w:highlight w:val="none"/>
        </w:rPr>
      </w:pPr>
      <w:r>
        <w:rPr>
          <w:rFonts w:hint="eastAsia" w:ascii="宋体" w:hAnsi="宋体" w:cs="宋体"/>
          <w:szCs w:val="21"/>
          <w:highlight w:val="none"/>
        </w:rPr>
        <w:t>投标人拟派本项目的项目负责人共1名，作为本项目专职联系人，请提供该项目负责人简历表，身份证、职称证、学历证明扫描件、业绩经验、劳动合同等证明材料）</w:t>
      </w:r>
    </w:p>
    <w:tbl>
      <w:tblPr>
        <w:tblStyle w:val="4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60"/>
        <w:gridCol w:w="1106"/>
        <w:gridCol w:w="291"/>
        <w:gridCol w:w="861"/>
        <w:gridCol w:w="626"/>
        <w:gridCol w:w="574"/>
        <w:gridCol w:w="658"/>
        <w:gridCol w:w="1019"/>
        <w:gridCol w:w="30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gridSpan w:val="2"/>
            <w:vAlign w:val="center"/>
          </w:tcPr>
          <w:p>
            <w:pPr>
              <w:jc w:val="center"/>
              <w:rPr>
                <w:rFonts w:ascii="宋体" w:hAnsi="宋体"/>
                <w:szCs w:val="21"/>
                <w:highlight w:val="none"/>
              </w:rPr>
            </w:pPr>
            <w:r>
              <w:rPr>
                <w:rFonts w:ascii="宋体" w:hAnsi="宋体"/>
                <w:szCs w:val="21"/>
                <w:highlight w:val="none"/>
              </w:rPr>
              <w:t>姓  名</w:t>
            </w:r>
          </w:p>
        </w:tc>
        <w:tc>
          <w:tcPr>
            <w:tcW w:w="1397" w:type="dxa"/>
            <w:gridSpan w:val="2"/>
            <w:vAlign w:val="center"/>
          </w:tcPr>
          <w:p>
            <w:pPr>
              <w:jc w:val="center"/>
              <w:rPr>
                <w:rFonts w:ascii="宋体" w:hAnsi="宋体"/>
                <w:szCs w:val="21"/>
                <w:highlight w:val="none"/>
              </w:rPr>
            </w:pPr>
          </w:p>
        </w:tc>
        <w:tc>
          <w:tcPr>
            <w:tcW w:w="861" w:type="dxa"/>
            <w:vAlign w:val="center"/>
          </w:tcPr>
          <w:p>
            <w:pPr>
              <w:jc w:val="center"/>
              <w:rPr>
                <w:rFonts w:ascii="宋体" w:hAnsi="宋体"/>
                <w:szCs w:val="21"/>
                <w:highlight w:val="none"/>
              </w:rPr>
            </w:pPr>
            <w:r>
              <w:rPr>
                <w:rFonts w:ascii="宋体" w:hAnsi="宋体"/>
                <w:szCs w:val="21"/>
                <w:highlight w:val="none"/>
              </w:rPr>
              <w:t>年 龄</w:t>
            </w:r>
          </w:p>
        </w:tc>
        <w:tc>
          <w:tcPr>
            <w:tcW w:w="1200" w:type="dxa"/>
            <w:gridSpan w:val="2"/>
            <w:vAlign w:val="center"/>
          </w:tcPr>
          <w:p>
            <w:pPr>
              <w:jc w:val="center"/>
              <w:rPr>
                <w:rFonts w:ascii="宋体" w:hAnsi="宋体"/>
                <w:szCs w:val="21"/>
                <w:highlight w:val="none"/>
              </w:rPr>
            </w:pPr>
          </w:p>
        </w:tc>
        <w:tc>
          <w:tcPr>
            <w:tcW w:w="1979" w:type="dxa"/>
            <w:gridSpan w:val="3"/>
            <w:vAlign w:val="center"/>
          </w:tcPr>
          <w:p>
            <w:pPr>
              <w:jc w:val="center"/>
              <w:rPr>
                <w:rFonts w:ascii="宋体" w:hAnsi="宋体"/>
                <w:szCs w:val="21"/>
                <w:highlight w:val="none"/>
              </w:rPr>
            </w:pPr>
            <w:r>
              <w:rPr>
                <w:rFonts w:ascii="宋体" w:hAnsi="宋体"/>
                <w:szCs w:val="21"/>
                <w:highlight w:val="none"/>
              </w:rPr>
              <w:t>学历</w:t>
            </w:r>
          </w:p>
        </w:tc>
        <w:tc>
          <w:tcPr>
            <w:tcW w:w="1984" w:type="dxa"/>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gridSpan w:val="2"/>
            <w:vAlign w:val="center"/>
          </w:tcPr>
          <w:p>
            <w:pPr>
              <w:jc w:val="center"/>
              <w:rPr>
                <w:rFonts w:ascii="宋体" w:hAnsi="宋体"/>
                <w:szCs w:val="21"/>
                <w:highlight w:val="none"/>
              </w:rPr>
            </w:pPr>
            <w:r>
              <w:rPr>
                <w:rFonts w:ascii="宋体" w:hAnsi="宋体"/>
                <w:szCs w:val="21"/>
                <w:highlight w:val="none"/>
              </w:rPr>
              <w:t>职  称</w:t>
            </w:r>
          </w:p>
        </w:tc>
        <w:tc>
          <w:tcPr>
            <w:tcW w:w="1397" w:type="dxa"/>
            <w:gridSpan w:val="2"/>
            <w:vAlign w:val="center"/>
          </w:tcPr>
          <w:p>
            <w:pPr>
              <w:jc w:val="center"/>
              <w:rPr>
                <w:rFonts w:ascii="宋体" w:hAnsi="宋体"/>
                <w:szCs w:val="21"/>
                <w:highlight w:val="none"/>
              </w:rPr>
            </w:pPr>
          </w:p>
        </w:tc>
        <w:tc>
          <w:tcPr>
            <w:tcW w:w="861" w:type="dxa"/>
            <w:vAlign w:val="center"/>
          </w:tcPr>
          <w:p>
            <w:pPr>
              <w:jc w:val="center"/>
              <w:rPr>
                <w:rFonts w:ascii="宋体" w:hAnsi="宋体"/>
                <w:szCs w:val="21"/>
                <w:highlight w:val="none"/>
              </w:rPr>
            </w:pPr>
            <w:r>
              <w:rPr>
                <w:rFonts w:ascii="宋体" w:hAnsi="宋体"/>
                <w:szCs w:val="21"/>
                <w:highlight w:val="none"/>
              </w:rPr>
              <w:t>职 务</w:t>
            </w:r>
          </w:p>
        </w:tc>
        <w:tc>
          <w:tcPr>
            <w:tcW w:w="1200" w:type="dxa"/>
            <w:gridSpan w:val="2"/>
            <w:vAlign w:val="center"/>
          </w:tcPr>
          <w:p>
            <w:pPr>
              <w:jc w:val="center"/>
              <w:rPr>
                <w:rFonts w:ascii="宋体" w:hAnsi="宋体"/>
                <w:szCs w:val="21"/>
                <w:highlight w:val="none"/>
              </w:rPr>
            </w:pPr>
          </w:p>
        </w:tc>
        <w:tc>
          <w:tcPr>
            <w:tcW w:w="1979" w:type="dxa"/>
            <w:gridSpan w:val="3"/>
            <w:vAlign w:val="center"/>
          </w:tcPr>
          <w:p>
            <w:pPr>
              <w:jc w:val="center"/>
              <w:rPr>
                <w:rFonts w:ascii="宋体" w:hAnsi="宋体"/>
                <w:szCs w:val="21"/>
                <w:highlight w:val="none"/>
              </w:rPr>
            </w:pPr>
            <w:r>
              <w:rPr>
                <w:rFonts w:ascii="宋体" w:hAnsi="宋体"/>
                <w:szCs w:val="21"/>
                <w:highlight w:val="none"/>
              </w:rPr>
              <w:t>拟在本合同任职</w:t>
            </w:r>
          </w:p>
        </w:tc>
        <w:tc>
          <w:tcPr>
            <w:tcW w:w="1984" w:type="dxa"/>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gridSpan w:val="2"/>
            <w:vAlign w:val="center"/>
          </w:tcPr>
          <w:p>
            <w:pPr>
              <w:rPr>
                <w:rFonts w:ascii="宋体" w:hAnsi="宋体"/>
                <w:szCs w:val="21"/>
                <w:highlight w:val="none"/>
              </w:rPr>
            </w:pPr>
            <w:r>
              <w:rPr>
                <w:rFonts w:ascii="宋体" w:hAnsi="宋体"/>
                <w:szCs w:val="21"/>
                <w:highlight w:val="none"/>
              </w:rPr>
              <w:t>毕业学校</w:t>
            </w:r>
          </w:p>
        </w:tc>
        <w:tc>
          <w:tcPr>
            <w:tcW w:w="7421" w:type="dxa"/>
            <w:gridSpan w:val="9"/>
          </w:tcPr>
          <w:p>
            <w:pPr>
              <w:rPr>
                <w:rFonts w:ascii="宋体" w:hAnsi="宋体"/>
                <w:szCs w:val="21"/>
                <w:highlight w:val="none"/>
              </w:rPr>
            </w:pPr>
            <w:r>
              <w:rPr>
                <w:rFonts w:ascii="宋体" w:hAnsi="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101" w:type="dxa"/>
            <w:gridSpan w:val="2"/>
            <w:vAlign w:val="center"/>
          </w:tcPr>
          <w:p>
            <w:pPr>
              <w:rPr>
                <w:rFonts w:ascii="宋体" w:hAnsi="宋体"/>
                <w:szCs w:val="21"/>
                <w:highlight w:val="none"/>
              </w:rPr>
            </w:pPr>
            <w:r>
              <w:rPr>
                <w:rFonts w:hint="eastAsia" w:ascii="宋体" w:hAnsi="宋体"/>
                <w:szCs w:val="21"/>
                <w:highlight w:val="none"/>
              </w:rPr>
              <w:t>同类项目工作年限</w:t>
            </w:r>
          </w:p>
          <w:p>
            <w:pPr>
              <w:rPr>
                <w:rFonts w:ascii="宋体" w:hAnsi="宋体"/>
                <w:szCs w:val="21"/>
                <w:highlight w:val="none"/>
              </w:rPr>
            </w:pPr>
            <w:r>
              <w:rPr>
                <w:rFonts w:hint="eastAsia" w:ascii="宋体" w:hAnsi="宋体"/>
                <w:szCs w:val="21"/>
                <w:highlight w:val="none"/>
              </w:rPr>
              <w:t>（年）：</w:t>
            </w:r>
          </w:p>
        </w:tc>
        <w:tc>
          <w:tcPr>
            <w:tcW w:w="7421" w:type="dxa"/>
            <w:gridSpan w:val="9"/>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11"/>
            <w:vAlign w:val="center"/>
          </w:tcPr>
          <w:p>
            <w:pPr>
              <w:rPr>
                <w:rFonts w:ascii="宋体" w:hAnsi="宋体"/>
                <w:szCs w:val="21"/>
                <w:highlight w:val="none"/>
              </w:rPr>
            </w:pPr>
            <w:r>
              <w:rPr>
                <w:rFonts w:ascii="宋体" w:hAnsi="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41" w:type="dxa"/>
            <w:vAlign w:val="center"/>
          </w:tcPr>
          <w:p>
            <w:pPr>
              <w:rPr>
                <w:rFonts w:ascii="宋体" w:hAnsi="宋体"/>
                <w:szCs w:val="21"/>
                <w:highlight w:val="none"/>
              </w:rPr>
            </w:pPr>
            <w:r>
              <w:rPr>
                <w:rFonts w:ascii="宋体" w:hAnsi="宋体"/>
                <w:szCs w:val="21"/>
                <w:highlight w:val="none"/>
              </w:rPr>
              <w:t>时  间</w:t>
            </w:r>
          </w:p>
        </w:tc>
        <w:tc>
          <w:tcPr>
            <w:tcW w:w="1266" w:type="dxa"/>
            <w:gridSpan w:val="2"/>
            <w:vAlign w:val="center"/>
          </w:tcPr>
          <w:p>
            <w:pPr>
              <w:rPr>
                <w:rFonts w:ascii="宋体" w:hAnsi="宋体"/>
                <w:szCs w:val="21"/>
                <w:highlight w:val="none"/>
              </w:rPr>
            </w:pPr>
            <w:r>
              <w:rPr>
                <w:rFonts w:hint="eastAsia" w:ascii="宋体" w:hAnsi="宋体"/>
                <w:szCs w:val="21"/>
                <w:highlight w:val="none"/>
              </w:rPr>
              <w:t>甲方名称</w:t>
            </w:r>
          </w:p>
        </w:tc>
        <w:tc>
          <w:tcPr>
            <w:tcW w:w="1778" w:type="dxa"/>
            <w:gridSpan w:val="3"/>
            <w:vAlign w:val="center"/>
          </w:tcPr>
          <w:p>
            <w:pPr>
              <w:rPr>
                <w:rFonts w:ascii="宋体" w:hAnsi="宋体"/>
                <w:szCs w:val="21"/>
                <w:highlight w:val="none"/>
              </w:rPr>
            </w:pPr>
            <w:r>
              <w:rPr>
                <w:rFonts w:ascii="宋体" w:hAnsi="宋体"/>
                <w:szCs w:val="21"/>
                <w:highlight w:val="none"/>
              </w:rPr>
              <w:t>参加过的类似项目</w:t>
            </w:r>
            <w:r>
              <w:rPr>
                <w:rFonts w:hint="eastAsia" w:ascii="宋体" w:hAnsi="宋体"/>
                <w:szCs w:val="21"/>
                <w:highlight w:val="none"/>
              </w:rPr>
              <w:t>(项目名称)</w:t>
            </w:r>
          </w:p>
        </w:tc>
        <w:tc>
          <w:tcPr>
            <w:tcW w:w="1232" w:type="dxa"/>
            <w:gridSpan w:val="2"/>
            <w:vAlign w:val="center"/>
          </w:tcPr>
          <w:p>
            <w:pPr>
              <w:rPr>
                <w:rFonts w:ascii="宋体" w:hAnsi="宋体"/>
                <w:szCs w:val="21"/>
                <w:highlight w:val="none"/>
              </w:rPr>
            </w:pPr>
            <w:r>
              <w:rPr>
                <w:rFonts w:hint="eastAsia" w:ascii="宋体" w:hAnsi="宋体"/>
                <w:szCs w:val="21"/>
                <w:highlight w:val="none"/>
              </w:rPr>
              <w:t>年合同金额（万元）</w:t>
            </w:r>
          </w:p>
        </w:tc>
        <w:tc>
          <w:tcPr>
            <w:tcW w:w="1019" w:type="dxa"/>
            <w:vAlign w:val="center"/>
          </w:tcPr>
          <w:p>
            <w:pPr>
              <w:rPr>
                <w:rFonts w:ascii="宋体" w:hAnsi="宋体"/>
                <w:szCs w:val="21"/>
                <w:highlight w:val="none"/>
              </w:rPr>
            </w:pPr>
            <w:r>
              <w:rPr>
                <w:rFonts w:ascii="宋体" w:hAnsi="宋体"/>
                <w:szCs w:val="21"/>
                <w:highlight w:val="none"/>
              </w:rPr>
              <w:t>担任职务</w:t>
            </w:r>
          </w:p>
        </w:tc>
        <w:tc>
          <w:tcPr>
            <w:tcW w:w="2286" w:type="dxa"/>
            <w:gridSpan w:val="2"/>
            <w:vAlign w:val="center"/>
          </w:tcPr>
          <w:p>
            <w:pPr>
              <w:rPr>
                <w:rFonts w:ascii="宋体" w:hAnsi="宋体"/>
                <w:szCs w:val="21"/>
                <w:highlight w:val="none"/>
              </w:rPr>
            </w:pPr>
            <w:r>
              <w:rPr>
                <w:rFonts w:hint="eastAsia" w:ascii="宋体" w:hAnsi="宋体"/>
                <w:szCs w:val="21"/>
                <w:highlight w:val="none"/>
              </w:rPr>
              <w:t>甲方联系人</w:t>
            </w:r>
            <w:r>
              <w:rPr>
                <w:rFonts w:ascii="宋体" w:hAnsi="宋体"/>
                <w:szCs w:val="21"/>
                <w:highlight w:val="none"/>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41" w:type="dxa"/>
          </w:tcPr>
          <w:p>
            <w:pPr>
              <w:rPr>
                <w:rFonts w:eastAsia="黑体"/>
                <w:szCs w:val="21"/>
                <w:highlight w:val="none"/>
              </w:rPr>
            </w:pPr>
          </w:p>
        </w:tc>
        <w:tc>
          <w:tcPr>
            <w:tcW w:w="1266" w:type="dxa"/>
            <w:gridSpan w:val="2"/>
          </w:tcPr>
          <w:p>
            <w:pPr>
              <w:rPr>
                <w:rFonts w:eastAsia="黑体"/>
                <w:szCs w:val="21"/>
                <w:highlight w:val="none"/>
              </w:rPr>
            </w:pPr>
          </w:p>
        </w:tc>
        <w:tc>
          <w:tcPr>
            <w:tcW w:w="1778" w:type="dxa"/>
            <w:gridSpan w:val="3"/>
          </w:tcPr>
          <w:p>
            <w:pPr>
              <w:rPr>
                <w:rFonts w:eastAsia="黑体"/>
                <w:szCs w:val="21"/>
                <w:highlight w:val="none"/>
              </w:rPr>
            </w:pPr>
          </w:p>
        </w:tc>
        <w:tc>
          <w:tcPr>
            <w:tcW w:w="1232" w:type="dxa"/>
            <w:gridSpan w:val="2"/>
          </w:tcPr>
          <w:p>
            <w:pPr>
              <w:rPr>
                <w:rFonts w:eastAsia="黑体"/>
                <w:szCs w:val="21"/>
                <w:highlight w:val="none"/>
              </w:rPr>
            </w:pPr>
          </w:p>
        </w:tc>
        <w:tc>
          <w:tcPr>
            <w:tcW w:w="1019" w:type="dxa"/>
          </w:tcPr>
          <w:p>
            <w:pPr>
              <w:rPr>
                <w:rFonts w:eastAsia="黑体"/>
                <w:szCs w:val="21"/>
                <w:highlight w:val="none"/>
              </w:rPr>
            </w:pPr>
          </w:p>
        </w:tc>
        <w:tc>
          <w:tcPr>
            <w:tcW w:w="2286" w:type="dxa"/>
            <w:gridSpan w:val="2"/>
          </w:tcPr>
          <w:p>
            <w:pPr>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41" w:type="dxa"/>
          </w:tcPr>
          <w:p>
            <w:pPr>
              <w:rPr>
                <w:rFonts w:eastAsia="黑体"/>
                <w:szCs w:val="21"/>
                <w:highlight w:val="none"/>
              </w:rPr>
            </w:pPr>
          </w:p>
        </w:tc>
        <w:tc>
          <w:tcPr>
            <w:tcW w:w="1266" w:type="dxa"/>
            <w:gridSpan w:val="2"/>
          </w:tcPr>
          <w:p>
            <w:pPr>
              <w:rPr>
                <w:rFonts w:eastAsia="黑体"/>
                <w:szCs w:val="21"/>
                <w:highlight w:val="none"/>
              </w:rPr>
            </w:pPr>
          </w:p>
        </w:tc>
        <w:tc>
          <w:tcPr>
            <w:tcW w:w="1778" w:type="dxa"/>
            <w:gridSpan w:val="3"/>
          </w:tcPr>
          <w:p>
            <w:pPr>
              <w:rPr>
                <w:rFonts w:eastAsia="黑体"/>
                <w:szCs w:val="21"/>
                <w:highlight w:val="none"/>
              </w:rPr>
            </w:pPr>
          </w:p>
        </w:tc>
        <w:tc>
          <w:tcPr>
            <w:tcW w:w="1232" w:type="dxa"/>
            <w:gridSpan w:val="2"/>
          </w:tcPr>
          <w:p>
            <w:pPr>
              <w:rPr>
                <w:rFonts w:eastAsia="黑体"/>
                <w:szCs w:val="21"/>
                <w:highlight w:val="none"/>
              </w:rPr>
            </w:pPr>
          </w:p>
        </w:tc>
        <w:tc>
          <w:tcPr>
            <w:tcW w:w="1019" w:type="dxa"/>
          </w:tcPr>
          <w:p>
            <w:pPr>
              <w:rPr>
                <w:rFonts w:eastAsia="黑体"/>
                <w:szCs w:val="21"/>
                <w:highlight w:val="none"/>
              </w:rPr>
            </w:pPr>
          </w:p>
        </w:tc>
        <w:tc>
          <w:tcPr>
            <w:tcW w:w="2286" w:type="dxa"/>
            <w:gridSpan w:val="2"/>
          </w:tcPr>
          <w:p>
            <w:pPr>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41" w:type="dxa"/>
          </w:tcPr>
          <w:p>
            <w:pPr>
              <w:rPr>
                <w:rFonts w:eastAsia="黑体"/>
                <w:szCs w:val="21"/>
                <w:highlight w:val="none"/>
              </w:rPr>
            </w:pPr>
          </w:p>
        </w:tc>
        <w:tc>
          <w:tcPr>
            <w:tcW w:w="1266" w:type="dxa"/>
            <w:gridSpan w:val="2"/>
          </w:tcPr>
          <w:p>
            <w:pPr>
              <w:rPr>
                <w:rFonts w:eastAsia="黑体"/>
                <w:szCs w:val="21"/>
                <w:highlight w:val="none"/>
              </w:rPr>
            </w:pPr>
          </w:p>
        </w:tc>
        <w:tc>
          <w:tcPr>
            <w:tcW w:w="1778" w:type="dxa"/>
            <w:gridSpan w:val="3"/>
          </w:tcPr>
          <w:p>
            <w:pPr>
              <w:rPr>
                <w:rFonts w:eastAsia="黑体"/>
                <w:szCs w:val="21"/>
                <w:highlight w:val="none"/>
              </w:rPr>
            </w:pPr>
          </w:p>
        </w:tc>
        <w:tc>
          <w:tcPr>
            <w:tcW w:w="1232" w:type="dxa"/>
            <w:gridSpan w:val="2"/>
          </w:tcPr>
          <w:p>
            <w:pPr>
              <w:rPr>
                <w:rFonts w:eastAsia="黑体"/>
                <w:szCs w:val="21"/>
                <w:highlight w:val="none"/>
              </w:rPr>
            </w:pPr>
          </w:p>
        </w:tc>
        <w:tc>
          <w:tcPr>
            <w:tcW w:w="1019" w:type="dxa"/>
          </w:tcPr>
          <w:p>
            <w:pPr>
              <w:rPr>
                <w:rFonts w:eastAsia="黑体"/>
                <w:szCs w:val="21"/>
                <w:highlight w:val="none"/>
              </w:rPr>
            </w:pPr>
          </w:p>
        </w:tc>
        <w:tc>
          <w:tcPr>
            <w:tcW w:w="2286" w:type="dxa"/>
            <w:gridSpan w:val="2"/>
          </w:tcPr>
          <w:p>
            <w:pPr>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41" w:type="dxa"/>
          </w:tcPr>
          <w:p>
            <w:pPr>
              <w:rPr>
                <w:rFonts w:eastAsia="黑体"/>
                <w:szCs w:val="21"/>
                <w:highlight w:val="none"/>
              </w:rPr>
            </w:pPr>
          </w:p>
        </w:tc>
        <w:tc>
          <w:tcPr>
            <w:tcW w:w="1266" w:type="dxa"/>
            <w:gridSpan w:val="2"/>
          </w:tcPr>
          <w:p>
            <w:pPr>
              <w:rPr>
                <w:rFonts w:eastAsia="黑体"/>
                <w:szCs w:val="21"/>
                <w:highlight w:val="none"/>
              </w:rPr>
            </w:pPr>
          </w:p>
        </w:tc>
        <w:tc>
          <w:tcPr>
            <w:tcW w:w="1778" w:type="dxa"/>
            <w:gridSpan w:val="3"/>
          </w:tcPr>
          <w:p>
            <w:pPr>
              <w:rPr>
                <w:rFonts w:eastAsia="黑体"/>
                <w:szCs w:val="21"/>
                <w:highlight w:val="none"/>
              </w:rPr>
            </w:pPr>
          </w:p>
        </w:tc>
        <w:tc>
          <w:tcPr>
            <w:tcW w:w="1232" w:type="dxa"/>
            <w:gridSpan w:val="2"/>
          </w:tcPr>
          <w:p>
            <w:pPr>
              <w:rPr>
                <w:rFonts w:eastAsia="黑体"/>
                <w:szCs w:val="21"/>
                <w:highlight w:val="none"/>
              </w:rPr>
            </w:pPr>
          </w:p>
        </w:tc>
        <w:tc>
          <w:tcPr>
            <w:tcW w:w="1019" w:type="dxa"/>
          </w:tcPr>
          <w:p>
            <w:pPr>
              <w:rPr>
                <w:rFonts w:eastAsia="黑体"/>
                <w:szCs w:val="21"/>
                <w:highlight w:val="none"/>
              </w:rPr>
            </w:pPr>
          </w:p>
        </w:tc>
        <w:tc>
          <w:tcPr>
            <w:tcW w:w="2286" w:type="dxa"/>
            <w:gridSpan w:val="2"/>
          </w:tcPr>
          <w:p>
            <w:pPr>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41" w:type="dxa"/>
          </w:tcPr>
          <w:p>
            <w:pPr>
              <w:rPr>
                <w:rFonts w:eastAsia="黑体"/>
                <w:szCs w:val="21"/>
                <w:highlight w:val="none"/>
              </w:rPr>
            </w:pPr>
          </w:p>
        </w:tc>
        <w:tc>
          <w:tcPr>
            <w:tcW w:w="1266" w:type="dxa"/>
            <w:gridSpan w:val="2"/>
          </w:tcPr>
          <w:p>
            <w:pPr>
              <w:rPr>
                <w:rFonts w:eastAsia="黑体"/>
                <w:szCs w:val="21"/>
                <w:highlight w:val="none"/>
              </w:rPr>
            </w:pPr>
          </w:p>
        </w:tc>
        <w:tc>
          <w:tcPr>
            <w:tcW w:w="1778" w:type="dxa"/>
            <w:gridSpan w:val="3"/>
          </w:tcPr>
          <w:p>
            <w:pPr>
              <w:rPr>
                <w:rFonts w:eastAsia="黑体"/>
                <w:szCs w:val="21"/>
                <w:highlight w:val="none"/>
              </w:rPr>
            </w:pPr>
          </w:p>
        </w:tc>
        <w:tc>
          <w:tcPr>
            <w:tcW w:w="1232" w:type="dxa"/>
            <w:gridSpan w:val="2"/>
          </w:tcPr>
          <w:p>
            <w:pPr>
              <w:rPr>
                <w:rFonts w:eastAsia="黑体"/>
                <w:szCs w:val="21"/>
                <w:highlight w:val="none"/>
              </w:rPr>
            </w:pPr>
          </w:p>
        </w:tc>
        <w:tc>
          <w:tcPr>
            <w:tcW w:w="1019" w:type="dxa"/>
          </w:tcPr>
          <w:p>
            <w:pPr>
              <w:rPr>
                <w:rFonts w:eastAsia="黑体"/>
                <w:szCs w:val="21"/>
                <w:highlight w:val="none"/>
              </w:rPr>
            </w:pPr>
          </w:p>
        </w:tc>
        <w:tc>
          <w:tcPr>
            <w:tcW w:w="2286" w:type="dxa"/>
            <w:gridSpan w:val="2"/>
          </w:tcPr>
          <w:p>
            <w:pPr>
              <w:rPr>
                <w:rFonts w:eastAsia="黑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41" w:type="dxa"/>
          </w:tcPr>
          <w:p>
            <w:pPr>
              <w:rPr>
                <w:rFonts w:eastAsia="黑体"/>
                <w:szCs w:val="21"/>
                <w:highlight w:val="none"/>
              </w:rPr>
            </w:pPr>
          </w:p>
        </w:tc>
        <w:tc>
          <w:tcPr>
            <w:tcW w:w="1266" w:type="dxa"/>
            <w:gridSpan w:val="2"/>
          </w:tcPr>
          <w:p>
            <w:pPr>
              <w:rPr>
                <w:rFonts w:eastAsia="黑体"/>
                <w:szCs w:val="21"/>
                <w:highlight w:val="none"/>
              </w:rPr>
            </w:pPr>
          </w:p>
        </w:tc>
        <w:tc>
          <w:tcPr>
            <w:tcW w:w="1778" w:type="dxa"/>
            <w:gridSpan w:val="3"/>
          </w:tcPr>
          <w:p>
            <w:pPr>
              <w:rPr>
                <w:rFonts w:eastAsia="黑体"/>
                <w:szCs w:val="21"/>
                <w:highlight w:val="none"/>
              </w:rPr>
            </w:pPr>
          </w:p>
        </w:tc>
        <w:tc>
          <w:tcPr>
            <w:tcW w:w="1232" w:type="dxa"/>
            <w:gridSpan w:val="2"/>
          </w:tcPr>
          <w:p>
            <w:pPr>
              <w:rPr>
                <w:rFonts w:eastAsia="黑体"/>
                <w:szCs w:val="21"/>
                <w:highlight w:val="none"/>
              </w:rPr>
            </w:pPr>
          </w:p>
        </w:tc>
        <w:tc>
          <w:tcPr>
            <w:tcW w:w="1019" w:type="dxa"/>
          </w:tcPr>
          <w:p>
            <w:pPr>
              <w:rPr>
                <w:rFonts w:eastAsia="黑体"/>
                <w:szCs w:val="21"/>
                <w:highlight w:val="none"/>
              </w:rPr>
            </w:pPr>
          </w:p>
        </w:tc>
        <w:tc>
          <w:tcPr>
            <w:tcW w:w="2286" w:type="dxa"/>
            <w:gridSpan w:val="2"/>
          </w:tcPr>
          <w:p>
            <w:pPr>
              <w:rPr>
                <w:rFonts w:eastAsia="黑体"/>
                <w:szCs w:val="21"/>
                <w:highlight w:val="none"/>
              </w:rPr>
            </w:pPr>
          </w:p>
        </w:tc>
      </w:tr>
    </w:tbl>
    <w:p>
      <w:pPr>
        <w:rPr>
          <w:rFonts w:hAnsi="宋体"/>
          <w:b/>
          <w:sz w:val="22"/>
          <w:szCs w:val="32"/>
          <w:highlight w:val="none"/>
        </w:rPr>
      </w:pPr>
      <w:bookmarkStart w:id="533" w:name="_六、投标人须知前附表条款点对点应答投标人须知偏离表"/>
      <w:bookmarkEnd w:id="533"/>
      <w:r>
        <w:rPr>
          <w:rFonts w:hint="eastAsia" w:hAnsi="宋体"/>
          <w:b/>
          <w:sz w:val="22"/>
          <w:szCs w:val="32"/>
          <w:highlight w:val="none"/>
        </w:rPr>
        <w:t>相关证明材料：</w:t>
      </w:r>
    </w:p>
    <w:p>
      <w:pPr>
        <w:pStyle w:val="119"/>
        <w:widowControl/>
        <w:numPr>
          <w:ilvl w:val="0"/>
          <w:numId w:val="18"/>
        </w:numPr>
        <w:ind w:firstLineChars="0"/>
        <w:jc w:val="left"/>
        <w:rPr>
          <w:rFonts w:hAnsi="宋体"/>
          <w:szCs w:val="21"/>
          <w:highlight w:val="none"/>
        </w:rPr>
      </w:pPr>
      <w:r>
        <w:rPr>
          <w:rFonts w:hint="eastAsia" w:hAnsi="宋体"/>
          <w:szCs w:val="21"/>
          <w:highlight w:val="none"/>
        </w:rPr>
        <w:t>身份证复印件</w:t>
      </w:r>
    </w:p>
    <w:p>
      <w:pPr>
        <w:pStyle w:val="119"/>
        <w:numPr>
          <w:ilvl w:val="0"/>
          <w:numId w:val="18"/>
        </w:numPr>
        <w:topLinePunct/>
        <w:spacing w:line="440" w:lineRule="exact"/>
        <w:ind w:firstLineChars="0"/>
        <w:jc w:val="left"/>
        <w:rPr>
          <w:rFonts w:hAnsi="宋体"/>
          <w:szCs w:val="21"/>
          <w:highlight w:val="none"/>
        </w:rPr>
      </w:pPr>
      <w:r>
        <w:rPr>
          <w:rFonts w:hint="eastAsia" w:hAnsi="宋体"/>
          <w:szCs w:val="21"/>
          <w:highlight w:val="none"/>
        </w:rPr>
        <w:t>学历证明复印件</w:t>
      </w:r>
    </w:p>
    <w:p>
      <w:pPr>
        <w:pStyle w:val="119"/>
        <w:numPr>
          <w:ilvl w:val="0"/>
          <w:numId w:val="18"/>
        </w:numPr>
        <w:topLinePunct/>
        <w:spacing w:line="440" w:lineRule="exact"/>
        <w:ind w:firstLineChars="0"/>
        <w:jc w:val="left"/>
        <w:rPr>
          <w:rFonts w:hAnsi="宋体"/>
          <w:szCs w:val="21"/>
          <w:highlight w:val="none"/>
        </w:rPr>
      </w:pPr>
      <w:r>
        <w:rPr>
          <w:rFonts w:hint="eastAsia" w:hAnsi="宋体"/>
          <w:szCs w:val="21"/>
          <w:highlight w:val="none"/>
        </w:rPr>
        <w:t>职称或技能证书复印件（如有）</w:t>
      </w:r>
    </w:p>
    <w:p>
      <w:pPr>
        <w:pStyle w:val="119"/>
        <w:numPr>
          <w:ilvl w:val="0"/>
          <w:numId w:val="18"/>
        </w:numPr>
        <w:topLinePunct/>
        <w:spacing w:line="440" w:lineRule="exact"/>
        <w:ind w:firstLineChars="0"/>
        <w:jc w:val="left"/>
        <w:rPr>
          <w:rFonts w:hAnsi="宋体"/>
          <w:szCs w:val="21"/>
          <w:highlight w:val="none"/>
        </w:rPr>
      </w:pPr>
      <w:r>
        <w:rPr>
          <w:rFonts w:hint="eastAsia" w:hAnsi="宋体"/>
          <w:szCs w:val="21"/>
          <w:highlight w:val="none"/>
        </w:rPr>
        <w:t>业绩经验证明材料</w:t>
      </w:r>
      <w:bookmarkStart w:id="534" w:name="_Toc332188244"/>
      <w:bookmarkStart w:id="535" w:name="_Toc247085888"/>
      <w:bookmarkStart w:id="536" w:name="_Toc152042593"/>
      <w:bookmarkStart w:id="537" w:name="_Toc179632824"/>
      <w:bookmarkStart w:id="538" w:name="_Toc246997113"/>
      <w:bookmarkStart w:id="539" w:name="_Toc334766997"/>
      <w:bookmarkStart w:id="540" w:name="_Toc152045804"/>
      <w:bookmarkStart w:id="541" w:name="_Toc246996370"/>
      <w:bookmarkStart w:id="542" w:name="_Toc326223615"/>
      <w:bookmarkStart w:id="543" w:name="_Toc144974872"/>
      <w:r>
        <w:rPr>
          <w:rFonts w:hint="eastAsia" w:hAnsi="宋体"/>
          <w:szCs w:val="21"/>
          <w:highlight w:val="none"/>
        </w:rPr>
        <w:t>或业主证明（须能体现项目名称、项目内容、签署盖章页及项目负责人姓名）的复印件。</w:t>
      </w:r>
    </w:p>
    <w:p>
      <w:pPr>
        <w:pStyle w:val="119"/>
        <w:numPr>
          <w:ilvl w:val="0"/>
          <w:numId w:val="18"/>
        </w:numPr>
        <w:topLinePunct/>
        <w:spacing w:line="440" w:lineRule="exact"/>
        <w:ind w:firstLineChars="0"/>
        <w:jc w:val="left"/>
        <w:rPr>
          <w:rFonts w:hAnsi="宋体"/>
          <w:szCs w:val="21"/>
          <w:highlight w:val="none"/>
        </w:rPr>
      </w:pPr>
      <w:r>
        <w:rPr>
          <w:rFonts w:hint="eastAsia" w:hAnsi="宋体"/>
          <w:szCs w:val="21"/>
          <w:highlight w:val="none"/>
        </w:rPr>
        <w:t>劳动合同或社保缴纳证明复印件</w:t>
      </w:r>
    </w:p>
    <w:p>
      <w:pPr>
        <w:pStyle w:val="119"/>
        <w:numPr>
          <w:ilvl w:val="255"/>
          <w:numId w:val="0"/>
        </w:numPr>
        <w:topLinePunct/>
        <w:spacing w:line="440" w:lineRule="exact"/>
        <w:jc w:val="left"/>
        <w:rPr>
          <w:rFonts w:hAnsi="宋体"/>
          <w:szCs w:val="21"/>
          <w:highlight w:val="none"/>
        </w:rPr>
      </w:pPr>
    </w:p>
    <w:p>
      <w:pPr>
        <w:autoSpaceDE w:val="0"/>
        <w:autoSpaceDN w:val="0"/>
        <w:snapToGrid w:val="0"/>
        <w:spacing w:line="240" w:lineRule="atLeast"/>
        <w:rPr>
          <w:rFonts w:ascii="宋体" w:hAnsi="宋体"/>
          <w:color w:val="000000"/>
          <w:szCs w:val="21"/>
          <w:highlight w:val="none"/>
        </w:rPr>
      </w:pPr>
      <w:r>
        <w:rPr>
          <w:rFonts w:hint="eastAsia" w:ascii="宋体" w:hAnsi="宋体"/>
          <w:color w:val="000000"/>
          <w:szCs w:val="21"/>
          <w:highlight w:val="none"/>
        </w:rPr>
        <w:t>投标人：（公章）</w:t>
      </w:r>
    </w:p>
    <w:p>
      <w:pPr>
        <w:autoSpaceDE w:val="0"/>
        <w:autoSpaceDN w:val="0"/>
        <w:snapToGrid w:val="0"/>
        <w:spacing w:line="240" w:lineRule="atLeast"/>
        <w:rPr>
          <w:rFonts w:ascii="宋体" w:hAnsi="宋体"/>
          <w:color w:val="000000"/>
          <w:szCs w:val="21"/>
          <w:highlight w:val="none"/>
        </w:rPr>
      </w:pPr>
    </w:p>
    <w:p>
      <w:pPr>
        <w:autoSpaceDE w:val="0"/>
        <w:autoSpaceDN w:val="0"/>
        <w:snapToGrid w:val="0"/>
        <w:spacing w:line="240" w:lineRule="atLeast"/>
        <w:rPr>
          <w:rFonts w:ascii="宋体" w:hAnsi="宋体"/>
          <w:color w:val="000000"/>
          <w:szCs w:val="21"/>
          <w:highlight w:val="none"/>
        </w:rPr>
      </w:pPr>
      <w:r>
        <w:rPr>
          <w:rFonts w:hint="eastAsia" w:ascii="宋体" w:hAnsi="宋体"/>
          <w:color w:val="000000"/>
          <w:szCs w:val="21"/>
          <w:highlight w:val="none"/>
        </w:rPr>
        <w:t>日期：</w:t>
      </w:r>
    </w:p>
    <w:p>
      <w:pPr>
        <w:spacing w:line="360" w:lineRule="auto"/>
        <w:jc w:val="center"/>
        <w:rPr>
          <w:rFonts w:ascii="Arial" w:hAnsi="Arial"/>
          <w:sz w:val="24"/>
          <w:highlight w:val="none"/>
        </w:rPr>
      </w:pPr>
      <w:r>
        <w:rPr>
          <w:rFonts w:hint="eastAsia" w:ascii="Arial" w:hAnsi="Arial"/>
          <w:b/>
          <w:bCs/>
          <w:sz w:val="24"/>
          <w:highlight w:val="none"/>
        </w:rPr>
        <w:t>（2）投标人为本次投标</w:t>
      </w:r>
      <w:r>
        <w:rPr>
          <w:rFonts w:hint="eastAsia" w:ascii="Arial" w:hAnsi="Arial"/>
          <w:b/>
          <w:sz w:val="24"/>
          <w:highlight w:val="none"/>
        </w:rPr>
        <w:t>项目配置人员一览表</w:t>
      </w:r>
    </w:p>
    <w:tbl>
      <w:tblPr>
        <w:tblStyle w:val="42"/>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369"/>
        <w:gridCol w:w="1368"/>
        <w:gridCol w:w="3642"/>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Borders>
              <w:top w:val="double" w:color="auto" w:sz="4" w:space="0"/>
              <w:left w:val="double" w:color="auto" w:sz="4" w:space="0"/>
            </w:tcBorders>
            <w:vAlign w:val="center"/>
          </w:tcPr>
          <w:p>
            <w:pPr>
              <w:spacing w:before="120" w:line="360" w:lineRule="auto"/>
              <w:jc w:val="center"/>
              <w:rPr>
                <w:rFonts w:ascii="Arial" w:hAnsi="Arial"/>
                <w:b/>
                <w:bCs/>
                <w:highlight w:val="none"/>
              </w:rPr>
            </w:pPr>
            <w:r>
              <w:rPr>
                <w:rFonts w:hint="eastAsia" w:ascii="Arial" w:hAnsi="Arial"/>
                <w:b/>
                <w:bCs/>
                <w:highlight w:val="none"/>
              </w:rPr>
              <w:t>姓名</w:t>
            </w:r>
          </w:p>
        </w:tc>
        <w:tc>
          <w:tcPr>
            <w:tcW w:w="1369" w:type="dxa"/>
            <w:tcBorders>
              <w:top w:val="double" w:color="auto" w:sz="4" w:space="0"/>
            </w:tcBorders>
            <w:vAlign w:val="center"/>
          </w:tcPr>
          <w:p>
            <w:pPr>
              <w:spacing w:before="120" w:line="360" w:lineRule="auto"/>
              <w:jc w:val="center"/>
              <w:rPr>
                <w:rFonts w:ascii="Arial" w:hAnsi="Arial"/>
                <w:b/>
                <w:bCs/>
                <w:highlight w:val="none"/>
              </w:rPr>
            </w:pPr>
            <w:r>
              <w:rPr>
                <w:rFonts w:hint="eastAsia" w:ascii="Arial" w:hAnsi="Arial"/>
                <w:b/>
                <w:bCs/>
                <w:highlight w:val="none"/>
              </w:rPr>
              <w:t>职务</w:t>
            </w:r>
          </w:p>
        </w:tc>
        <w:tc>
          <w:tcPr>
            <w:tcW w:w="1368" w:type="dxa"/>
            <w:tcBorders>
              <w:top w:val="double" w:color="auto" w:sz="4" w:space="0"/>
            </w:tcBorders>
            <w:vAlign w:val="center"/>
          </w:tcPr>
          <w:p>
            <w:pPr>
              <w:spacing w:before="120" w:line="360" w:lineRule="auto"/>
              <w:jc w:val="center"/>
              <w:rPr>
                <w:rFonts w:ascii="Arial" w:hAnsi="Arial"/>
                <w:b/>
                <w:bCs/>
                <w:highlight w:val="none"/>
              </w:rPr>
            </w:pPr>
            <w:r>
              <w:rPr>
                <w:rFonts w:hint="eastAsia" w:ascii="Arial" w:hAnsi="Arial"/>
                <w:b/>
                <w:bCs/>
                <w:highlight w:val="none"/>
              </w:rPr>
              <w:t>职称</w:t>
            </w:r>
          </w:p>
        </w:tc>
        <w:tc>
          <w:tcPr>
            <w:tcW w:w="3642" w:type="dxa"/>
            <w:tcBorders>
              <w:top w:val="double" w:color="auto" w:sz="4" w:space="0"/>
            </w:tcBorders>
            <w:vAlign w:val="center"/>
          </w:tcPr>
          <w:p>
            <w:pPr>
              <w:spacing w:before="120" w:line="360" w:lineRule="auto"/>
              <w:jc w:val="center"/>
              <w:rPr>
                <w:rFonts w:ascii="Arial" w:hAnsi="Arial"/>
                <w:b/>
                <w:bCs/>
                <w:highlight w:val="none"/>
              </w:rPr>
            </w:pPr>
            <w:r>
              <w:rPr>
                <w:rFonts w:hint="eastAsia" w:ascii="Arial" w:hAnsi="Arial"/>
                <w:b/>
                <w:bCs/>
                <w:highlight w:val="none"/>
              </w:rPr>
              <w:t>相关资格</w:t>
            </w:r>
          </w:p>
        </w:tc>
        <w:tc>
          <w:tcPr>
            <w:tcW w:w="1764" w:type="dxa"/>
            <w:tcBorders>
              <w:top w:val="double" w:color="auto" w:sz="4" w:space="0"/>
              <w:right w:val="double" w:color="auto" w:sz="4" w:space="0"/>
            </w:tcBorders>
            <w:vAlign w:val="center"/>
          </w:tcPr>
          <w:p>
            <w:pPr>
              <w:spacing w:before="120" w:line="360" w:lineRule="auto"/>
              <w:jc w:val="center"/>
              <w:rPr>
                <w:rFonts w:ascii="Arial" w:hAnsi="Arial"/>
                <w:b/>
                <w:bCs/>
                <w:highlight w:val="none"/>
              </w:rPr>
            </w:pPr>
            <w:r>
              <w:rPr>
                <w:rFonts w:hint="eastAsia" w:ascii="Arial" w:hAnsi="Arial"/>
                <w:b/>
                <w:bCs/>
                <w:highlight w:val="none"/>
              </w:rPr>
              <w:t>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Borders>
              <w:left w:val="double" w:color="auto" w:sz="4" w:space="0"/>
            </w:tcBorders>
            <w:vAlign w:val="center"/>
          </w:tcPr>
          <w:p>
            <w:pPr>
              <w:spacing w:line="360" w:lineRule="auto"/>
              <w:jc w:val="center"/>
              <w:rPr>
                <w:rFonts w:ascii="Arial" w:hAnsi="Arial"/>
                <w:highlight w:val="none"/>
              </w:rPr>
            </w:pPr>
          </w:p>
        </w:tc>
        <w:tc>
          <w:tcPr>
            <w:tcW w:w="1369" w:type="dxa"/>
            <w:vAlign w:val="center"/>
          </w:tcPr>
          <w:p>
            <w:pPr>
              <w:spacing w:line="360" w:lineRule="auto"/>
              <w:jc w:val="center"/>
              <w:rPr>
                <w:rFonts w:ascii="Arial" w:hAnsi="Arial"/>
                <w:highlight w:val="none"/>
              </w:rPr>
            </w:pPr>
          </w:p>
        </w:tc>
        <w:tc>
          <w:tcPr>
            <w:tcW w:w="1368" w:type="dxa"/>
            <w:vAlign w:val="center"/>
          </w:tcPr>
          <w:p>
            <w:pPr>
              <w:spacing w:line="360" w:lineRule="auto"/>
              <w:jc w:val="center"/>
              <w:rPr>
                <w:rFonts w:ascii="Arial" w:hAnsi="Arial"/>
                <w:highlight w:val="none"/>
              </w:rPr>
            </w:pPr>
          </w:p>
        </w:tc>
        <w:tc>
          <w:tcPr>
            <w:tcW w:w="3642" w:type="dxa"/>
            <w:vAlign w:val="center"/>
          </w:tcPr>
          <w:p>
            <w:pPr>
              <w:spacing w:line="360" w:lineRule="auto"/>
              <w:jc w:val="center"/>
              <w:rPr>
                <w:rFonts w:ascii="Arial" w:hAnsi="Arial"/>
                <w:highlight w:val="none"/>
              </w:rPr>
            </w:pPr>
          </w:p>
        </w:tc>
        <w:tc>
          <w:tcPr>
            <w:tcW w:w="1764" w:type="dxa"/>
            <w:tcBorders>
              <w:right w:val="double" w:color="auto" w:sz="4" w:space="0"/>
            </w:tcBorders>
            <w:vAlign w:val="center"/>
          </w:tcPr>
          <w:p>
            <w:pPr>
              <w:spacing w:line="360" w:lineRule="auto"/>
              <w:jc w:val="center"/>
              <w:rPr>
                <w:rFonts w:ascii="Arial" w:hAnsi="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Borders>
              <w:left w:val="double" w:color="auto" w:sz="4" w:space="0"/>
            </w:tcBorders>
            <w:vAlign w:val="center"/>
          </w:tcPr>
          <w:p>
            <w:pPr>
              <w:spacing w:line="360" w:lineRule="auto"/>
              <w:jc w:val="center"/>
              <w:rPr>
                <w:rFonts w:ascii="Arial" w:hAnsi="Arial"/>
                <w:highlight w:val="none"/>
              </w:rPr>
            </w:pPr>
          </w:p>
        </w:tc>
        <w:tc>
          <w:tcPr>
            <w:tcW w:w="1369" w:type="dxa"/>
            <w:vAlign w:val="center"/>
          </w:tcPr>
          <w:p>
            <w:pPr>
              <w:spacing w:line="360" w:lineRule="auto"/>
              <w:jc w:val="center"/>
              <w:rPr>
                <w:rFonts w:ascii="Arial" w:hAnsi="Arial"/>
                <w:highlight w:val="none"/>
              </w:rPr>
            </w:pPr>
          </w:p>
        </w:tc>
        <w:tc>
          <w:tcPr>
            <w:tcW w:w="1368" w:type="dxa"/>
            <w:vAlign w:val="center"/>
          </w:tcPr>
          <w:p>
            <w:pPr>
              <w:spacing w:line="360" w:lineRule="auto"/>
              <w:jc w:val="center"/>
              <w:rPr>
                <w:rFonts w:ascii="Arial" w:hAnsi="Arial"/>
                <w:highlight w:val="none"/>
              </w:rPr>
            </w:pPr>
          </w:p>
        </w:tc>
        <w:tc>
          <w:tcPr>
            <w:tcW w:w="3642" w:type="dxa"/>
            <w:vAlign w:val="center"/>
          </w:tcPr>
          <w:p>
            <w:pPr>
              <w:spacing w:line="360" w:lineRule="auto"/>
              <w:jc w:val="center"/>
              <w:rPr>
                <w:rFonts w:ascii="Arial" w:hAnsi="Arial"/>
                <w:highlight w:val="none"/>
              </w:rPr>
            </w:pPr>
          </w:p>
        </w:tc>
        <w:tc>
          <w:tcPr>
            <w:tcW w:w="1764" w:type="dxa"/>
            <w:tcBorders>
              <w:right w:val="double" w:color="auto" w:sz="4" w:space="0"/>
            </w:tcBorders>
            <w:vAlign w:val="center"/>
          </w:tcPr>
          <w:p>
            <w:pPr>
              <w:spacing w:line="360" w:lineRule="auto"/>
              <w:jc w:val="center"/>
              <w:rPr>
                <w:rFonts w:ascii="Arial" w:hAnsi="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Borders>
              <w:left w:val="double" w:color="auto" w:sz="4" w:space="0"/>
            </w:tcBorders>
            <w:vAlign w:val="center"/>
          </w:tcPr>
          <w:p>
            <w:pPr>
              <w:spacing w:line="360" w:lineRule="auto"/>
              <w:jc w:val="center"/>
              <w:rPr>
                <w:rFonts w:ascii="Arial" w:hAnsi="Arial"/>
                <w:highlight w:val="none"/>
              </w:rPr>
            </w:pPr>
          </w:p>
        </w:tc>
        <w:tc>
          <w:tcPr>
            <w:tcW w:w="1369" w:type="dxa"/>
            <w:vAlign w:val="center"/>
          </w:tcPr>
          <w:p>
            <w:pPr>
              <w:spacing w:line="360" w:lineRule="auto"/>
              <w:jc w:val="center"/>
              <w:rPr>
                <w:rFonts w:ascii="Arial" w:hAnsi="Arial"/>
                <w:highlight w:val="none"/>
              </w:rPr>
            </w:pPr>
          </w:p>
        </w:tc>
        <w:tc>
          <w:tcPr>
            <w:tcW w:w="1368" w:type="dxa"/>
            <w:vAlign w:val="center"/>
          </w:tcPr>
          <w:p>
            <w:pPr>
              <w:spacing w:line="360" w:lineRule="auto"/>
              <w:jc w:val="center"/>
              <w:rPr>
                <w:rFonts w:ascii="Arial" w:hAnsi="Arial"/>
                <w:highlight w:val="none"/>
              </w:rPr>
            </w:pPr>
          </w:p>
        </w:tc>
        <w:tc>
          <w:tcPr>
            <w:tcW w:w="3642" w:type="dxa"/>
            <w:vAlign w:val="center"/>
          </w:tcPr>
          <w:p>
            <w:pPr>
              <w:spacing w:line="360" w:lineRule="auto"/>
              <w:jc w:val="center"/>
              <w:rPr>
                <w:rFonts w:ascii="Arial" w:hAnsi="Arial"/>
                <w:highlight w:val="none"/>
              </w:rPr>
            </w:pPr>
          </w:p>
        </w:tc>
        <w:tc>
          <w:tcPr>
            <w:tcW w:w="1764" w:type="dxa"/>
            <w:tcBorders>
              <w:right w:val="double" w:color="auto" w:sz="4" w:space="0"/>
            </w:tcBorders>
            <w:vAlign w:val="center"/>
          </w:tcPr>
          <w:p>
            <w:pPr>
              <w:spacing w:line="360" w:lineRule="auto"/>
              <w:jc w:val="center"/>
              <w:rPr>
                <w:rFonts w:ascii="Arial" w:hAnsi="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Borders>
              <w:left w:val="double" w:color="auto" w:sz="4" w:space="0"/>
            </w:tcBorders>
            <w:vAlign w:val="center"/>
          </w:tcPr>
          <w:p>
            <w:pPr>
              <w:spacing w:line="360" w:lineRule="auto"/>
              <w:jc w:val="center"/>
              <w:rPr>
                <w:rFonts w:ascii="Arial" w:hAnsi="Arial"/>
                <w:highlight w:val="none"/>
              </w:rPr>
            </w:pPr>
          </w:p>
        </w:tc>
        <w:tc>
          <w:tcPr>
            <w:tcW w:w="1369" w:type="dxa"/>
            <w:vAlign w:val="center"/>
          </w:tcPr>
          <w:p>
            <w:pPr>
              <w:spacing w:line="360" w:lineRule="auto"/>
              <w:jc w:val="center"/>
              <w:rPr>
                <w:rFonts w:ascii="Arial" w:hAnsi="Arial"/>
                <w:highlight w:val="none"/>
              </w:rPr>
            </w:pPr>
          </w:p>
        </w:tc>
        <w:tc>
          <w:tcPr>
            <w:tcW w:w="1368" w:type="dxa"/>
            <w:vAlign w:val="center"/>
          </w:tcPr>
          <w:p>
            <w:pPr>
              <w:spacing w:line="360" w:lineRule="auto"/>
              <w:jc w:val="center"/>
              <w:rPr>
                <w:rFonts w:ascii="Arial" w:hAnsi="Arial"/>
                <w:highlight w:val="none"/>
              </w:rPr>
            </w:pPr>
          </w:p>
        </w:tc>
        <w:tc>
          <w:tcPr>
            <w:tcW w:w="3642" w:type="dxa"/>
            <w:vAlign w:val="center"/>
          </w:tcPr>
          <w:p>
            <w:pPr>
              <w:spacing w:line="360" w:lineRule="auto"/>
              <w:jc w:val="center"/>
              <w:rPr>
                <w:rFonts w:ascii="Arial" w:hAnsi="Arial"/>
                <w:highlight w:val="none"/>
              </w:rPr>
            </w:pPr>
          </w:p>
        </w:tc>
        <w:tc>
          <w:tcPr>
            <w:tcW w:w="1764" w:type="dxa"/>
            <w:tcBorders>
              <w:right w:val="double" w:color="auto" w:sz="4" w:space="0"/>
            </w:tcBorders>
            <w:vAlign w:val="center"/>
          </w:tcPr>
          <w:p>
            <w:pPr>
              <w:spacing w:line="360" w:lineRule="auto"/>
              <w:jc w:val="center"/>
              <w:rPr>
                <w:rFonts w:ascii="Arial" w:hAnsi="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Borders>
              <w:left w:val="double" w:color="auto" w:sz="4" w:space="0"/>
            </w:tcBorders>
            <w:vAlign w:val="center"/>
          </w:tcPr>
          <w:p>
            <w:pPr>
              <w:spacing w:line="360" w:lineRule="auto"/>
              <w:jc w:val="center"/>
              <w:rPr>
                <w:rFonts w:ascii="Arial" w:hAnsi="Arial"/>
                <w:highlight w:val="none"/>
              </w:rPr>
            </w:pPr>
          </w:p>
        </w:tc>
        <w:tc>
          <w:tcPr>
            <w:tcW w:w="1369" w:type="dxa"/>
            <w:vAlign w:val="center"/>
          </w:tcPr>
          <w:p>
            <w:pPr>
              <w:spacing w:line="360" w:lineRule="auto"/>
              <w:jc w:val="center"/>
              <w:rPr>
                <w:rFonts w:ascii="Arial" w:hAnsi="Arial"/>
                <w:highlight w:val="none"/>
              </w:rPr>
            </w:pPr>
          </w:p>
        </w:tc>
        <w:tc>
          <w:tcPr>
            <w:tcW w:w="1368" w:type="dxa"/>
            <w:vAlign w:val="center"/>
          </w:tcPr>
          <w:p>
            <w:pPr>
              <w:spacing w:line="360" w:lineRule="auto"/>
              <w:jc w:val="center"/>
              <w:rPr>
                <w:rFonts w:ascii="Arial" w:hAnsi="Arial"/>
                <w:highlight w:val="none"/>
              </w:rPr>
            </w:pPr>
          </w:p>
        </w:tc>
        <w:tc>
          <w:tcPr>
            <w:tcW w:w="3642" w:type="dxa"/>
            <w:vAlign w:val="center"/>
          </w:tcPr>
          <w:p>
            <w:pPr>
              <w:spacing w:line="360" w:lineRule="auto"/>
              <w:jc w:val="center"/>
              <w:rPr>
                <w:rFonts w:ascii="Arial" w:hAnsi="Arial"/>
                <w:highlight w:val="none"/>
              </w:rPr>
            </w:pPr>
          </w:p>
        </w:tc>
        <w:tc>
          <w:tcPr>
            <w:tcW w:w="1764" w:type="dxa"/>
            <w:tcBorders>
              <w:right w:val="double" w:color="auto" w:sz="4" w:space="0"/>
            </w:tcBorders>
            <w:vAlign w:val="center"/>
          </w:tcPr>
          <w:p>
            <w:pPr>
              <w:spacing w:line="360" w:lineRule="auto"/>
              <w:jc w:val="center"/>
              <w:rPr>
                <w:rFonts w:ascii="Arial" w:hAnsi="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tcBorders>
              <w:left w:val="double" w:color="auto" w:sz="4" w:space="0"/>
              <w:bottom w:val="double" w:color="auto" w:sz="4" w:space="0"/>
            </w:tcBorders>
            <w:vAlign w:val="center"/>
          </w:tcPr>
          <w:p>
            <w:pPr>
              <w:spacing w:line="360" w:lineRule="auto"/>
              <w:jc w:val="center"/>
              <w:rPr>
                <w:rFonts w:ascii="Arial" w:hAnsi="Arial"/>
                <w:highlight w:val="none"/>
              </w:rPr>
            </w:pPr>
          </w:p>
        </w:tc>
        <w:tc>
          <w:tcPr>
            <w:tcW w:w="1369" w:type="dxa"/>
            <w:tcBorders>
              <w:bottom w:val="double" w:color="auto" w:sz="4" w:space="0"/>
            </w:tcBorders>
            <w:vAlign w:val="center"/>
          </w:tcPr>
          <w:p>
            <w:pPr>
              <w:spacing w:line="360" w:lineRule="auto"/>
              <w:jc w:val="center"/>
              <w:rPr>
                <w:rFonts w:ascii="Arial" w:hAnsi="Arial"/>
                <w:highlight w:val="none"/>
              </w:rPr>
            </w:pPr>
          </w:p>
        </w:tc>
        <w:tc>
          <w:tcPr>
            <w:tcW w:w="1368" w:type="dxa"/>
            <w:tcBorders>
              <w:bottom w:val="double" w:color="auto" w:sz="4" w:space="0"/>
            </w:tcBorders>
            <w:vAlign w:val="center"/>
          </w:tcPr>
          <w:p>
            <w:pPr>
              <w:spacing w:line="360" w:lineRule="auto"/>
              <w:jc w:val="center"/>
              <w:rPr>
                <w:rFonts w:ascii="Arial" w:hAnsi="Arial"/>
                <w:highlight w:val="none"/>
              </w:rPr>
            </w:pPr>
          </w:p>
        </w:tc>
        <w:tc>
          <w:tcPr>
            <w:tcW w:w="3642" w:type="dxa"/>
            <w:tcBorders>
              <w:bottom w:val="double" w:color="auto" w:sz="4" w:space="0"/>
            </w:tcBorders>
            <w:vAlign w:val="center"/>
          </w:tcPr>
          <w:p>
            <w:pPr>
              <w:spacing w:line="360" w:lineRule="auto"/>
              <w:jc w:val="center"/>
              <w:rPr>
                <w:rFonts w:ascii="Arial" w:hAnsi="Arial"/>
                <w:highlight w:val="none"/>
              </w:rPr>
            </w:pPr>
          </w:p>
        </w:tc>
        <w:tc>
          <w:tcPr>
            <w:tcW w:w="1764" w:type="dxa"/>
            <w:tcBorders>
              <w:bottom w:val="double" w:color="auto" w:sz="4" w:space="0"/>
              <w:right w:val="double" w:color="auto" w:sz="4" w:space="0"/>
            </w:tcBorders>
            <w:vAlign w:val="center"/>
          </w:tcPr>
          <w:p>
            <w:pPr>
              <w:spacing w:line="360" w:lineRule="auto"/>
              <w:jc w:val="center"/>
              <w:rPr>
                <w:rFonts w:ascii="Arial" w:hAnsi="Arial"/>
                <w:highlight w:val="none"/>
              </w:rPr>
            </w:pPr>
          </w:p>
        </w:tc>
      </w:tr>
    </w:tbl>
    <w:p>
      <w:pPr>
        <w:spacing w:before="120"/>
        <w:rPr>
          <w:rFonts w:ascii="Arial" w:hAnsi="Arial"/>
          <w:szCs w:val="21"/>
          <w:highlight w:val="none"/>
        </w:rPr>
      </w:pPr>
      <w:r>
        <w:rPr>
          <w:rFonts w:hint="eastAsia" w:ascii="Arial" w:hAnsi="Arial"/>
          <w:szCs w:val="21"/>
          <w:highlight w:val="none"/>
        </w:rPr>
        <w:t>注：1、投标人须提供上表所列人员的资历、资格文件、工作履历证明材料复印件；</w:t>
      </w:r>
    </w:p>
    <w:p>
      <w:pPr>
        <w:spacing w:before="120"/>
        <w:ind w:firstLine="420" w:firstLineChars="200"/>
        <w:rPr>
          <w:rFonts w:ascii="Arial" w:hAnsi="Arial"/>
          <w:szCs w:val="21"/>
          <w:highlight w:val="none"/>
        </w:rPr>
      </w:pPr>
      <w:r>
        <w:rPr>
          <w:rFonts w:hint="eastAsia" w:ascii="Arial" w:hAnsi="Arial"/>
          <w:szCs w:val="21"/>
          <w:highlight w:val="none"/>
        </w:rPr>
        <w:t>2、投标人须结合上表设置合理的组织机构（具备24小时生产的人员配置，须画出组织机构图或进行详细的文字表述）；</w:t>
      </w:r>
    </w:p>
    <w:p>
      <w:pPr>
        <w:spacing w:before="120"/>
        <w:rPr>
          <w:rFonts w:ascii="Arial" w:hAnsi="Arial"/>
          <w:szCs w:val="21"/>
          <w:highlight w:val="none"/>
        </w:rPr>
      </w:pPr>
    </w:p>
    <w:p>
      <w:pPr>
        <w:spacing w:line="360" w:lineRule="auto"/>
        <w:ind w:firstLine="420" w:firstLineChars="200"/>
        <w:rPr>
          <w:highlight w:val="none"/>
        </w:rPr>
      </w:pPr>
    </w:p>
    <w:p>
      <w:pPr>
        <w:spacing w:line="360" w:lineRule="auto"/>
        <w:ind w:firstLine="4678" w:firstLineChars="2228"/>
        <w:rPr>
          <w:rFonts w:ascii="宋体" w:hAnsi="Courier New"/>
          <w:szCs w:val="21"/>
          <w:highlight w:val="none"/>
        </w:rPr>
      </w:pPr>
      <w:r>
        <w:rPr>
          <w:rFonts w:hint="eastAsia" w:ascii="宋体" w:hAnsi="Courier New"/>
          <w:szCs w:val="21"/>
          <w:highlight w:val="none"/>
        </w:rPr>
        <w:t>投标人（公章）：</w:t>
      </w:r>
    </w:p>
    <w:p>
      <w:pPr>
        <w:ind w:firstLine="4830" w:firstLineChars="2300"/>
        <w:rPr>
          <w:rFonts w:ascii="宋体" w:hAnsi="Courier New"/>
          <w:szCs w:val="21"/>
          <w:highlight w:val="none"/>
        </w:rPr>
      </w:pPr>
      <w:r>
        <w:rPr>
          <w:rFonts w:hint="eastAsia" w:ascii="宋体" w:hAnsi="Courier New"/>
          <w:szCs w:val="21"/>
          <w:highlight w:val="none"/>
        </w:rPr>
        <w:t>日    期：</w:t>
      </w:r>
    </w:p>
    <w:p>
      <w:pPr>
        <w:pStyle w:val="119"/>
        <w:numPr>
          <w:ilvl w:val="255"/>
          <w:numId w:val="0"/>
        </w:numPr>
        <w:topLinePunct/>
        <w:spacing w:line="440" w:lineRule="exact"/>
        <w:jc w:val="left"/>
        <w:rPr>
          <w:rFonts w:hAnsi="宋体"/>
          <w:szCs w:val="21"/>
          <w:highlight w:val="none"/>
        </w:rPr>
      </w:pPr>
    </w:p>
    <w:bookmarkEnd w:id="534"/>
    <w:bookmarkEnd w:id="535"/>
    <w:bookmarkEnd w:id="536"/>
    <w:bookmarkEnd w:id="537"/>
    <w:bookmarkEnd w:id="538"/>
    <w:bookmarkEnd w:id="539"/>
    <w:bookmarkEnd w:id="540"/>
    <w:bookmarkEnd w:id="541"/>
    <w:bookmarkEnd w:id="542"/>
    <w:bookmarkEnd w:id="543"/>
    <w:p>
      <w:pPr>
        <w:rPr>
          <w:rFonts w:ascii="黑体" w:eastAsia="黑体"/>
          <w:b/>
          <w:kern w:val="144"/>
          <w:sz w:val="44"/>
          <w:highlight w:val="none"/>
        </w:rPr>
      </w:pPr>
      <w:r>
        <w:rPr>
          <w:rFonts w:ascii="黑体" w:eastAsia="黑体"/>
          <w:b/>
          <w:kern w:val="144"/>
          <w:sz w:val="44"/>
          <w:highlight w:val="none"/>
        </w:rPr>
        <w:br w:type="page"/>
      </w:r>
    </w:p>
    <w:bookmarkEnd w:id="443"/>
    <w:bookmarkEnd w:id="444"/>
    <w:p>
      <w:pPr>
        <w:pStyle w:val="3"/>
        <w:numPr>
          <w:ilvl w:val="255"/>
          <w:numId w:val="0"/>
        </w:numPr>
        <w:tabs>
          <w:tab w:val="clear" w:pos="840"/>
        </w:tabs>
        <w:snapToGrid w:val="0"/>
        <w:spacing w:before="156" w:after="156"/>
        <w:jc w:val="left"/>
        <w:rPr>
          <w:sz w:val="24"/>
          <w:szCs w:val="24"/>
          <w:highlight w:val="none"/>
        </w:rPr>
      </w:pPr>
      <w:bookmarkStart w:id="544" w:name="_Toc534757720"/>
      <w:bookmarkStart w:id="545" w:name="_Toc8133606"/>
      <w:bookmarkStart w:id="546" w:name="_Toc8577"/>
      <w:bookmarkStart w:id="547" w:name="_Toc26189"/>
      <w:bookmarkStart w:id="548" w:name="_Toc31038"/>
      <w:bookmarkStart w:id="549" w:name="_Toc4748"/>
      <w:bookmarkStart w:id="550" w:name="_Toc182885494"/>
      <w:r>
        <w:rPr>
          <w:rFonts w:hint="eastAsia"/>
          <w:sz w:val="24"/>
          <w:szCs w:val="24"/>
          <w:highlight w:val="none"/>
        </w:rPr>
        <w:t>格式16：其它资料格式</w:t>
      </w:r>
      <w:bookmarkEnd w:id="544"/>
      <w:bookmarkEnd w:id="545"/>
      <w:bookmarkEnd w:id="546"/>
      <w:bookmarkEnd w:id="547"/>
      <w:bookmarkEnd w:id="548"/>
      <w:bookmarkEnd w:id="549"/>
    </w:p>
    <w:p>
      <w:pPr>
        <w:spacing w:line="360" w:lineRule="auto"/>
        <w:rPr>
          <w:rFonts w:ascii="宋体"/>
          <w:highlight w:val="none"/>
        </w:rPr>
      </w:pPr>
      <w:r>
        <w:rPr>
          <w:rFonts w:hint="eastAsia" w:ascii="宋体"/>
          <w:highlight w:val="none"/>
        </w:rPr>
        <w:t>投标人认为有必要提供的其它资料。</w:t>
      </w:r>
    </w:p>
    <w:p>
      <w:pPr>
        <w:pStyle w:val="12"/>
        <w:spacing w:beforeLines="50" w:line="400" w:lineRule="exact"/>
        <w:ind w:firstLine="0"/>
        <w:rPr>
          <w:b/>
          <w:sz w:val="44"/>
          <w:szCs w:val="44"/>
          <w:highlight w:val="none"/>
        </w:rPr>
      </w:pPr>
    </w:p>
    <w:p>
      <w:pPr>
        <w:pStyle w:val="12"/>
        <w:spacing w:beforeLines="50" w:line="400" w:lineRule="exact"/>
        <w:ind w:firstLine="964"/>
        <w:jc w:val="center"/>
        <w:rPr>
          <w:b/>
          <w:sz w:val="28"/>
          <w:szCs w:val="28"/>
          <w:highlight w:val="none"/>
        </w:rPr>
      </w:pPr>
    </w:p>
    <w:p>
      <w:pPr>
        <w:pStyle w:val="12"/>
        <w:spacing w:beforeLines="50" w:line="400" w:lineRule="exact"/>
        <w:ind w:firstLine="964"/>
        <w:jc w:val="center"/>
        <w:rPr>
          <w:b/>
          <w:sz w:val="28"/>
          <w:szCs w:val="28"/>
          <w:highlight w:val="none"/>
        </w:rPr>
      </w:pPr>
    </w:p>
    <w:p>
      <w:pPr>
        <w:pStyle w:val="3"/>
        <w:keepNext w:val="0"/>
        <w:keepLines w:val="0"/>
        <w:numPr>
          <w:ilvl w:val="0"/>
          <w:numId w:val="0"/>
        </w:numPr>
        <w:spacing w:before="0" w:afterLines="50" w:line="360" w:lineRule="auto"/>
        <w:jc w:val="left"/>
        <w:rPr>
          <w:rFonts w:ascii="宋体" w:hAnsi="宋体"/>
          <w:sz w:val="28"/>
          <w:szCs w:val="28"/>
          <w:highlight w:val="none"/>
          <w:lang w:val="en-GB"/>
        </w:rPr>
      </w:pPr>
    </w:p>
    <w:p>
      <w:pPr>
        <w:pStyle w:val="12"/>
        <w:spacing w:beforeLines="50" w:line="400" w:lineRule="exact"/>
        <w:ind w:firstLine="2670" w:firstLineChars="950"/>
        <w:jc w:val="left"/>
        <w:outlineLvl w:val="1"/>
        <w:rPr>
          <w:b/>
          <w:sz w:val="28"/>
          <w:szCs w:val="28"/>
          <w:highlight w:val="none"/>
        </w:rPr>
      </w:pPr>
      <w:bookmarkStart w:id="551" w:name="_Toc31503"/>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sz w:val="28"/>
          <w:szCs w:val="28"/>
          <w:highlight w:val="none"/>
        </w:rPr>
      </w:pPr>
    </w:p>
    <w:p>
      <w:pPr>
        <w:pStyle w:val="12"/>
        <w:spacing w:beforeLines="50" w:line="400" w:lineRule="exact"/>
        <w:ind w:firstLine="2670" w:firstLineChars="950"/>
        <w:jc w:val="left"/>
        <w:outlineLvl w:val="1"/>
        <w:rPr>
          <w:b/>
          <w:bCs/>
          <w:sz w:val="28"/>
          <w:szCs w:val="28"/>
          <w:highlight w:val="none"/>
        </w:rPr>
      </w:pPr>
      <w:bookmarkStart w:id="552" w:name="_Toc28497"/>
      <w:bookmarkStart w:id="553" w:name="_Toc3814"/>
      <w:bookmarkStart w:id="554" w:name="_Toc19181"/>
      <w:bookmarkStart w:id="555" w:name="_Toc21010"/>
      <w:r>
        <w:rPr>
          <w:rFonts w:hint="eastAsia"/>
          <w:b/>
          <w:sz w:val="28"/>
          <w:szCs w:val="28"/>
          <w:highlight w:val="none"/>
        </w:rPr>
        <w:t>三、</w:t>
      </w:r>
      <w:r>
        <w:rPr>
          <w:rFonts w:hint="eastAsia"/>
          <w:b/>
          <w:bCs/>
          <w:sz w:val="28"/>
          <w:szCs w:val="28"/>
          <w:highlight w:val="none"/>
        </w:rPr>
        <w:t>价格投标文件格式</w:t>
      </w:r>
      <w:bookmarkEnd w:id="551"/>
      <w:bookmarkEnd w:id="552"/>
      <w:bookmarkEnd w:id="553"/>
      <w:bookmarkEnd w:id="554"/>
      <w:bookmarkEnd w:id="555"/>
    </w:p>
    <w:p>
      <w:pPr>
        <w:pStyle w:val="12"/>
        <w:spacing w:beforeLines="50" w:line="400" w:lineRule="exact"/>
        <w:ind w:firstLine="641"/>
        <w:jc w:val="center"/>
        <w:outlineLvl w:val="0"/>
        <w:rPr>
          <w:b/>
          <w:bCs/>
          <w:sz w:val="21"/>
          <w:szCs w:val="21"/>
          <w:highlight w:val="none"/>
        </w:rPr>
      </w:pPr>
    </w:p>
    <w:p>
      <w:pPr>
        <w:pStyle w:val="12"/>
        <w:spacing w:beforeLines="50" w:line="400" w:lineRule="exact"/>
        <w:ind w:firstLine="643"/>
        <w:jc w:val="center"/>
        <w:rPr>
          <w:b/>
          <w:bCs/>
          <w:sz w:val="21"/>
          <w:szCs w:val="21"/>
          <w:highlight w:val="none"/>
        </w:rPr>
      </w:pPr>
    </w:p>
    <w:p>
      <w:pPr>
        <w:pStyle w:val="12"/>
        <w:spacing w:beforeLines="50" w:line="400" w:lineRule="exact"/>
        <w:ind w:firstLine="643"/>
        <w:jc w:val="center"/>
        <w:rPr>
          <w:b/>
          <w:bCs/>
          <w:sz w:val="21"/>
          <w:szCs w:val="21"/>
          <w:highlight w:val="none"/>
        </w:rPr>
      </w:pPr>
    </w:p>
    <w:p>
      <w:pPr>
        <w:pStyle w:val="12"/>
        <w:spacing w:beforeLines="50" w:line="400" w:lineRule="exact"/>
        <w:ind w:firstLine="643"/>
        <w:jc w:val="center"/>
        <w:rPr>
          <w:b/>
          <w:bCs/>
          <w:sz w:val="21"/>
          <w:szCs w:val="21"/>
          <w:highlight w:val="none"/>
        </w:rPr>
      </w:pPr>
    </w:p>
    <w:bookmarkEnd w:id="550"/>
    <w:p>
      <w:pPr>
        <w:widowControl/>
        <w:jc w:val="left"/>
        <w:rPr>
          <w:rFonts w:ascii="宋体" w:hAnsi="宋体"/>
          <w:highlight w:val="none"/>
        </w:rPr>
        <w:sectPr>
          <w:pgSz w:w="11906" w:h="16838"/>
          <w:pgMar w:top="1797" w:right="1440" w:bottom="1797" w:left="1440" w:header="794" w:footer="794" w:gutter="0"/>
          <w:cols w:space="0" w:num="1"/>
          <w:docGrid w:linePitch="312" w:charSpace="0"/>
        </w:sectPr>
      </w:pPr>
    </w:p>
    <w:p>
      <w:pPr>
        <w:pStyle w:val="3"/>
        <w:keepNext w:val="0"/>
        <w:keepLines w:val="0"/>
        <w:numPr>
          <w:ilvl w:val="0"/>
          <w:numId w:val="0"/>
        </w:numPr>
        <w:spacing w:before="0" w:afterLines="50" w:line="360" w:lineRule="auto"/>
        <w:jc w:val="left"/>
        <w:rPr>
          <w:rFonts w:ascii="宋体" w:hAnsi="宋体" w:eastAsia="宋体"/>
          <w:bCs/>
          <w:kern w:val="2"/>
          <w:sz w:val="24"/>
          <w:szCs w:val="24"/>
          <w:highlight w:val="none"/>
        </w:rPr>
      </w:pPr>
      <w:bookmarkStart w:id="556" w:name="_Toc1790"/>
      <w:bookmarkStart w:id="557" w:name="_Toc6281"/>
      <w:bookmarkStart w:id="558" w:name="_Toc21080"/>
      <w:bookmarkStart w:id="559" w:name="_Toc27598"/>
      <w:bookmarkStart w:id="560" w:name="_Toc17829"/>
      <w:r>
        <w:rPr>
          <w:rFonts w:hint="eastAsia"/>
          <w:sz w:val="24"/>
          <w:szCs w:val="24"/>
          <w:highlight w:val="none"/>
        </w:rPr>
        <w:t>格式17：报价单格式</w:t>
      </w:r>
      <w:bookmarkEnd w:id="556"/>
      <w:bookmarkEnd w:id="557"/>
      <w:bookmarkEnd w:id="558"/>
      <w:bookmarkEnd w:id="559"/>
      <w:bookmarkEnd w:id="560"/>
    </w:p>
    <w:p>
      <w:pPr>
        <w:pStyle w:val="3"/>
        <w:keepNext w:val="0"/>
        <w:keepLines w:val="0"/>
        <w:numPr>
          <w:ilvl w:val="0"/>
          <w:numId w:val="0"/>
        </w:numPr>
        <w:spacing w:before="0" w:afterLines="50" w:line="360" w:lineRule="auto"/>
        <w:rPr>
          <w:rFonts w:ascii="宋体" w:hAnsi="宋体" w:eastAsia="宋体"/>
          <w:sz w:val="24"/>
          <w:szCs w:val="24"/>
          <w:highlight w:val="none"/>
        </w:rPr>
      </w:pPr>
      <w:bookmarkStart w:id="561" w:name="_Toc20273"/>
      <w:bookmarkStart w:id="562" w:name="_Toc32125"/>
      <w:bookmarkStart w:id="563" w:name="_Toc16463"/>
      <w:bookmarkStart w:id="564" w:name="_Toc11937"/>
      <w:bookmarkStart w:id="565" w:name="_Toc12801"/>
      <w:bookmarkStart w:id="566" w:name="_Toc11374"/>
      <w:r>
        <w:rPr>
          <w:rFonts w:hint="eastAsia" w:ascii="宋体" w:hAnsi="宋体" w:eastAsia="宋体"/>
          <w:bCs/>
          <w:kern w:val="2"/>
          <w:sz w:val="24"/>
          <w:szCs w:val="24"/>
          <w:highlight w:val="none"/>
        </w:rPr>
        <w:t>报价单</w:t>
      </w:r>
      <w:bookmarkEnd w:id="561"/>
      <w:bookmarkEnd w:id="562"/>
      <w:bookmarkEnd w:id="563"/>
      <w:bookmarkEnd w:id="564"/>
      <w:bookmarkEnd w:id="565"/>
      <w:bookmarkEnd w:id="566"/>
    </w:p>
    <w:p>
      <w:pPr>
        <w:pStyle w:val="22"/>
        <w:spacing w:before="120" w:line="500" w:lineRule="exact"/>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致：</w:t>
      </w:r>
      <w:r>
        <w:rPr>
          <w:rFonts w:hint="eastAsia" w:asciiTheme="minorEastAsia" w:hAnsiTheme="minorEastAsia" w:eastAsiaTheme="minorEastAsia"/>
          <w:szCs w:val="21"/>
          <w:highlight w:val="none"/>
          <w:u w:val="single"/>
        </w:rPr>
        <w:t>佛山市恒益环保建材有限公司</w:t>
      </w:r>
    </w:p>
    <w:p>
      <w:pPr>
        <w:pStyle w:val="22"/>
        <w:spacing w:line="500" w:lineRule="exact"/>
        <w:ind w:firstLine="404" w:firstLineChars="200"/>
        <w:jc w:val="left"/>
        <w:rPr>
          <w:rFonts w:asciiTheme="minorEastAsia" w:hAnsiTheme="minorEastAsia" w:eastAsiaTheme="minorEastAsia"/>
          <w:spacing w:val="-4"/>
          <w:szCs w:val="21"/>
          <w:highlight w:val="none"/>
        </w:rPr>
      </w:pPr>
      <w:r>
        <w:rPr>
          <w:rFonts w:hint="eastAsia" w:asciiTheme="minorEastAsia" w:hAnsiTheme="minorEastAsia" w:eastAsiaTheme="minorEastAsia"/>
          <w:spacing w:val="-4"/>
          <w:szCs w:val="21"/>
          <w:highlight w:val="none"/>
        </w:rPr>
        <w:t>我公司的</w:t>
      </w:r>
      <w:r>
        <w:rPr>
          <w:rFonts w:asciiTheme="minorEastAsia" w:hAnsiTheme="minorEastAsia" w:eastAsiaTheme="minorEastAsia"/>
          <w:spacing w:val="-4"/>
          <w:szCs w:val="21"/>
          <w:highlight w:val="none"/>
          <w:lang w:val="zh-CN"/>
        </w:rPr>
        <w:t>佛山市恒益环保建材有限公司</w:t>
      </w:r>
      <w:r>
        <w:rPr>
          <w:rFonts w:hint="eastAsia" w:asciiTheme="minorEastAsia" w:hAnsiTheme="minorEastAsia" w:eastAsiaTheme="minorEastAsia"/>
          <w:spacing w:val="-4"/>
          <w:szCs w:val="21"/>
          <w:highlight w:val="none"/>
          <w:lang w:val="zh-CN"/>
        </w:rPr>
        <w:t>加气砌块生产辅助业务外委</w:t>
      </w:r>
      <w:r>
        <w:rPr>
          <w:rFonts w:asciiTheme="minorEastAsia" w:hAnsiTheme="minorEastAsia" w:eastAsiaTheme="minorEastAsia"/>
          <w:spacing w:val="-4"/>
          <w:szCs w:val="21"/>
          <w:highlight w:val="none"/>
        </w:rPr>
        <w:t>项目</w:t>
      </w:r>
      <w:r>
        <w:rPr>
          <w:rFonts w:hint="eastAsia" w:asciiTheme="minorEastAsia" w:hAnsiTheme="minorEastAsia" w:eastAsiaTheme="minorEastAsia"/>
          <w:spacing w:val="-4"/>
          <w:szCs w:val="21"/>
          <w:highlight w:val="none"/>
        </w:rPr>
        <w:t>报价如下表，本报价单的有效日期至</w:t>
      </w:r>
      <w:r>
        <w:rPr>
          <w:rFonts w:hint="eastAsia" w:asciiTheme="minorEastAsia" w:hAnsiTheme="minorEastAsia" w:eastAsiaTheme="minorEastAsia"/>
          <w:spacing w:val="-4"/>
          <w:szCs w:val="21"/>
          <w:highlight w:val="none"/>
          <w:u w:val="single"/>
        </w:rPr>
        <w:t>（与投标文件有效期相同）</w:t>
      </w:r>
      <w:r>
        <w:rPr>
          <w:rFonts w:hint="eastAsia" w:asciiTheme="minorEastAsia" w:hAnsiTheme="minorEastAsia" w:eastAsiaTheme="minorEastAsia"/>
          <w:spacing w:val="-4"/>
          <w:szCs w:val="21"/>
          <w:highlight w:val="none"/>
        </w:rPr>
        <w:t>。本报价单中的价格为固定不变价。</w:t>
      </w:r>
    </w:p>
    <w:tbl>
      <w:tblPr>
        <w:tblStyle w:val="43"/>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37"/>
        <w:gridCol w:w="1225"/>
        <w:gridCol w:w="938"/>
        <w:gridCol w:w="662"/>
        <w:gridCol w:w="263"/>
        <w:gridCol w:w="912"/>
        <w:gridCol w:w="125"/>
        <w:gridCol w:w="1188"/>
        <w:gridCol w:w="110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trPr>
        <w:tc>
          <w:tcPr>
            <w:tcW w:w="1113" w:type="dxa"/>
            <w:vAlign w:val="center"/>
          </w:tcPr>
          <w:p>
            <w:pPr>
              <w:jc w:val="center"/>
              <w:rPr>
                <w:rFonts w:asciiTheme="minorEastAsia" w:hAnsiTheme="minorEastAsia" w:eastAsiaTheme="minorEastAsia"/>
                <w:szCs w:val="21"/>
                <w:highlight w:val="none"/>
                <w:u w:val="single"/>
              </w:rPr>
            </w:pPr>
            <w:r>
              <w:rPr>
                <w:rFonts w:hint="eastAsia" w:ascii="宋体" w:hAnsi="宋体"/>
                <w:bCs/>
                <w:color w:val="000000"/>
                <w:szCs w:val="21"/>
                <w:highlight w:val="none"/>
                <w:lang w:val="zh-CN"/>
              </w:rPr>
              <w:t>项目名</w:t>
            </w:r>
            <w:r>
              <w:rPr>
                <w:rFonts w:hint="eastAsia" w:ascii="宋体" w:hAnsi="宋体"/>
                <w:bCs/>
                <w:szCs w:val="21"/>
                <w:highlight w:val="none"/>
                <w:lang w:val="zh-CN"/>
              </w:rPr>
              <w:t>称</w:t>
            </w:r>
          </w:p>
        </w:tc>
        <w:tc>
          <w:tcPr>
            <w:tcW w:w="1237" w:type="dxa"/>
            <w:vAlign w:val="center"/>
          </w:tcPr>
          <w:p>
            <w:pPr>
              <w:jc w:val="center"/>
              <w:rPr>
                <w:rFonts w:asciiTheme="minorEastAsia" w:hAnsiTheme="minorEastAsia" w:eastAsiaTheme="minorEastAsia"/>
                <w:szCs w:val="21"/>
                <w:highlight w:val="none"/>
                <w:u w:val="single"/>
              </w:rPr>
            </w:pPr>
            <w:r>
              <w:rPr>
                <w:rFonts w:hint="eastAsia" w:cs="宋体" w:asciiTheme="minorEastAsia" w:hAnsiTheme="minorEastAsia" w:eastAsiaTheme="minorEastAsia"/>
                <w:color w:val="000000"/>
                <w:kern w:val="0"/>
                <w:szCs w:val="21"/>
                <w:highlight w:val="none"/>
              </w:rPr>
              <w:t>开具发票类型</w:t>
            </w:r>
          </w:p>
        </w:tc>
        <w:tc>
          <w:tcPr>
            <w:tcW w:w="1225" w:type="dxa"/>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税率</w:t>
            </w:r>
          </w:p>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仅限开具增值税专用发票单位勾选</w:t>
            </w:r>
          </w:p>
        </w:tc>
        <w:tc>
          <w:tcPr>
            <w:tcW w:w="938" w:type="dxa"/>
            <w:vAlign w:val="center"/>
          </w:tcPr>
          <w:p>
            <w:pPr>
              <w:jc w:val="center"/>
              <w:rPr>
                <w:rFonts w:asciiTheme="minorEastAsia" w:hAnsiTheme="minorEastAsia" w:eastAsiaTheme="minorEastAsia"/>
                <w:szCs w:val="21"/>
                <w:highlight w:val="none"/>
                <w:u w:val="single"/>
              </w:rPr>
            </w:pPr>
            <w:r>
              <w:rPr>
                <w:rFonts w:hint="eastAsia" w:ascii="宋体" w:hAnsi="宋体"/>
                <w:bCs/>
                <w:szCs w:val="21"/>
                <w:highlight w:val="none"/>
                <w:lang w:val="zh-CN"/>
              </w:rPr>
              <w:t>业务估量</w:t>
            </w:r>
          </w:p>
        </w:tc>
        <w:tc>
          <w:tcPr>
            <w:tcW w:w="925" w:type="dxa"/>
            <w:gridSpan w:val="2"/>
            <w:vAlign w:val="center"/>
          </w:tcPr>
          <w:p>
            <w:pPr>
              <w:jc w:val="center"/>
              <w:rPr>
                <w:rFonts w:ascii="宋体" w:hAnsi="宋体"/>
                <w:bCs/>
                <w:szCs w:val="21"/>
                <w:highlight w:val="none"/>
                <w:lang w:val="zh-CN"/>
              </w:rPr>
            </w:pPr>
            <w:r>
              <w:rPr>
                <w:rFonts w:hint="eastAsia" w:ascii="宋体" w:hAnsi="宋体"/>
                <w:bCs/>
                <w:szCs w:val="21"/>
                <w:highlight w:val="none"/>
                <w:lang w:val="zh-CN"/>
              </w:rPr>
              <w:t>单价（不含税）</w:t>
            </w:r>
          </w:p>
        </w:tc>
        <w:tc>
          <w:tcPr>
            <w:tcW w:w="1037" w:type="dxa"/>
            <w:gridSpan w:val="2"/>
            <w:vAlign w:val="center"/>
          </w:tcPr>
          <w:p>
            <w:pPr>
              <w:jc w:val="center"/>
              <w:rPr>
                <w:rFonts w:asciiTheme="minorEastAsia" w:hAnsiTheme="minorEastAsia" w:eastAsiaTheme="minorEastAsia"/>
                <w:szCs w:val="21"/>
                <w:highlight w:val="none"/>
                <w:u w:val="single"/>
              </w:rPr>
            </w:pPr>
            <w:r>
              <w:rPr>
                <w:rFonts w:hint="eastAsia" w:ascii="宋体" w:hAnsi="宋体"/>
                <w:bCs/>
                <w:szCs w:val="21"/>
                <w:highlight w:val="none"/>
                <w:lang w:val="zh-CN"/>
              </w:rPr>
              <w:t>单价（含税）</w:t>
            </w:r>
          </w:p>
        </w:tc>
        <w:tc>
          <w:tcPr>
            <w:tcW w:w="1188" w:type="dxa"/>
            <w:vAlign w:val="center"/>
          </w:tcPr>
          <w:p>
            <w:pPr>
              <w:jc w:val="center"/>
              <w:rPr>
                <w:rFonts w:ascii="宋体" w:hAnsi="宋体"/>
                <w:bCs/>
                <w:szCs w:val="21"/>
                <w:highlight w:val="none"/>
                <w:lang w:val="zh-CN"/>
              </w:rPr>
            </w:pPr>
            <w:r>
              <w:rPr>
                <w:rFonts w:hint="eastAsia" w:ascii="宋体" w:hAnsi="宋体"/>
                <w:bCs/>
                <w:szCs w:val="21"/>
                <w:highlight w:val="none"/>
                <w:lang w:val="zh-CN"/>
              </w:rPr>
              <w:t>单项不含税总价（</w:t>
            </w:r>
            <w:r>
              <w:rPr>
                <w:rFonts w:hint="eastAsia" w:ascii="宋体" w:hAnsi="宋体"/>
                <w:bCs/>
                <w:szCs w:val="21"/>
                <w:highlight w:val="none"/>
              </w:rPr>
              <w:t>2年</w:t>
            </w:r>
            <w:r>
              <w:rPr>
                <w:rFonts w:ascii="宋体" w:hAnsi="宋体"/>
                <w:bCs/>
                <w:szCs w:val="21"/>
                <w:highlight w:val="none"/>
                <w:lang w:val="zh-CN"/>
              </w:rPr>
              <w:t>）</w:t>
            </w:r>
          </w:p>
        </w:tc>
        <w:tc>
          <w:tcPr>
            <w:tcW w:w="1100" w:type="dxa"/>
            <w:vAlign w:val="center"/>
          </w:tcPr>
          <w:p>
            <w:pPr>
              <w:jc w:val="center"/>
              <w:rPr>
                <w:rFonts w:asciiTheme="minorEastAsia" w:hAnsiTheme="minorEastAsia" w:eastAsiaTheme="minorEastAsia"/>
                <w:szCs w:val="21"/>
                <w:highlight w:val="none"/>
                <w:u w:val="single"/>
              </w:rPr>
            </w:pPr>
            <w:r>
              <w:rPr>
                <w:rFonts w:hint="eastAsia" w:ascii="宋体" w:hAnsi="宋体"/>
                <w:bCs/>
                <w:szCs w:val="21"/>
                <w:highlight w:val="none"/>
                <w:lang w:val="zh-CN"/>
              </w:rPr>
              <w:t>单项含税总价（</w:t>
            </w:r>
            <w:r>
              <w:rPr>
                <w:rFonts w:hint="eastAsia" w:ascii="宋体" w:hAnsi="宋体"/>
                <w:bCs/>
                <w:szCs w:val="21"/>
                <w:highlight w:val="none"/>
              </w:rPr>
              <w:t>2年</w:t>
            </w:r>
            <w:r>
              <w:rPr>
                <w:rFonts w:ascii="宋体" w:hAnsi="宋体"/>
                <w:bCs/>
                <w:szCs w:val="21"/>
                <w:highlight w:val="none"/>
                <w:lang w:val="zh-CN"/>
              </w:rPr>
              <w:t>）</w:t>
            </w:r>
          </w:p>
        </w:tc>
        <w:tc>
          <w:tcPr>
            <w:tcW w:w="1175" w:type="dxa"/>
            <w:vAlign w:val="center"/>
          </w:tcPr>
          <w:p>
            <w:pPr>
              <w:jc w:val="center"/>
              <w:rPr>
                <w:rFonts w:asciiTheme="minorEastAsia" w:hAnsiTheme="minorEastAsia" w:eastAsiaTheme="minorEastAsia"/>
                <w:szCs w:val="21"/>
                <w:highlight w:val="none"/>
                <w:u w:val="single"/>
              </w:rPr>
            </w:pPr>
            <w:r>
              <w:rPr>
                <w:rFonts w:hint="eastAsia" w:ascii="宋体" w:hAnsi="宋体"/>
                <w:bCs/>
                <w:szCs w:val="21"/>
                <w:highlight w:val="none"/>
                <w:lang w:val="zh-CN"/>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Align w:val="center"/>
          </w:tcPr>
          <w:p>
            <w:pPr>
              <w:autoSpaceDE w:val="0"/>
              <w:autoSpaceDN w:val="0"/>
              <w:adjustRightInd w:val="0"/>
              <w:jc w:val="center"/>
              <w:rPr>
                <w:rFonts w:ascii="宋体" w:hAnsi="宋体"/>
                <w:bCs/>
                <w:szCs w:val="21"/>
                <w:highlight w:val="none"/>
                <w:lang w:val="zh-CN"/>
              </w:rPr>
            </w:pPr>
            <w:r>
              <w:rPr>
                <w:rFonts w:hint="eastAsia" w:ascii="宋体" w:hAnsi="宋体"/>
                <w:bCs/>
                <w:szCs w:val="21"/>
                <w:highlight w:val="none"/>
                <w:lang w:val="zh-CN"/>
              </w:rPr>
              <w:t>物料转运</w:t>
            </w:r>
          </w:p>
          <w:p>
            <w:pPr>
              <w:jc w:val="center"/>
              <w:rPr>
                <w:rFonts w:asciiTheme="minorEastAsia" w:hAnsiTheme="minorEastAsia" w:eastAsiaTheme="minorEastAsia"/>
                <w:szCs w:val="21"/>
                <w:highlight w:val="none"/>
                <w:u w:val="single"/>
              </w:rPr>
            </w:pPr>
            <w:r>
              <w:rPr>
                <w:rFonts w:hint="eastAsia" w:ascii="宋体" w:hAnsi="宋体"/>
                <w:bCs/>
                <w:szCs w:val="21"/>
                <w:highlight w:val="none"/>
                <w:lang w:val="zh-CN"/>
              </w:rPr>
              <w:t>（元</w:t>
            </w:r>
            <w:r>
              <w:rPr>
                <w:rFonts w:ascii="宋体" w:hAnsi="宋体"/>
                <w:bCs/>
                <w:szCs w:val="21"/>
                <w:highlight w:val="none"/>
                <w:lang w:val="zh-CN"/>
              </w:rPr>
              <w:t>/吨）</w:t>
            </w:r>
          </w:p>
        </w:tc>
        <w:tc>
          <w:tcPr>
            <w:tcW w:w="1237" w:type="dxa"/>
            <w:vMerge w:val="restart"/>
            <w:vAlign w:val="center"/>
          </w:tcPr>
          <w:p>
            <w:pPr>
              <w:ind w:left="315" w:leftChars="150"/>
              <w:jc w:val="center"/>
              <w:rPr>
                <w:rFonts w:ascii="Calibri" w:hAnsi="Calibri"/>
                <w:szCs w:val="21"/>
                <w:highlight w:val="none"/>
              </w:rPr>
            </w:pPr>
            <w:r>
              <w:rPr>
                <w:rFonts w:ascii="Calibri" w:hAnsi="Calibri"/>
                <w:szCs w:val="21"/>
                <w:highlight w:val="none"/>
              </w:rPr>
              <mc:AlternateContent>
                <mc:Choice Requires="wps">
                  <w:drawing>
                    <wp:anchor distT="0" distB="0" distL="114300" distR="114300" simplePos="0" relativeHeight="251676672" behindDoc="0" locked="0" layoutInCell="1" allowOverlap="1">
                      <wp:simplePos x="0" y="0"/>
                      <wp:positionH relativeFrom="column">
                        <wp:posOffset>-13970</wp:posOffset>
                      </wp:positionH>
                      <wp:positionV relativeFrom="paragraph">
                        <wp:posOffset>56515</wp:posOffset>
                      </wp:positionV>
                      <wp:extent cx="189865" cy="91440"/>
                      <wp:effectExtent l="4445" t="4445" r="15240" b="18415"/>
                      <wp:wrapNone/>
                      <wp:docPr id="3" name="矩形 31"/>
                      <wp:cNvGraphicFramePr/>
                      <a:graphic xmlns:a="http://schemas.openxmlformats.org/drawingml/2006/main">
                        <a:graphicData uri="http://schemas.microsoft.com/office/word/2010/wordprocessingShape">
                          <wps:wsp>
                            <wps:cNvSpPr/>
                            <wps:spPr>
                              <a:xfrm>
                                <a:off x="0" y="0"/>
                                <a:ext cx="189865" cy="9144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31" o:spid="_x0000_s1026" o:spt="1" style="position:absolute;left:0pt;margin-left:-1.1pt;margin-top:4.45pt;height:7.2pt;width:14.95pt;z-index:251676672;mso-width-relative:page;mso-height-relative:page;" fillcolor="#FFFFFF" filled="t" stroked="t" coordsize="21600,21600" o:gfxdata="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1zDG3VAAAA&#10;BgEAAA8AAAAAAAAAAQAgAAAAIgAAAGRycy9kb3ducmV2LnhtbFBLAQIUABQAAAAIAIdO4kClgx65&#10;5wEAAN0DAAAOAAAAAAAAAAEAIAAAACQBAABkcnMvZTJvRG9jLnhtbFBLBQYAAAAABgAGAFkBAAB9&#10;BQAAAAA=&#10;">
                      <v:fill on="t" focussize="0,0"/>
                      <v:stroke color="#000000" joinstyle="miter"/>
                      <v:imagedata o:title=""/>
                      <o:lock v:ext="edit" aspectratio="f"/>
                    </v:rect>
                  </w:pict>
                </mc:Fallback>
              </mc:AlternateContent>
            </w:r>
            <w:r>
              <w:rPr>
                <w:rFonts w:hint="eastAsia" w:ascii="Calibri" w:hAnsi="Calibri"/>
                <w:szCs w:val="21"/>
                <w:highlight w:val="none"/>
              </w:rPr>
              <w:t>增值税普通发票</w:t>
            </w:r>
          </w:p>
          <w:p>
            <w:pPr>
              <w:ind w:left="315" w:leftChars="150"/>
              <w:jc w:val="center"/>
              <w:rPr>
                <w:rFonts w:ascii="Calibri" w:hAnsi="Calibri"/>
                <w:szCs w:val="21"/>
                <w:highlight w:val="none"/>
              </w:rPr>
            </w:pPr>
            <w:r>
              <w:rPr>
                <w:rFonts w:ascii="Calibri" w:hAnsi="Calibri"/>
                <w:szCs w:val="21"/>
                <w:highlight w:val="none"/>
              </w:rPr>
              <mc:AlternateContent>
                <mc:Choice Requires="wps">
                  <w:drawing>
                    <wp:anchor distT="0" distB="0" distL="114300" distR="114300" simplePos="0" relativeHeight="251677696" behindDoc="0" locked="0" layoutInCell="1" allowOverlap="1">
                      <wp:simplePos x="0" y="0"/>
                      <wp:positionH relativeFrom="column">
                        <wp:posOffset>-12065</wp:posOffset>
                      </wp:positionH>
                      <wp:positionV relativeFrom="paragraph">
                        <wp:posOffset>40640</wp:posOffset>
                      </wp:positionV>
                      <wp:extent cx="189865" cy="90805"/>
                      <wp:effectExtent l="4445" t="4445" r="15240" b="19050"/>
                      <wp:wrapNone/>
                      <wp:docPr id="4" name="矩形 32"/>
                      <wp:cNvGraphicFramePr/>
                      <a:graphic xmlns:a="http://schemas.openxmlformats.org/drawingml/2006/main">
                        <a:graphicData uri="http://schemas.microsoft.com/office/word/2010/wordprocessingShape">
                          <wps:wsp>
                            <wps:cNvSpPr/>
                            <wps:spPr>
                              <a:xfrm>
                                <a:off x="0" y="0"/>
                                <a:ext cx="189865" cy="9080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32" o:spid="_x0000_s1026" o:spt="1" style="position:absolute;left:0pt;margin-left:-0.95pt;margin-top:3.2pt;height:7.15pt;width:14.95pt;z-index:251677696;mso-width-relative:page;mso-height-relative:page;" fillcolor="#FFFFFF" filled="t" stroked="t" coordsize="21600,21600" o:gfxdata="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xpCzzWAAAABgEA&#10;AA8AAAAAAAAAAQAgAAAAIgAAAGRycy9kb3ducmV2LnhtbFBLAQIUABQAAAAIAIdO4kD8Wx0o4wEA&#10;AN0DAAAOAAAAAAAAAAEAIAAAACUBAABkcnMvZTJvRG9jLnhtbFBLBQYAAAAABgAGAFkBAAB6BQAA&#10;AAA=&#10;">
                      <v:fill on="t" focussize="0,0"/>
                      <v:stroke color="#000000" joinstyle="miter"/>
                      <v:imagedata o:title=""/>
                      <o:lock v:ext="edit" aspectratio="f"/>
                    </v:rect>
                  </w:pict>
                </mc:Fallback>
              </mc:AlternateContent>
            </w:r>
            <w:r>
              <w:rPr>
                <w:rFonts w:hint="eastAsia" w:ascii="Calibri" w:hAnsi="Calibri"/>
                <w:szCs w:val="21"/>
                <w:highlight w:val="none"/>
              </w:rPr>
              <w:t>增值税专用发票</w:t>
            </w:r>
          </w:p>
          <w:p>
            <w:pPr>
              <w:jc w:val="center"/>
              <w:rPr>
                <w:rFonts w:asciiTheme="minorEastAsia" w:hAnsiTheme="minorEastAsia" w:eastAsiaTheme="minorEastAsia"/>
                <w:szCs w:val="21"/>
                <w:highlight w:val="none"/>
                <w:u w:val="single"/>
              </w:rPr>
            </w:pPr>
            <w:r>
              <w:rPr>
                <w:rFonts w:ascii="宋体" w:hAnsi="宋体" w:cs="宋体"/>
                <w:kern w:val="0"/>
                <w:szCs w:val="21"/>
                <w:highlight w:val="none"/>
              </w:rPr>
              <mc:AlternateContent>
                <mc:Choice Requires="wps">
                  <w:drawing>
                    <wp:anchor distT="0" distB="0" distL="114300" distR="114300" simplePos="0" relativeHeight="251678720" behindDoc="0" locked="0" layoutInCell="1" allowOverlap="1">
                      <wp:simplePos x="0" y="0"/>
                      <wp:positionH relativeFrom="column">
                        <wp:posOffset>-11430</wp:posOffset>
                      </wp:positionH>
                      <wp:positionV relativeFrom="paragraph">
                        <wp:posOffset>52070</wp:posOffset>
                      </wp:positionV>
                      <wp:extent cx="189865" cy="90805"/>
                      <wp:effectExtent l="4445" t="4445" r="15240" b="19050"/>
                      <wp:wrapNone/>
                      <wp:docPr id="5" name="矩形 33"/>
                      <wp:cNvGraphicFramePr/>
                      <a:graphic xmlns:a="http://schemas.openxmlformats.org/drawingml/2006/main">
                        <a:graphicData uri="http://schemas.microsoft.com/office/word/2010/wordprocessingShape">
                          <wps:wsp>
                            <wps:cNvSpPr/>
                            <wps:spPr>
                              <a:xfrm>
                                <a:off x="0" y="0"/>
                                <a:ext cx="189865" cy="9080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33" o:spid="_x0000_s1026" o:spt="1" style="position:absolute;left:0pt;margin-left:-0.9pt;margin-top:4.1pt;height:7.15pt;width:14.95pt;z-index:251678720;mso-width-relative:page;mso-height-relative:page;" fillcolor="#FFFFFF" filled="t" stroked="t" coordsize="21600,21600" o:gfxdata="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7pzONUAAAAGAQAA&#10;DwAAAAAAAAABACAAAAAiAAAAZHJzL2Rvd25yZXYueG1sUEsBAhQAFAAAAAgAh07iQK+9Gg7jAQAA&#10;3QMAAA4AAAAAAAAAAQAgAAAAJAEAAGRycy9lMm9Eb2MueG1sUEsFBgAAAAAGAAYAWQEAAHkFAAAA&#10;AA==&#10;">
                      <v:fill on="t" focussize="0,0"/>
                      <v:stroke color="#000000" joinstyle="miter"/>
                      <v:imagedata o:title=""/>
                      <o:lock v:ext="edit" aspectratio="f"/>
                    </v:rect>
                  </w:pict>
                </mc:Fallback>
              </mc:AlternateContent>
            </w:r>
            <w:r>
              <w:rPr>
                <w:rFonts w:hint="eastAsia" w:ascii="Calibri" w:hAnsi="Calibri"/>
                <w:szCs w:val="21"/>
                <w:highlight w:val="none"/>
              </w:rPr>
              <w:t xml:space="preserve">   其他发票</w:t>
            </w:r>
          </w:p>
        </w:tc>
        <w:tc>
          <w:tcPr>
            <w:tcW w:w="1225" w:type="dxa"/>
            <w:vMerge w:val="restart"/>
          </w:tcPr>
          <w:p>
            <w:pPr>
              <w:rPr>
                <w:rFonts w:asciiTheme="minorEastAsia" w:hAnsiTheme="minorEastAsia" w:eastAsiaTheme="minorEastAsia"/>
                <w:highlight w:val="none"/>
              </w:rPr>
            </w:pPr>
          </w:p>
          <w:p>
            <w:pPr>
              <w:rPr>
                <w:rFonts w:asciiTheme="minorEastAsia" w:hAnsiTheme="minorEastAsia" w:eastAsiaTheme="minorEastAsia"/>
                <w:highlight w:val="none"/>
              </w:rPr>
            </w:pPr>
          </w:p>
          <w:p>
            <w:pPr>
              <w:ind w:firstLine="420" w:firstLineChars="200"/>
              <w:rPr>
                <w:rFonts w:asciiTheme="minorEastAsia" w:hAnsiTheme="minorEastAsia" w:eastAsiaTheme="minorEastAsia"/>
                <w:highlight w:val="none"/>
              </w:rPr>
            </w:pPr>
            <w:r>
              <w:rPr>
                <w:rFonts w:asciiTheme="minorEastAsia" w:hAnsiTheme="minorEastAsia" w:eastAsiaTheme="minorEastAsia"/>
                <w:highlight w:val="none"/>
              </w:rPr>
              <mc:AlternateContent>
                <mc:Choice Requires="wps">
                  <w:drawing>
                    <wp:anchor distT="0" distB="0" distL="114300" distR="114300" simplePos="0" relativeHeight="251679744" behindDoc="0" locked="0" layoutInCell="1" allowOverlap="1">
                      <wp:simplePos x="0" y="0"/>
                      <wp:positionH relativeFrom="column">
                        <wp:posOffset>-21590</wp:posOffset>
                      </wp:positionH>
                      <wp:positionV relativeFrom="paragraph">
                        <wp:posOffset>57785</wp:posOffset>
                      </wp:positionV>
                      <wp:extent cx="189865" cy="91440"/>
                      <wp:effectExtent l="4445" t="4445" r="15240" b="18415"/>
                      <wp:wrapNone/>
                      <wp:docPr id="6" name="矩形 34"/>
                      <wp:cNvGraphicFramePr/>
                      <a:graphic xmlns:a="http://schemas.openxmlformats.org/drawingml/2006/main">
                        <a:graphicData uri="http://schemas.microsoft.com/office/word/2010/wordprocessingShape">
                          <wps:wsp>
                            <wps:cNvSpPr/>
                            <wps:spPr>
                              <a:xfrm>
                                <a:off x="0" y="0"/>
                                <a:ext cx="189865" cy="9144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34" o:spid="_x0000_s1026" o:spt="1" style="position:absolute;left:0pt;margin-left:-1.7pt;margin-top:4.55pt;height:7.2pt;width:14.95pt;z-index:251679744;mso-width-relative:page;mso-height-relative:page;" fillcolor="#FFFFFF" filled="t" stroked="t" coordsize="21600,21600" o:gfxdata="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JixE1gAA&#10;AAYBAAAPAAAAAAAAAAEAIAAAACIAAABkcnMvZG93bnJldi54bWxQSwECFAAUAAAACACHTuJAuvwG&#10;B+cBAADdAwAADgAAAAAAAAABACAAAAAlAQAAZHJzL2Uyb0RvYy54bWxQSwUGAAAAAAYABgBZAQAA&#10;fgUAAAAA&#10;">
                      <v:fill on="t" focussize="0,0"/>
                      <v:stroke color="#000000" joinstyle="miter"/>
                      <v:imagedata o:title=""/>
                      <o:lock v:ext="edit" aspectratio="f"/>
                    </v:rect>
                  </w:pict>
                </mc:Fallback>
              </mc:AlternateContent>
            </w:r>
            <w:r>
              <w:rPr>
                <w:rFonts w:asciiTheme="minorEastAsia" w:hAnsiTheme="minorEastAsia" w:eastAsiaTheme="minorEastAsia"/>
                <w:highlight w:val="none"/>
              </w:rPr>
              <w:t>1</w:t>
            </w:r>
            <w:r>
              <w:rPr>
                <w:rFonts w:hint="eastAsia" w:asciiTheme="minorEastAsia" w:hAnsiTheme="minorEastAsia" w:eastAsiaTheme="minorEastAsia"/>
                <w:highlight w:val="none"/>
              </w:rPr>
              <w:t>3</w:t>
            </w:r>
            <w:r>
              <w:rPr>
                <w:rFonts w:asciiTheme="minorEastAsia" w:hAnsiTheme="minorEastAsia" w:eastAsiaTheme="minorEastAsia"/>
                <w:highlight w:val="none"/>
              </w:rPr>
              <w:t>%</w:t>
            </w:r>
          </w:p>
          <w:p>
            <w:pPr>
              <w:ind w:firstLine="420" w:firstLineChars="200"/>
              <w:rPr>
                <w:rFonts w:asciiTheme="minorEastAsia" w:hAnsiTheme="minorEastAsia" w:eastAsiaTheme="minorEastAsia"/>
                <w:b/>
                <w:sz w:val="28"/>
                <w:highlight w:val="none"/>
              </w:rPr>
            </w:pPr>
            <w:r>
              <w:rPr>
                <w:rFonts w:asciiTheme="minorEastAsia" w:hAnsiTheme="minorEastAsia" w:eastAsiaTheme="minorEastAsia"/>
                <w:highlight w:val="none"/>
              </w:rPr>
              <mc:AlternateContent>
                <mc:Choice Requires="wps">
                  <w:drawing>
                    <wp:anchor distT="0" distB="0" distL="114300" distR="114300" simplePos="0" relativeHeight="251680768" behindDoc="0" locked="0" layoutInCell="1" allowOverlap="1">
                      <wp:simplePos x="0" y="0"/>
                      <wp:positionH relativeFrom="column">
                        <wp:posOffset>-21590</wp:posOffset>
                      </wp:positionH>
                      <wp:positionV relativeFrom="paragraph">
                        <wp:posOffset>37465</wp:posOffset>
                      </wp:positionV>
                      <wp:extent cx="189865" cy="91440"/>
                      <wp:effectExtent l="4445" t="4445" r="15240" b="18415"/>
                      <wp:wrapNone/>
                      <wp:docPr id="7" name="矩形 35"/>
                      <wp:cNvGraphicFramePr/>
                      <a:graphic xmlns:a="http://schemas.openxmlformats.org/drawingml/2006/main">
                        <a:graphicData uri="http://schemas.microsoft.com/office/word/2010/wordprocessingShape">
                          <wps:wsp>
                            <wps:cNvSpPr/>
                            <wps:spPr>
                              <a:xfrm>
                                <a:off x="0" y="0"/>
                                <a:ext cx="189865" cy="9144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35" o:spid="_x0000_s1026" o:spt="1" style="position:absolute;left:0pt;margin-left:-1.7pt;margin-top:2.95pt;height:7.2pt;width:14.95pt;z-index:251680768;mso-width-relative:page;mso-height-relative:page;" fillcolor="#FFFFFF" filled="t" stroked="t" coordsize="21600,21600" o:gfxdata="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ko7PTVAAAA&#10;BgEAAA8AAAAAAAAAAQAgAAAAIgAAAGRycy9kb3ducmV2LnhtbFBLAQIUABQAAAAIAIdO4kDpGgEh&#10;5wEAAN0DAAAOAAAAAAAAAAEAIAAAACQBAABkcnMvZTJvRG9jLnhtbFBLBQYAAAAABgAGAFkBAAB9&#10;BQAAAAA=&#10;">
                      <v:fill on="t" focussize="0,0"/>
                      <v:stroke color="#000000" joinstyle="miter"/>
                      <v:imagedata o:title=""/>
                      <o:lock v:ext="edit" aspectratio="f"/>
                    </v:rect>
                  </w:pict>
                </mc:Fallback>
              </mc:AlternateContent>
            </w:r>
            <w:r>
              <w:rPr>
                <w:rFonts w:hint="eastAsia" w:asciiTheme="minorEastAsia" w:hAnsiTheme="minorEastAsia" w:eastAsiaTheme="minorEastAsia"/>
                <w:highlight w:val="none"/>
              </w:rPr>
              <w:t>9</w:t>
            </w:r>
            <w:r>
              <w:rPr>
                <w:rFonts w:asciiTheme="minorEastAsia" w:hAnsiTheme="minorEastAsia" w:eastAsiaTheme="minorEastAsia"/>
                <w:highlight w:val="none"/>
              </w:rPr>
              <w:t>%</w:t>
            </w:r>
          </w:p>
          <w:p>
            <w:pPr>
              <w:ind w:firstLine="420" w:firstLineChars="200"/>
              <w:rPr>
                <w:rFonts w:asciiTheme="minorEastAsia" w:hAnsiTheme="minorEastAsia" w:eastAsiaTheme="minorEastAsia"/>
                <w:b/>
                <w:sz w:val="24"/>
                <w:highlight w:val="none"/>
              </w:rPr>
            </w:pPr>
            <w:r>
              <w:rPr>
                <w:rFonts w:asciiTheme="minorEastAsia" w:hAnsiTheme="minorEastAsia" w:eastAsiaTheme="minorEastAsia"/>
                <w:highlight w:val="none"/>
              </w:rPr>
              <mc:AlternateContent>
                <mc:Choice Requires="wps">
                  <w:drawing>
                    <wp:anchor distT="0" distB="0" distL="114300" distR="114300" simplePos="0" relativeHeight="251681792" behindDoc="0" locked="0" layoutInCell="1" allowOverlap="1">
                      <wp:simplePos x="0" y="0"/>
                      <wp:positionH relativeFrom="column">
                        <wp:posOffset>-21590</wp:posOffset>
                      </wp:positionH>
                      <wp:positionV relativeFrom="paragraph">
                        <wp:posOffset>41275</wp:posOffset>
                      </wp:positionV>
                      <wp:extent cx="189865" cy="91440"/>
                      <wp:effectExtent l="4445" t="4445" r="15240" b="18415"/>
                      <wp:wrapNone/>
                      <wp:docPr id="8" name="矩形 36"/>
                      <wp:cNvGraphicFramePr/>
                      <a:graphic xmlns:a="http://schemas.openxmlformats.org/drawingml/2006/main">
                        <a:graphicData uri="http://schemas.microsoft.com/office/word/2010/wordprocessingShape">
                          <wps:wsp>
                            <wps:cNvSpPr/>
                            <wps:spPr>
                              <a:xfrm>
                                <a:off x="0" y="0"/>
                                <a:ext cx="189865" cy="9144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36" o:spid="_x0000_s1026" o:spt="1" style="position:absolute;left:0pt;margin-left:-1.7pt;margin-top:3.25pt;height:7.2pt;width:14.95pt;z-index:251681792;mso-width-relative:page;mso-height-relative:page;" fillcolor="#FFFFFF" filled="t" stroked="t" coordsize="21600,21600" o:gfxdata="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kusav1AAAAAYB&#10;AAAPAAAAAAAAAAEAIAAAACIAAABkcnMvZG93bnJldi54bWxQSwECFAAUAAAACACHTuJARCKQmOYB&#10;AADdAwAADgAAAAAAAAABACAAAAAjAQAAZHJzL2Uyb0RvYy54bWxQSwUGAAAAAAYABgBZAQAAewUA&#10;AAAA&#10;">
                      <v:fill on="t" focussize="0,0"/>
                      <v:stroke color="#000000" joinstyle="miter"/>
                      <v:imagedata o:title=""/>
                      <o:lock v:ext="edit" aspectratio="f"/>
                    </v:rect>
                  </w:pict>
                </mc:Fallback>
              </mc:AlternateContent>
            </w:r>
            <w:r>
              <w:rPr>
                <w:rFonts w:asciiTheme="minorEastAsia" w:hAnsiTheme="minorEastAsia" w:eastAsiaTheme="minorEastAsia"/>
                <w:highlight w:val="none"/>
              </w:rPr>
              <w:t>6%</w:t>
            </w:r>
          </w:p>
          <w:p>
            <w:pPr>
              <w:ind w:firstLine="420" w:firstLineChars="200"/>
              <w:rPr>
                <w:rFonts w:asciiTheme="minorEastAsia" w:hAnsiTheme="minorEastAsia" w:eastAsiaTheme="minorEastAsia"/>
                <w:szCs w:val="21"/>
                <w:highlight w:val="none"/>
                <w:u w:val="single"/>
              </w:rPr>
            </w:pPr>
            <w:r>
              <w:rPr>
                <w:rFonts w:asciiTheme="minorEastAsia" w:hAnsiTheme="minorEastAsia" w:eastAsiaTheme="minorEastAsia"/>
                <w:highlight w:val="none"/>
              </w:rPr>
              <mc:AlternateContent>
                <mc:Choice Requires="wps">
                  <w:drawing>
                    <wp:anchor distT="0" distB="0" distL="114300" distR="114300" simplePos="0" relativeHeight="251682816" behindDoc="0" locked="0" layoutInCell="1" allowOverlap="1">
                      <wp:simplePos x="0" y="0"/>
                      <wp:positionH relativeFrom="column">
                        <wp:posOffset>-21590</wp:posOffset>
                      </wp:positionH>
                      <wp:positionV relativeFrom="paragraph">
                        <wp:posOffset>87630</wp:posOffset>
                      </wp:positionV>
                      <wp:extent cx="189865" cy="91440"/>
                      <wp:effectExtent l="4445" t="4445" r="15240" b="18415"/>
                      <wp:wrapNone/>
                      <wp:docPr id="9" name="矩形 37"/>
                      <wp:cNvGraphicFramePr/>
                      <a:graphic xmlns:a="http://schemas.openxmlformats.org/drawingml/2006/main">
                        <a:graphicData uri="http://schemas.microsoft.com/office/word/2010/wordprocessingShape">
                          <wps:wsp>
                            <wps:cNvSpPr/>
                            <wps:spPr>
                              <a:xfrm>
                                <a:off x="0" y="0"/>
                                <a:ext cx="189865" cy="9144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37" o:spid="_x0000_s1026" o:spt="1" style="position:absolute;left:0pt;margin-left:-1.7pt;margin-top:6.9pt;height:7.2pt;width:14.95pt;z-index:251682816;mso-width-relative:page;mso-height-relative:page;" fillcolor="#FFFFFF" filled="t" stroked="t" coordsize="21600,21600" o:gfxdata="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6a021gAA&#10;AAcBAAAPAAAAAAAAAAEAIAAAACIAAABkcnMvZG93bnJldi54bWxQSwECFAAUAAAACACHTuJAF8SX&#10;vucBAADdAwAADgAAAAAAAAABACAAAAAlAQAAZHJzL2Uyb0RvYy54bWxQSwUGAAAAAAYABgBZAQAA&#10;fgUAAAAA&#10;">
                      <v:fill on="t" focussize="0,0"/>
                      <v:stroke color="#000000" joinstyle="miter"/>
                      <v:imagedata o:title=""/>
                      <o:lock v:ext="edit" aspectratio="f"/>
                    </v:rect>
                  </w:pict>
                </mc:Fallback>
              </mc:AlternateContent>
            </w:r>
            <w:r>
              <w:rPr>
                <w:rFonts w:asciiTheme="minorEastAsia" w:hAnsiTheme="minorEastAsia" w:eastAsiaTheme="minorEastAsia"/>
                <w:highlight w:val="none"/>
              </w:rPr>
              <w:t>3%</w:t>
            </w:r>
          </w:p>
        </w:tc>
        <w:tc>
          <w:tcPr>
            <w:tcW w:w="938" w:type="dxa"/>
            <w:vAlign w:val="center"/>
          </w:tcPr>
          <w:p>
            <w:pPr>
              <w:jc w:val="center"/>
              <w:rPr>
                <w:rFonts w:asciiTheme="minorEastAsia" w:hAnsiTheme="minorEastAsia" w:eastAsiaTheme="minorEastAsia"/>
                <w:szCs w:val="21"/>
                <w:highlight w:val="none"/>
                <w:u w:val="single"/>
              </w:rPr>
            </w:pPr>
            <w:r>
              <w:rPr>
                <w:rFonts w:ascii="宋体" w:hAnsi="宋体"/>
                <w:bCs/>
                <w:szCs w:val="21"/>
                <w:highlight w:val="none"/>
                <w:lang w:val="zh-CN"/>
              </w:rPr>
              <w:t>1.65万吨／年</w:t>
            </w:r>
          </w:p>
        </w:tc>
        <w:tc>
          <w:tcPr>
            <w:tcW w:w="925" w:type="dxa"/>
            <w:gridSpan w:val="2"/>
          </w:tcPr>
          <w:p>
            <w:pPr>
              <w:rPr>
                <w:rFonts w:asciiTheme="minorEastAsia" w:hAnsiTheme="minorEastAsia" w:eastAsiaTheme="minorEastAsia"/>
                <w:szCs w:val="21"/>
                <w:highlight w:val="none"/>
                <w:u w:val="single"/>
              </w:rPr>
            </w:pPr>
          </w:p>
        </w:tc>
        <w:tc>
          <w:tcPr>
            <w:tcW w:w="1037" w:type="dxa"/>
            <w:gridSpan w:val="2"/>
          </w:tcPr>
          <w:p>
            <w:pPr>
              <w:rPr>
                <w:rFonts w:asciiTheme="minorEastAsia" w:hAnsiTheme="minorEastAsia" w:eastAsiaTheme="minorEastAsia"/>
                <w:szCs w:val="21"/>
                <w:highlight w:val="none"/>
                <w:u w:val="single"/>
              </w:rPr>
            </w:pPr>
          </w:p>
        </w:tc>
        <w:tc>
          <w:tcPr>
            <w:tcW w:w="1188" w:type="dxa"/>
          </w:tcPr>
          <w:p>
            <w:pPr>
              <w:rPr>
                <w:rFonts w:asciiTheme="minorEastAsia" w:hAnsiTheme="minorEastAsia" w:eastAsiaTheme="minorEastAsia"/>
                <w:szCs w:val="21"/>
                <w:highlight w:val="none"/>
                <w:u w:val="single"/>
              </w:rPr>
            </w:pPr>
          </w:p>
        </w:tc>
        <w:tc>
          <w:tcPr>
            <w:tcW w:w="1100" w:type="dxa"/>
          </w:tcPr>
          <w:p>
            <w:pPr>
              <w:rPr>
                <w:rFonts w:asciiTheme="minorEastAsia" w:hAnsiTheme="minorEastAsia" w:eastAsiaTheme="minorEastAsia"/>
                <w:szCs w:val="21"/>
                <w:highlight w:val="none"/>
                <w:u w:val="single"/>
              </w:rPr>
            </w:pPr>
          </w:p>
        </w:tc>
        <w:tc>
          <w:tcPr>
            <w:tcW w:w="1175" w:type="dxa"/>
            <w:vAlign w:val="center"/>
          </w:tcPr>
          <w:p>
            <w:pPr>
              <w:jc w:val="center"/>
              <w:rPr>
                <w:rFonts w:asciiTheme="minorEastAsia" w:hAnsiTheme="minorEastAsia" w:eastAsiaTheme="minorEastAsia"/>
                <w:szCs w:val="21"/>
                <w:highlight w:val="none"/>
                <w:u w:val="single"/>
              </w:rPr>
            </w:pPr>
            <w:r>
              <w:rPr>
                <w:rFonts w:hint="eastAsia" w:ascii="宋体" w:hAnsi="宋体"/>
                <w:bCs/>
                <w:spacing w:val="-6"/>
                <w:szCs w:val="21"/>
                <w:highlight w:val="none"/>
                <w:lang w:val="zh-CN"/>
              </w:rPr>
              <w:t>转运石膏</w:t>
            </w:r>
            <w:r>
              <w:rPr>
                <w:rFonts w:ascii="宋体" w:hAnsi="宋体"/>
                <w:bCs/>
                <w:spacing w:val="-6"/>
                <w:szCs w:val="21"/>
                <w:highlight w:val="none"/>
                <w:lang w:val="zh-CN"/>
              </w:rPr>
              <w:t>1.1万吨</w:t>
            </w:r>
            <w:r>
              <w:rPr>
                <w:rFonts w:hint="eastAsia" w:ascii="宋体" w:hAnsi="宋体"/>
                <w:bCs/>
                <w:szCs w:val="21"/>
                <w:highlight w:val="none"/>
                <w:lang w:val="zh-CN"/>
              </w:rPr>
              <w:t>／年</w:t>
            </w:r>
            <w:r>
              <w:rPr>
                <w:rFonts w:hint="eastAsia" w:ascii="宋体" w:hAnsi="宋体"/>
                <w:bCs/>
                <w:spacing w:val="-6"/>
                <w:szCs w:val="21"/>
                <w:highlight w:val="none"/>
                <w:lang w:val="zh-CN"/>
              </w:rPr>
              <w:t>、炉渣</w:t>
            </w:r>
            <w:r>
              <w:rPr>
                <w:rFonts w:ascii="宋体" w:hAnsi="宋体"/>
                <w:bCs/>
                <w:spacing w:val="-6"/>
                <w:szCs w:val="21"/>
                <w:highlight w:val="none"/>
                <w:lang w:val="zh-CN"/>
              </w:rPr>
              <w:t>0.55万吨</w:t>
            </w:r>
            <w:r>
              <w:rPr>
                <w:rFonts w:hint="eastAsia" w:ascii="宋体" w:hAnsi="宋体"/>
                <w:bCs/>
                <w:szCs w:val="21"/>
                <w:highlight w:val="none"/>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1113" w:type="dxa"/>
            <w:vAlign w:val="center"/>
          </w:tcPr>
          <w:p>
            <w:pPr>
              <w:autoSpaceDE w:val="0"/>
              <w:autoSpaceDN w:val="0"/>
              <w:adjustRightInd w:val="0"/>
              <w:jc w:val="center"/>
              <w:rPr>
                <w:rFonts w:ascii="宋体" w:hAnsi="宋体"/>
                <w:bCs/>
                <w:szCs w:val="21"/>
                <w:highlight w:val="none"/>
                <w:lang w:val="zh-CN"/>
              </w:rPr>
            </w:pPr>
            <w:r>
              <w:rPr>
                <w:rFonts w:hint="eastAsia" w:ascii="宋体" w:hAnsi="宋体"/>
                <w:bCs/>
                <w:szCs w:val="21"/>
                <w:highlight w:val="none"/>
                <w:lang w:val="zh-CN"/>
              </w:rPr>
              <w:t>业务外委</w:t>
            </w:r>
          </w:p>
          <w:p>
            <w:pPr>
              <w:jc w:val="center"/>
              <w:rPr>
                <w:rFonts w:asciiTheme="minorEastAsia" w:hAnsiTheme="minorEastAsia" w:eastAsiaTheme="minorEastAsia"/>
                <w:szCs w:val="21"/>
                <w:highlight w:val="none"/>
                <w:u w:val="single"/>
              </w:rPr>
            </w:pPr>
            <w:r>
              <w:rPr>
                <w:rFonts w:hint="eastAsia" w:ascii="宋体" w:hAnsi="宋体"/>
                <w:bCs/>
                <w:szCs w:val="21"/>
                <w:highlight w:val="none"/>
                <w:lang w:val="zh-CN"/>
              </w:rPr>
              <w:t>（元</w:t>
            </w:r>
            <w:r>
              <w:rPr>
                <w:rFonts w:ascii="宋体" w:hAnsi="宋体"/>
                <w:bCs/>
                <w:szCs w:val="21"/>
                <w:highlight w:val="none"/>
                <w:lang w:val="zh-CN"/>
              </w:rPr>
              <w:t>/立方）</w:t>
            </w:r>
          </w:p>
        </w:tc>
        <w:tc>
          <w:tcPr>
            <w:tcW w:w="1237" w:type="dxa"/>
            <w:vMerge w:val="continue"/>
          </w:tcPr>
          <w:p>
            <w:pPr>
              <w:rPr>
                <w:rFonts w:asciiTheme="minorEastAsia" w:hAnsiTheme="minorEastAsia" w:eastAsiaTheme="minorEastAsia"/>
                <w:szCs w:val="21"/>
                <w:highlight w:val="none"/>
                <w:u w:val="single"/>
              </w:rPr>
            </w:pPr>
          </w:p>
        </w:tc>
        <w:tc>
          <w:tcPr>
            <w:tcW w:w="1225" w:type="dxa"/>
            <w:vMerge w:val="continue"/>
          </w:tcPr>
          <w:p>
            <w:pPr>
              <w:rPr>
                <w:rFonts w:asciiTheme="minorEastAsia" w:hAnsiTheme="minorEastAsia" w:eastAsiaTheme="minorEastAsia"/>
                <w:szCs w:val="21"/>
                <w:highlight w:val="none"/>
                <w:u w:val="single"/>
              </w:rPr>
            </w:pPr>
          </w:p>
        </w:tc>
        <w:tc>
          <w:tcPr>
            <w:tcW w:w="938" w:type="dxa"/>
            <w:vAlign w:val="center"/>
          </w:tcPr>
          <w:p>
            <w:pPr>
              <w:jc w:val="center"/>
              <w:rPr>
                <w:rFonts w:asciiTheme="minorEastAsia" w:hAnsiTheme="minorEastAsia" w:eastAsiaTheme="minorEastAsia"/>
                <w:szCs w:val="21"/>
                <w:highlight w:val="none"/>
                <w:u w:val="single"/>
              </w:rPr>
            </w:pPr>
            <w:r>
              <w:rPr>
                <w:rFonts w:ascii="宋体" w:hAnsi="宋体"/>
                <w:bCs/>
                <w:szCs w:val="21"/>
                <w:highlight w:val="none"/>
                <w:lang w:val="zh-CN"/>
              </w:rPr>
              <w:t>30万立方／年</w:t>
            </w:r>
          </w:p>
        </w:tc>
        <w:tc>
          <w:tcPr>
            <w:tcW w:w="925" w:type="dxa"/>
            <w:gridSpan w:val="2"/>
          </w:tcPr>
          <w:p>
            <w:pPr>
              <w:rPr>
                <w:rFonts w:asciiTheme="minorEastAsia" w:hAnsiTheme="minorEastAsia" w:eastAsiaTheme="minorEastAsia"/>
                <w:szCs w:val="21"/>
                <w:highlight w:val="none"/>
                <w:u w:val="single"/>
              </w:rPr>
            </w:pPr>
          </w:p>
        </w:tc>
        <w:tc>
          <w:tcPr>
            <w:tcW w:w="1037" w:type="dxa"/>
            <w:gridSpan w:val="2"/>
          </w:tcPr>
          <w:p>
            <w:pPr>
              <w:rPr>
                <w:rFonts w:asciiTheme="minorEastAsia" w:hAnsiTheme="minorEastAsia" w:eastAsiaTheme="minorEastAsia"/>
                <w:szCs w:val="21"/>
                <w:highlight w:val="none"/>
                <w:u w:val="single"/>
              </w:rPr>
            </w:pPr>
          </w:p>
        </w:tc>
        <w:tc>
          <w:tcPr>
            <w:tcW w:w="1188" w:type="dxa"/>
          </w:tcPr>
          <w:p>
            <w:pPr>
              <w:rPr>
                <w:rFonts w:asciiTheme="minorEastAsia" w:hAnsiTheme="minorEastAsia" w:eastAsiaTheme="minorEastAsia"/>
                <w:szCs w:val="21"/>
                <w:highlight w:val="none"/>
                <w:u w:val="single"/>
              </w:rPr>
            </w:pPr>
          </w:p>
        </w:tc>
        <w:tc>
          <w:tcPr>
            <w:tcW w:w="1100" w:type="dxa"/>
          </w:tcPr>
          <w:p>
            <w:pPr>
              <w:rPr>
                <w:rFonts w:asciiTheme="minorEastAsia" w:hAnsiTheme="minorEastAsia" w:eastAsiaTheme="minorEastAsia"/>
                <w:szCs w:val="21"/>
                <w:highlight w:val="none"/>
                <w:u w:val="single"/>
              </w:rPr>
            </w:pPr>
          </w:p>
        </w:tc>
        <w:tc>
          <w:tcPr>
            <w:tcW w:w="1175" w:type="dxa"/>
            <w:vAlign w:val="center"/>
          </w:tcPr>
          <w:p>
            <w:pPr>
              <w:jc w:val="center"/>
              <w:rPr>
                <w:rFonts w:asciiTheme="minorEastAsia" w:hAnsiTheme="minorEastAsia" w:eastAsiaTheme="minorEastAsia"/>
                <w:szCs w:val="21"/>
                <w:highlight w:val="none"/>
                <w:u w:val="single"/>
              </w:rPr>
            </w:pPr>
            <w:r>
              <w:rPr>
                <w:rFonts w:hint="eastAsia" w:ascii="宋体" w:hAnsi="宋体"/>
                <w:bCs/>
                <w:spacing w:val="-6"/>
                <w:szCs w:val="21"/>
                <w:highlight w:val="none"/>
                <w:lang w:val="zh-CN"/>
              </w:rPr>
              <w:t>年产量</w:t>
            </w:r>
            <w:r>
              <w:rPr>
                <w:rFonts w:ascii="宋体" w:hAnsi="宋体"/>
                <w:bCs/>
                <w:spacing w:val="-6"/>
                <w:szCs w:val="21"/>
                <w:highlight w:val="none"/>
                <w:lang w:val="zh-CN"/>
              </w:rPr>
              <w:t>30万立方加气砌块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Align w:val="center"/>
          </w:tcPr>
          <w:p>
            <w:pPr>
              <w:jc w:val="center"/>
              <w:rPr>
                <w:rFonts w:asciiTheme="minorEastAsia" w:hAnsiTheme="minorEastAsia" w:eastAsiaTheme="minorEastAsia"/>
                <w:szCs w:val="21"/>
                <w:highlight w:val="none"/>
                <w:u w:val="single"/>
              </w:rPr>
            </w:pPr>
            <w:r>
              <w:rPr>
                <w:rFonts w:hint="eastAsia" w:ascii="宋体" w:hAnsi="宋体"/>
                <w:bCs/>
                <w:szCs w:val="21"/>
                <w:highlight w:val="none"/>
                <w:lang w:val="zh-CN"/>
              </w:rPr>
              <w:t>不含税总</w:t>
            </w:r>
            <w:r>
              <w:rPr>
                <w:rFonts w:ascii="宋体" w:hAnsi="宋体"/>
                <w:bCs/>
                <w:szCs w:val="21"/>
                <w:highlight w:val="none"/>
                <w:lang w:val="zh-CN"/>
              </w:rPr>
              <w:t>价</w:t>
            </w:r>
            <w:r>
              <w:rPr>
                <w:rFonts w:hint="eastAsia" w:ascii="宋体" w:hAnsi="宋体"/>
                <w:bCs/>
                <w:szCs w:val="21"/>
                <w:highlight w:val="none"/>
                <w:lang w:val="zh-CN"/>
              </w:rPr>
              <w:t>：（万元）</w:t>
            </w:r>
          </w:p>
        </w:tc>
        <w:tc>
          <w:tcPr>
            <w:tcW w:w="4062" w:type="dxa"/>
            <w:gridSpan w:val="4"/>
          </w:tcPr>
          <w:p>
            <w:pPr>
              <w:rPr>
                <w:rFonts w:asciiTheme="minorEastAsia" w:hAnsiTheme="minorEastAsia" w:eastAsiaTheme="minorEastAsia"/>
                <w:szCs w:val="21"/>
                <w:highlight w:val="none"/>
                <w:u w:val="single"/>
              </w:rPr>
            </w:pPr>
          </w:p>
        </w:tc>
        <w:tc>
          <w:tcPr>
            <w:tcW w:w="1175" w:type="dxa"/>
            <w:gridSpan w:val="2"/>
          </w:tcPr>
          <w:p>
            <w:pPr>
              <w:rPr>
                <w:rFonts w:asciiTheme="minorEastAsia" w:hAnsiTheme="minorEastAsia" w:eastAsiaTheme="minorEastAsia"/>
                <w:szCs w:val="21"/>
                <w:highlight w:val="none"/>
                <w:u w:val="single"/>
              </w:rPr>
            </w:pPr>
            <w:r>
              <w:rPr>
                <w:rFonts w:hint="eastAsia" w:ascii="宋体" w:hAnsi="宋体"/>
                <w:bCs/>
                <w:szCs w:val="21"/>
                <w:highlight w:val="none"/>
                <w:lang w:val="zh-CN"/>
              </w:rPr>
              <w:t>含税总</w:t>
            </w:r>
            <w:r>
              <w:rPr>
                <w:rFonts w:ascii="宋体" w:hAnsi="宋体"/>
                <w:bCs/>
                <w:szCs w:val="21"/>
                <w:highlight w:val="none"/>
                <w:lang w:val="zh-CN"/>
              </w:rPr>
              <w:t>价</w:t>
            </w:r>
            <w:r>
              <w:rPr>
                <w:rFonts w:hint="eastAsia" w:ascii="宋体" w:hAnsi="宋体"/>
                <w:bCs/>
                <w:szCs w:val="21"/>
                <w:highlight w:val="none"/>
                <w:lang w:val="zh-CN"/>
              </w:rPr>
              <w:t>：（万元）</w:t>
            </w:r>
          </w:p>
        </w:tc>
        <w:tc>
          <w:tcPr>
            <w:tcW w:w="3588" w:type="dxa"/>
            <w:gridSpan w:val="4"/>
          </w:tcPr>
          <w:p>
            <w:pPr>
              <w:rPr>
                <w:rFonts w:asciiTheme="minorEastAsia" w:hAnsiTheme="minorEastAsia" w:eastAsiaTheme="minorEastAsia"/>
                <w:szCs w:val="21"/>
                <w:highlight w:val="none"/>
                <w:u w:val="single"/>
              </w:rPr>
            </w:pPr>
          </w:p>
        </w:tc>
      </w:tr>
    </w:tbl>
    <w:p>
      <w:pPr>
        <w:spacing w:line="500" w:lineRule="exact"/>
        <w:rPr>
          <w:rFonts w:asciiTheme="minorEastAsia" w:hAnsiTheme="minorEastAsia" w:eastAsiaTheme="minorEastAsia"/>
          <w:szCs w:val="21"/>
          <w:highlight w:val="none"/>
          <w:u w:val="single"/>
        </w:rPr>
      </w:pPr>
    </w:p>
    <w:p>
      <w:pPr>
        <w:pStyle w:val="235"/>
        <w:tabs>
          <w:tab w:val="left" w:pos="709"/>
        </w:tabs>
        <w:autoSpaceDE w:val="0"/>
        <w:autoSpaceDN w:val="0"/>
        <w:adjustRightInd w:val="0"/>
        <w:spacing w:line="360" w:lineRule="auto"/>
        <w:ind w:firstLine="0" w:firstLineChars="0"/>
        <w:rPr>
          <w:rFonts w:asciiTheme="minorEastAsia" w:hAnsiTheme="minorEastAsia" w:eastAsiaTheme="minorEastAsia"/>
          <w:spacing w:val="-4"/>
          <w:highlight w:val="none"/>
          <w:lang w:val="zh-CN"/>
        </w:rPr>
      </w:pPr>
      <w:r>
        <w:rPr>
          <w:rFonts w:hint="eastAsia" w:asciiTheme="minorEastAsia" w:hAnsiTheme="minorEastAsia" w:eastAsiaTheme="minorEastAsia"/>
          <w:spacing w:val="-4"/>
          <w:highlight w:val="none"/>
          <w:lang w:val="zh-CN"/>
        </w:rPr>
        <w:t>说明：</w:t>
      </w:r>
      <w:r>
        <w:rPr>
          <w:rFonts w:asciiTheme="minorEastAsia" w:hAnsiTheme="minorEastAsia" w:eastAsiaTheme="minorEastAsia"/>
          <w:highlight w:val="none"/>
        </w:rPr>
        <w:t>1、开具发票类型：增值税普通发票、增值税专用发票或其它发票；</w:t>
      </w:r>
    </w:p>
    <w:p>
      <w:pPr>
        <w:pStyle w:val="235"/>
        <w:tabs>
          <w:tab w:val="left" w:pos="709"/>
        </w:tabs>
        <w:autoSpaceDE w:val="0"/>
        <w:autoSpaceDN w:val="0"/>
        <w:adjustRightInd w:val="0"/>
        <w:spacing w:line="360" w:lineRule="auto"/>
        <w:ind w:firstLine="630" w:firstLineChars="300"/>
        <w:rPr>
          <w:rFonts w:asciiTheme="minorEastAsia" w:hAnsiTheme="minorEastAsia" w:eastAsiaTheme="minorEastAsia"/>
          <w:highlight w:val="none"/>
        </w:rPr>
      </w:pPr>
      <w:r>
        <w:rPr>
          <w:rFonts w:asciiTheme="minorEastAsia" w:hAnsiTheme="minorEastAsia" w:eastAsiaTheme="minorEastAsia"/>
          <w:highlight w:val="none"/>
        </w:rPr>
        <w:t>2、税率：开具增值税专用发票的单位填报，现行增值税率有1</w:t>
      </w:r>
      <w:r>
        <w:rPr>
          <w:rFonts w:hint="eastAsia" w:asciiTheme="minorEastAsia" w:hAnsiTheme="minorEastAsia" w:eastAsiaTheme="minorEastAsia"/>
          <w:highlight w:val="none"/>
        </w:rPr>
        <w:t>3</w:t>
      </w:r>
      <w:r>
        <w:rPr>
          <w:rFonts w:asciiTheme="minorEastAsia" w:hAnsiTheme="minorEastAsia" w:eastAsiaTheme="minorEastAsia"/>
          <w:highlight w:val="none"/>
        </w:rPr>
        <w:t>%、</w:t>
      </w:r>
      <w:r>
        <w:rPr>
          <w:rFonts w:hint="eastAsia" w:asciiTheme="minorEastAsia" w:hAnsiTheme="minorEastAsia" w:eastAsiaTheme="minorEastAsia"/>
          <w:highlight w:val="none"/>
        </w:rPr>
        <w:t>9</w:t>
      </w:r>
      <w:r>
        <w:rPr>
          <w:rFonts w:asciiTheme="minorEastAsia" w:hAnsiTheme="minorEastAsia" w:eastAsiaTheme="minorEastAsia"/>
          <w:highlight w:val="none"/>
        </w:rPr>
        <w:t>%、6%及3%。</w:t>
      </w:r>
    </w:p>
    <w:p>
      <w:pPr>
        <w:pStyle w:val="235"/>
        <w:tabs>
          <w:tab w:val="left" w:pos="709"/>
        </w:tabs>
        <w:autoSpaceDE w:val="0"/>
        <w:autoSpaceDN w:val="0"/>
        <w:adjustRightInd w:val="0"/>
        <w:spacing w:line="360" w:lineRule="auto"/>
        <w:ind w:firstLine="630" w:firstLineChars="300"/>
        <w:rPr>
          <w:rFonts w:asciiTheme="minorEastAsia" w:hAnsiTheme="minorEastAsia" w:eastAsiaTheme="minorEastAsia"/>
          <w:highlight w:val="none"/>
        </w:rPr>
      </w:pPr>
      <w:r>
        <w:rPr>
          <w:rFonts w:asciiTheme="minorEastAsia" w:hAnsiTheme="minorEastAsia" w:eastAsiaTheme="minorEastAsia"/>
          <w:highlight w:val="none"/>
        </w:rPr>
        <w:t>3、报价：按项目实际要求，报单价、单项总价及总价。</w:t>
      </w:r>
    </w:p>
    <w:p>
      <w:pPr>
        <w:pStyle w:val="235"/>
        <w:tabs>
          <w:tab w:val="left" w:pos="709"/>
        </w:tabs>
        <w:autoSpaceDE w:val="0"/>
        <w:autoSpaceDN w:val="0"/>
        <w:adjustRightInd w:val="0"/>
        <w:spacing w:line="360" w:lineRule="auto"/>
        <w:ind w:firstLine="606" w:firstLineChars="300"/>
        <w:rPr>
          <w:rFonts w:ascii="宋体" w:hAnsi="宋体"/>
          <w:bCs/>
          <w:highlight w:val="none"/>
          <w:lang w:val="zh-CN"/>
        </w:rPr>
      </w:pPr>
      <w:r>
        <w:rPr>
          <w:rFonts w:asciiTheme="minorEastAsia" w:hAnsiTheme="minorEastAsia" w:eastAsiaTheme="minorEastAsia"/>
          <w:spacing w:val="-4"/>
          <w:highlight w:val="none"/>
          <w:lang w:val="zh-CN"/>
        </w:rPr>
        <w:t>4、</w:t>
      </w:r>
      <w:r>
        <w:rPr>
          <w:rFonts w:hint="eastAsia" w:asciiTheme="minorEastAsia" w:hAnsiTheme="minorEastAsia" w:eastAsiaTheme="minorEastAsia"/>
          <w:bCs/>
          <w:highlight w:val="none"/>
          <w:lang w:val="zh-CN"/>
        </w:rPr>
        <w:t>总</w:t>
      </w:r>
      <w:r>
        <w:rPr>
          <w:rFonts w:asciiTheme="minorEastAsia" w:hAnsiTheme="minorEastAsia" w:eastAsiaTheme="minorEastAsia"/>
          <w:bCs/>
          <w:highlight w:val="none"/>
          <w:lang w:val="zh-CN"/>
        </w:rPr>
        <w:t>价=</w:t>
      </w:r>
      <w:r>
        <w:rPr>
          <w:rFonts w:hint="eastAsia" w:ascii="宋体" w:hAnsi="宋体"/>
          <w:bCs/>
          <w:highlight w:val="none"/>
          <w:lang w:val="zh-CN"/>
        </w:rPr>
        <w:t>物料转运和业务外委</w:t>
      </w:r>
      <w:r>
        <w:rPr>
          <w:rFonts w:asciiTheme="minorEastAsia" w:hAnsiTheme="minorEastAsia" w:eastAsiaTheme="minorEastAsia"/>
          <w:bCs/>
          <w:highlight w:val="none"/>
          <w:lang w:val="zh-CN"/>
        </w:rPr>
        <w:t>单项总价之和。</w:t>
      </w:r>
    </w:p>
    <w:p>
      <w:pPr>
        <w:pStyle w:val="235"/>
        <w:tabs>
          <w:tab w:val="left" w:pos="709"/>
        </w:tabs>
        <w:autoSpaceDE w:val="0"/>
        <w:autoSpaceDN w:val="0"/>
        <w:adjustRightInd w:val="0"/>
        <w:spacing w:line="360" w:lineRule="auto"/>
        <w:rPr>
          <w:rFonts w:asciiTheme="minorEastAsia" w:hAnsiTheme="minorEastAsia" w:eastAsiaTheme="minorEastAsia"/>
          <w:bCs/>
          <w:highlight w:val="none"/>
        </w:rPr>
      </w:pPr>
      <w:r>
        <w:rPr>
          <w:rFonts w:hint="eastAsia" w:asciiTheme="minorEastAsia" w:hAnsiTheme="minorEastAsia" w:eastAsiaTheme="minorEastAsia"/>
          <w:bCs/>
          <w:highlight w:val="none"/>
        </w:rPr>
        <w:t xml:space="preserve">  5、如出现投标人的开票类型或者可开增值税发票税率不一致时，按投标人的不含税报价进行评审。</w:t>
      </w:r>
    </w:p>
    <w:p>
      <w:pPr>
        <w:pStyle w:val="235"/>
        <w:tabs>
          <w:tab w:val="left" w:pos="709"/>
        </w:tabs>
        <w:autoSpaceDE w:val="0"/>
        <w:autoSpaceDN w:val="0"/>
        <w:adjustRightInd w:val="0"/>
        <w:spacing w:line="360" w:lineRule="auto"/>
        <w:ind w:firstLine="630" w:firstLineChars="300"/>
        <w:rPr>
          <w:rFonts w:cs="宋体"/>
          <w:color w:val="000000"/>
          <w:highlight w:val="none"/>
          <w:shd w:val="clear" w:color="auto" w:fill="FFFFFF"/>
        </w:rPr>
      </w:pPr>
      <w:r>
        <w:rPr>
          <w:rFonts w:hint="eastAsia" w:asciiTheme="minorEastAsia" w:hAnsiTheme="minorEastAsia" w:eastAsiaTheme="minorEastAsia"/>
          <w:bCs/>
          <w:highlight w:val="none"/>
        </w:rPr>
        <w:t>6、</w:t>
      </w:r>
      <w:r>
        <w:rPr>
          <w:rFonts w:cs="宋体"/>
          <w:color w:val="000000"/>
          <w:highlight w:val="none"/>
          <w:shd w:val="clear" w:color="auto" w:fill="FFFFFF"/>
        </w:rPr>
        <w:t>如因国家税收政策调整或其他任何原因，承包人实际开具增值税专用发票税率与上述税率不一致的，应按不含税价格不变的原则调整本合同价格</w:t>
      </w:r>
      <w:r>
        <w:rPr>
          <w:rFonts w:hint="eastAsia" w:cs="宋体"/>
          <w:color w:val="000000"/>
          <w:highlight w:val="none"/>
          <w:shd w:val="clear" w:color="auto" w:fill="FFFFFF"/>
        </w:rPr>
        <w:t>。</w:t>
      </w:r>
    </w:p>
    <w:p>
      <w:pPr>
        <w:pStyle w:val="235"/>
        <w:tabs>
          <w:tab w:val="left" w:pos="709"/>
        </w:tabs>
        <w:autoSpaceDE w:val="0"/>
        <w:autoSpaceDN w:val="0"/>
        <w:adjustRightInd w:val="0"/>
        <w:spacing w:line="360" w:lineRule="auto"/>
        <w:ind w:firstLine="630" w:firstLineChars="300"/>
        <w:rPr>
          <w:rFonts w:cs="宋体"/>
          <w:color w:val="000000"/>
          <w:highlight w:val="none"/>
          <w:shd w:val="clear" w:color="auto" w:fill="FFFFFF"/>
        </w:rPr>
      </w:pPr>
      <w:r>
        <w:rPr>
          <w:rFonts w:hint="eastAsia" w:cs="宋体"/>
          <w:color w:val="000000"/>
          <w:highlight w:val="none"/>
          <w:shd w:val="clear" w:color="auto" w:fill="FFFFFF"/>
        </w:rPr>
        <w:t>7、以上报价保留2位小数。</w:t>
      </w:r>
    </w:p>
    <w:p>
      <w:pPr>
        <w:pStyle w:val="235"/>
        <w:tabs>
          <w:tab w:val="left" w:pos="709"/>
        </w:tabs>
        <w:autoSpaceDE w:val="0"/>
        <w:autoSpaceDN w:val="0"/>
        <w:adjustRightInd w:val="0"/>
        <w:spacing w:line="360" w:lineRule="auto"/>
        <w:ind w:firstLine="606" w:firstLineChars="300"/>
        <w:rPr>
          <w:rFonts w:asciiTheme="minorEastAsia" w:hAnsiTheme="minorEastAsia" w:eastAsiaTheme="minorEastAsia"/>
          <w:spacing w:val="-4"/>
          <w:highlight w:val="none"/>
          <w:lang w:val="zh-CN"/>
        </w:rPr>
      </w:pPr>
      <w:r>
        <w:rPr>
          <w:rFonts w:hint="eastAsia" w:asciiTheme="minorEastAsia" w:hAnsiTheme="minorEastAsia" w:eastAsiaTheme="minorEastAsia"/>
          <w:spacing w:val="-4"/>
          <w:highlight w:val="none"/>
        </w:rPr>
        <w:t>7</w:t>
      </w:r>
      <w:r>
        <w:rPr>
          <w:rFonts w:asciiTheme="minorEastAsia" w:hAnsiTheme="minorEastAsia" w:eastAsiaTheme="minorEastAsia"/>
          <w:spacing w:val="-4"/>
          <w:highlight w:val="none"/>
          <w:lang w:val="zh-CN"/>
        </w:rPr>
        <w:t>、物料转运为由电厂脱硫石膏库、炉渣仓内脱硫石膏、炉渣通过装载车辆转运到发包方厂区指定的石膏库和炉渣堆场中。</w:t>
      </w:r>
    </w:p>
    <w:p>
      <w:pPr>
        <w:pStyle w:val="235"/>
        <w:tabs>
          <w:tab w:val="left" w:pos="851"/>
        </w:tabs>
        <w:autoSpaceDE w:val="0"/>
        <w:autoSpaceDN w:val="0"/>
        <w:adjustRightInd w:val="0"/>
        <w:spacing w:line="348" w:lineRule="auto"/>
        <w:ind w:firstLine="606" w:firstLineChars="300"/>
        <w:rPr>
          <w:rFonts w:asciiTheme="minorEastAsia" w:hAnsiTheme="minorEastAsia" w:eastAsiaTheme="minorEastAsia"/>
          <w:spacing w:val="-4"/>
          <w:highlight w:val="none"/>
          <w:lang w:val="zh-CN"/>
        </w:rPr>
      </w:pPr>
      <w:r>
        <w:rPr>
          <w:rFonts w:hint="eastAsia" w:asciiTheme="minorEastAsia" w:hAnsiTheme="minorEastAsia" w:eastAsiaTheme="minorEastAsia"/>
          <w:spacing w:val="-4"/>
          <w:highlight w:val="none"/>
        </w:rPr>
        <w:t>8</w:t>
      </w:r>
      <w:r>
        <w:rPr>
          <w:rFonts w:asciiTheme="minorEastAsia" w:hAnsiTheme="minorEastAsia" w:eastAsiaTheme="minorEastAsia"/>
          <w:spacing w:val="-4"/>
          <w:highlight w:val="none"/>
          <w:lang w:val="zh-CN"/>
        </w:rPr>
        <w:t>、业务外</w:t>
      </w:r>
      <w:r>
        <w:rPr>
          <w:rFonts w:hint="eastAsia" w:asciiTheme="minorEastAsia" w:hAnsiTheme="minorEastAsia" w:eastAsiaTheme="minorEastAsia"/>
          <w:spacing w:val="-4"/>
          <w:highlight w:val="none"/>
          <w:lang w:val="zh-CN"/>
        </w:rPr>
        <w:t>委为除物料转运外其他加气砌块生产辅助业务外包的所有项目。</w:t>
      </w:r>
    </w:p>
    <w:p>
      <w:pPr>
        <w:pStyle w:val="235"/>
        <w:tabs>
          <w:tab w:val="left" w:pos="851"/>
        </w:tabs>
        <w:autoSpaceDE w:val="0"/>
        <w:autoSpaceDN w:val="0"/>
        <w:adjustRightInd w:val="0"/>
        <w:spacing w:line="348" w:lineRule="auto"/>
        <w:ind w:firstLine="606" w:firstLineChars="300"/>
        <w:rPr>
          <w:rFonts w:asciiTheme="minorEastAsia" w:hAnsiTheme="minorEastAsia" w:eastAsiaTheme="minorEastAsia"/>
          <w:spacing w:val="-4"/>
          <w:highlight w:val="none"/>
          <w:lang w:val="zh-CN"/>
        </w:rPr>
      </w:pPr>
      <w:r>
        <w:rPr>
          <w:rFonts w:hint="eastAsia" w:asciiTheme="minorEastAsia" w:hAnsiTheme="minorEastAsia" w:eastAsiaTheme="minorEastAsia"/>
          <w:spacing w:val="-4"/>
          <w:highlight w:val="none"/>
        </w:rPr>
        <w:t>9</w:t>
      </w:r>
      <w:r>
        <w:rPr>
          <w:rFonts w:asciiTheme="minorEastAsia" w:hAnsiTheme="minorEastAsia" w:eastAsiaTheme="minorEastAsia"/>
          <w:spacing w:val="-4"/>
          <w:highlight w:val="none"/>
          <w:lang w:val="zh-CN"/>
        </w:rPr>
        <w:t>、</w:t>
      </w:r>
      <w:r>
        <w:rPr>
          <w:rFonts w:hint="eastAsia" w:asciiTheme="minorEastAsia" w:hAnsiTheme="minorEastAsia" w:eastAsiaTheme="minorEastAsia"/>
          <w:highlight w:val="none"/>
        </w:rPr>
        <w:t>采购人</w:t>
      </w:r>
      <w:r>
        <w:rPr>
          <w:rFonts w:asciiTheme="minorEastAsia" w:hAnsiTheme="minorEastAsia" w:eastAsiaTheme="minorEastAsia"/>
          <w:highlight w:val="none"/>
        </w:rPr>
        <w:t>提供的项目业务估量仅供</w:t>
      </w:r>
      <w:r>
        <w:rPr>
          <w:rFonts w:hint="eastAsia" w:asciiTheme="minorEastAsia" w:hAnsiTheme="minorEastAsia" w:eastAsiaTheme="minorEastAsia"/>
          <w:highlight w:val="none"/>
        </w:rPr>
        <w:t>投标人</w:t>
      </w:r>
      <w:r>
        <w:rPr>
          <w:rFonts w:asciiTheme="minorEastAsia" w:hAnsiTheme="minorEastAsia" w:eastAsiaTheme="minorEastAsia"/>
          <w:highlight w:val="none"/>
        </w:rPr>
        <w:t>报价参考</w:t>
      </w:r>
      <w:r>
        <w:rPr>
          <w:rFonts w:hint="eastAsia" w:asciiTheme="minorEastAsia" w:hAnsiTheme="minorEastAsia" w:eastAsiaTheme="minorEastAsia"/>
          <w:highlight w:val="none"/>
        </w:rPr>
        <w:t>，</w:t>
      </w:r>
      <w:r>
        <w:rPr>
          <w:rFonts w:asciiTheme="minorEastAsia" w:hAnsiTheme="minorEastAsia" w:eastAsiaTheme="minorEastAsia"/>
          <w:highlight w:val="none"/>
        </w:rPr>
        <w:t>不作为合同结算依据</w:t>
      </w:r>
      <w:r>
        <w:rPr>
          <w:rFonts w:hint="eastAsia" w:asciiTheme="minorEastAsia" w:hAnsiTheme="minorEastAsia" w:eastAsiaTheme="minorEastAsia"/>
          <w:highlight w:val="none"/>
        </w:rPr>
        <w:t>，最终以合同单价及实际发生的业务量结算。</w:t>
      </w:r>
    </w:p>
    <w:p>
      <w:pPr>
        <w:pStyle w:val="235"/>
        <w:tabs>
          <w:tab w:val="left" w:pos="851"/>
        </w:tabs>
        <w:autoSpaceDE w:val="0"/>
        <w:autoSpaceDN w:val="0"/>
        <w:adjustRightInd w:val="0"/>
        <w:spacing w:line="348" w:lineRule="auto"/>
        <w:ind w:firstLine="606" w:firstLineChars="300"/>
        <w:rPr>
          <w:rFonts w:asciiTheme="minorEastAsia" w:hAnsiTheme="minorEastAsia" w:eastAsiaTheme="minorEastAsia"/>
          <w:spacing w:val="-4"/>
          <w:highlight w:val="none"/>
          <w:lang w:val="zh-CN"/>
        </w:rPr>
      </w:pPr>
      <w:r>
        <w:rPr>
          <w:rFonts w:hint="eastAsia" w:asciiTheme="minorEastAsia" w:hAnsiTheme="minorEastAsia" w:eastAsiaTheme="minorEastAsia"/>
          <w:spacing w:val="-4"/>
          <w:highlight w:val="none"/>
        </w:rPr>
        <w:t>10</w:t>
      </w:r>
      <w:r>
        <w:rPr>
          <w:rFonts w:asciiTheme="minorEastAsia" w:hAnsiTheme="minorEastAsia" w:eastAsiaTheme="minorEastAsia"/>
          <w:spacing w:val="-4"/>
          <w:highlight w:val="none"/>
          <w:lang w:val="zh-CN"/>
        </w:rPr>
        <w:t>、以上价格包含加气砌块生产辅助业务外</w:t>
      </w:r>
      <w:r>
        <w:rPr>
          <w:rFonts w:hint="eastAsia" w:asciiTheme="minorEastAsia" w:hAnsiTheme="minorEastAsia" w:eastAsiaTheme="minorEastAsia"/>
          <w:spacing w:val="-4"/>
          <w:highlight w:val="none"/>
          <w:lang w:val="zh-CN"/>
        </w:rPr>
        <w:t>委项目执行过程中所产生的可预见费用和不可预见费用</w:t>
      </w:r>
      <w:r>
        <w:rPr>
          <w:rFonts w:hint="eastAsia" w:asciiTheme="minorEastAsia" w:hAnsiTheme="minorEastAsia" w:eastAsiaTheme="minorEastAsia"/>
          <w:spacing w:val="-4"/>
          <w:highlight w:val="none"/>
        </w:rPr>
        <w:t>。</w:t>
      </w:r>
    </w:p>
    <w:p>
      <w:pPr>
        <w:pStyle w:val="22"/>
        <w:ind w:firstLine="210" w:firstLineChars="100"/>
        <w:rPr>
          <w:rFonts w:asciiTheme="minorEastAsia" w:hAnsiTheme="minorEastAsia" w:eastAsiaTheme="minorEastAsia"/>
          <w:szCs w:val="21"/>
          <w:highlight w:val="none"/>
        </w:rPr>
      </w:pPr>
    </w:p>
    <w:p>
      <w:pPr>
        <w:pStyle w:val="22"/>
        <w:ind w:firstLine="210" w:firstLineChars="100"/>
        <w:rPr>
          <w:rFonts w:asciiTheme="minorEastAsia" w:hAnsiTheme="minorEastAsia" w:eastAsiaTheme="minorEastAsia"/>
          <w:szCs w:val="21"/>
          <w:highlight w:val="none"/>
        </w:rPr>
      </w:pPr>
    </w:p>
    <w:p>
      <w:pPr>
        <w:pStyle w:val="22"/>
        <w:ind w:firstLine="210" w:firstLineChars="100"/>
        <w:rPr>
          <w:rFonts w:asciiTheme="minorEastAsia" w:hAnsiTheme="minorEastAsia" w:eastAsiaTheme="minorEastAsia"/>
          <w:szCs w:val="21"/>
          <w:highlight w:val="none"/>
        </w:rPr>
      </w:pPr>
    </w:p>
    <w:p>
      <w:pPr>
        <w:pStyle w:val="22"/>
        <w:ind w:firstLine="210" w:firstLineChars="1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投标人认为有必要说明的事项：</w:t>
      </w:r>
    </w:p>
    <w:p>
      <w:pPr>
        <w:pStyle w:val="22"/>
        <w:spacing w:line="360" w:lineRule="atLeast"/>
        <w:rPr>
          <w:rFonts w:asciiTheme="minorEastAsia" w:hAnsiTheme="minorEastAsia" w:eastAsiaTheme="minorEastAsia"/>
          <w:szCs w:val="21"/>
          <w:highlight w:val="none"/>
        </w:rPr>
      </w:pPr>
    </w:p>
    <w:p>
      <w:pPr>
        <w:autoSpaceDE w:val="0"/>
        <w:autoSpaceDN w:val="0"/>
        <w:adjustRightInd w:val="0"/>
        <w:spacing w:line="48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投标人名称：（盖章）</w:t>
      </w:r>
    </w:p>
    <w:p>
      <w:pPr>
        <w:autoSpaceDE w:val="0"/>
        <w:autoSpaceDN w:val="0"/>
        <w:adjustRightInd w:val="0"/>
        <w:spacing w:line="480" w:lineRule="auto"/>
        <w:ind w:firstLine="210" w:firstLineChars="1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投标人法人代表（或其委托代理人）：（签字或盖章）</w:t>
      </w:r>
    </w:p>
    <w:p>
      <w:pPr>
        <w:pStyle w:val="22"/>
        <w:spacing w:line="360" w:lineRule="atLeast"/>
        <w:ind w:left="6521" w:firstLine="210" w:firstLineChars="10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日期：</w:t>
      </w:r>
      <w:r>
        <w:rPr>
          <w:rFonts w:asciiTheme="minorEastAsia" w:hAnsiTheme="minorEastAsia" w:eastAsiaTheme="minorEastAsia"/>
          <w:szCs w:val="21"/>
          <w:highlight w:val="none"/>
        </w:rPr>
        <w:t>201</w:t>
      </w:r>
      <w:r>
        <w:rPr>
          <w:rFonts w:hint="eastAsia" w:asciiTheme="minorEastAsia" w:hAnsiTheme="minorEastAsia" w:eastAsiaTheme="minorEastAsia"/>
          <w:szCs w:val="21"/>
          <w:highlight w:val="none"/>
        </w:rPr>
        <w:t>9年月日</w:t>
      </w:r>
    </w:p>
    <w:sectPr>
      <w:pgSz w:w="11906" w:h="16838"/>
      <w:pgMar w:top="1797" w:right="1440" w:bottom="1797" w:left="1440" w:header="794" w:footer="794"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left="1260" w:hanging="1260"/>
      <w:jc w:val="center"/>
    </w:pPr>
    <w:r>
      <w:fldChar w:fldCharType="begin"/>
    </w:r>
    <w:r>
      <w:instrText xml:space="preserve"> PAGE   \* MERGEFORMAT </w:instrText>
    </w:r>
    <w:r>
      <w:fldChar w:fldCharType="separate"/>
    </w:r>
    <w:r>
      <w:rPr>
        <w:lang w:val="zh-CN"/>
      </w:rPr>
      <w:t>3</w:t>
    </w:r>
    <w:r>
      <w:rPr>
        <w:lang w:val="zh-CN"/>
      </w:rP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Cs w:val="18"/>
      </w:rPr>
    </w:pPr>
    <w:r>
      <w:fldChar w:fldCharType="begin"/>
    </w:r>
    <w:r>
      <w:instrText xml:space="preserve"> PAGE   \* MERGEFORMAT </w:instrText>
    </w:r>
    <w:r>
      <w:fldChar w:fldCharType="separate"/>
    </w:r>
    <w: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6CE"/>
    <w:multiLevelType w:val="multilevel"/>
    <w:tmpl w:val="04D176C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D13EBD"/>
    <w:multiLevelType w:val="multilevel"/>
    <w:tmpl w:val="06D13EBD"/>
    <w:lvl w:ilvl="0" w:tentative="0">
      <w:start w:val="1"/>
      <w:numFmt w:val="decimal"/>
      <w:pStyle w:val="104"/>
      <w:lvlText w:val="表%1"/>
      <w:lvlJc w:val="left"/>
      <w:pPr>
        <w:tabs>
          <w:tab w:val="left" w:pos="1266"/>
        </w:tabs>
        <w:ind w:left="1266" w:hanging="840"/>
      </w:pPr>
      <w:rPr>
        <w:rFonts w:hint="default" w:ascii="Times New Roman" w:hAnsi="Times New Roman" w:cs="Times New Roman"/>
      </w:rPr>
    </w:lvl>
    <w:lvl w:ilvl="1" w:tentative="0">
      <w:start w:val="1"/>
      <w:numFmt w:val="lowerLetter"/>
      <w:pStyle w:val="3"/>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pStyle w:val="5"/>
      <w:lvlText w:val="%4."/>
      <w:lvlJc w:val="left"/>
      <w:pPr>
        <w:tabs>
          <w:tab w:val="left" w:pos="2880"/>
        </w:tabs>
        <w:ind w:left="2880" w:hanging="360"/>
      </w:pPr>
    </w:lvl>
    <w:lvl w:ilvl="4" w:tentative="0">
      <w:start w:val="1"/>
      <w:numFmt w:val="decimal"/>
      <w:pStyle w:val="6"/>
      <w:lvlText w:val="%5."/>
      <w:lvlJc w:val="left"/>
      <w:pPr>
        <w:tabs>
          <w:tab w:val="left" w:pos="3600"/>
        </w:tabs>
        <w:ind w:left="3600" w:hanging="360"/>
      </w:pPr>
    </w:lvl>
    <w:lvl w:ilvl="5" w:tentative="0">
      <w:start w:val="1"/>
      <w:numFmt w:val="decimal"/>
      <w:pStyle w:val="7"/>
      <w:lvlText w:val="%6."/>
      <w:lvlJc w:val="left"/>
      <w:pPr>
        <w:tabs>
          <w:tab w:val="left" w:pos="4320"/>
        </w:tabs>
        <w:ind w:left="4320" w:hanging="360"/>
      </w:pPr>
    </w:lvl>
    <w:lvl w:ilvl="6" w:tentative="0">
      <w:start w:val="1"/>
      <w:numFmt w:val="decimal"/>
      <w:pStyle w:val="8"/>
      <w:lvlText w:val="%7."/>
      <w:lvlJc w:val="left"/>
      <w:pPr>
        <w:tabs>
          <w:tab w:val="left" w:pos="5040"/>
        </w:tabs>
        <w:ind w:left="5040" w:hanging="360"/>
      </w:pPr>
    </w:lvl>
    <w:lvl w:ilvl="7" w:tentative="0">
      <w:start w:val="1"/>
      <w:numFmt w:val="decimal"/>
      <w:pStyle w:val="9"/>
      <w:lvlText w:val="%8."/>
      <w:lvlJc w:val="left"/>
      <w:pPr>
        <w:tabs>
          <w:tab w:val="left" w:pos="5760"/>
        </w:tabs>
        <w:ind w:left="5760" w:hanging="360"/>
      </w:pPr>
    </w:lvl>
    <w:lvl w:ilvl="8" w:tentative="0">
      <w:start w:val="1"/>
      <w:numFmt w:val="decimal"/>
      <w:pStyle w:val="10"/>
      <w:lvlText w:val="%9."/>
      <w:lvlJc w:val="left"/>
      <w:pPr>
        <w:tabs>
          <w:tab w:val="left" w:pos="6480"/>
        </w:tabs>
        <w:ind w:left="6480" w:hanging="360"/>
      </w:pPr>
    </w:lvl>
  </w:abstractNum>
  <w:abstractNum w:abstractNumId="2">
    <w:nsid w:val="0D4678E3"/>
    <w:multiLevelType w:val="multilevel"/>
    <w:tmpl w:val="0D4678E3"/>
    <w:lvl w:ilvl="0" w:tentative="0">
      <w:start w:val="5"/>
      <w:numFmt w:val="decimal"/>
      <w:lvlText w:val="%1."/>
      <w:lvlJc w:val="left"/>
      <w:pPr>
        <w:tabs>
          <w:tab w:val="left" w:pos="420"/>
        </w:tabs>
        <w:ind w:left="420" w:hanging="420"/>
      </w:pPr>
      <w:rPr>
        <w:rFonts w:hint="eastAsia"/>
      </w:rPr>
    </w:lvl>
    <w:lvl w:ilvl="1" w:tentative="0">
      <w:start w:val="1"/>
      <w:numFmt w:val="decimal"/>
      <w:isLgl/>
      <w:lvlText w:val="%1.%2"/>
      <w:lvlJc w:val="left"/>
      <w:pPr>
        <w:tabs>
          <w:tab w:val="left" w:pos="840"/>
        </w:tabs>
        <w:ind w:left="840" w:hanging="840"/>
      </w:pPr>
      <w:rPr>
        <w:rFonts w:hint="default"/>
      </w:rPr>
    </w:lvl>
    <w:lvl w:ilvl="2" w:tentative="0">
      <w:start w:val="1"/>
      <w:numFmt w:val="decimal"/>
      <w:isLgl/>
      <w:lvlText w:val="%1.%2.%3"/>
      <w:lvlJc w:val="left"/>
      <w:pPr>
        <w:tabs>
          <w:tab w:val="left" w:pos="1080"/>
        </w:tabs>
        <w:ind w:left="1080" w:hanging="1080"/>
      </w:pPr>
      <w:rPr>
        <w:rFonts w:hint="default"/>
      </w:rPr>
    </w:lvl>
    <w:lvl w:ilvl="3" w:tentative="0">
      <w:start w:val="1"/>
      <w:numFmt w:val="decimal"/>
      <w:isLgl/>
      <w:lvlText w:val="%1.%2.%3.%4"/>
      <w:lvlJc w:val="left"/>
      <w:pPr>
        <w:tabs>
          <w:tab w:val="left" w:pos="1440"/>
        </w:tabs>
        <w:ind w:left="1440" w:hanging="1440"/>
      </w:pPr>
      <w:rPr>
        <w:rFonts w:hint="default"/>
      </w:rPr>
    </w:lvl>
    <w:lvl w:ilvl="4" w:tentative="0">
      <w:start w:val="1"/>
      <w:numFmt w:val="decimal"/>
      <w:isLgl/>
      <w:lvlText w:val="%1.%2.%3.%4.%5"/>
      <w:lvlJc w:val="left"/>
      <w:pPr>
        <w:tabs>
          <w:tab w:val="left" w:pos="2160"/>
        </w:tabs>
        <w:ind w:left="2160" w:hanging="2160"/>
      </w:pPr>
      <w:rPr>
        <w:rFonts w:hint="default"/>
      </w:rPr>
    </w:lvl>
    <w:lvl w:ilvl="5" w:tentative="0">
      <w:start w:val="1"/>
      <w:numFmt w:val="decimal"/>
      <w:isLgl/>
      <w:lvlText w:val="%1.%2.%3.%4.%5.%6"/>
      <w:lvlJc w:val="left"/>
      <w:pPr>
        <w:tabs>
          <w:tab w:val="left" w:pos="2520"/>
        </w:tabs>
        <w:ind w:left="2520" w:hanging="2520"/>
      </w:pPr>
      <w:rPr>
        <w:rFonts w:hint="default"/>
      </w:rPr>
    </w:lvl>
    <w:lvl w:ilvl="6" w:tentative="0">
      <w:start w:val="1"/>
      <w:numFmt w:val="decimal"/>
      <w:isLgl/>
      <w:lvlText w:val="%1.%2.%3.%4.%5.%6.%7"/>
      <w:lvlJc w:val="left"/>
      <w:pPr>
        <w:tabs>
          <w:tab w:val="left" w:pos="2880"/>
        </w:tabs>
        <w:ind w:left="2880" w:hanging="2880"/>
      </w:pPr>
      <w:rPr>
        <w:rFonts w:hint="default"/>
      </w:rPr>
    </w:lvl>
    <w:lvl w:ilvl="7" w:tentative="0">
      <w:start w:val="1"/>
      <w:numFmt w:val="decimal"/>
      <w:isLgl/>
      <w:lvlText w:val="%1.%2.%3.%4.%5.%6.%7.%8"/>
      <w:lvlJc w:val="left"/>
      <w:pPr>
        <w:tabs>
          <w:tab w:val="left" w:pos="3240"/>
        </w:tabs>
        <w:ind w:left="3240" w:hanging="3240"/>
      </w:pPr>
      <w:rPr>
        <w:rFonts w:hint="default"/>
      </w:rPr>
    </w:lvl>
    <w:lvl w:ilvl="8" w:tentative="0">
      <w:start w:val="1"/>
      <w:numFmt w:val="decimal"/>
      <w:isLgl/>
      <w:lvlText w:val="%1.%2.%3.%4.%5.%6.%7.%8.%9"/>
      <w:lvlJc w:val="left"/>
      <w:pPr>
        <w:tabs>
          <w:tab w:val="left" w:pos="3600"/>
        </w:tabs>
        <w:ind w:left="3600" w:hanging="3600"/>
      </w:pPr>
      <w:rPr>
        <w:rFonts w:hint="default"/>
      </w:rPr>
    </w:lvl>
  </w:abstractNum>
  <w:abstractNum w:abstractNumId="3">
    <w:nsid w:val="0F3E7DD0"/>
    <w:multiLevelType w:val="multilevel"/>
    <w:tmpl w:val="0F3E7DD0"/>
    <w:lvl w:ilvl="0" w:tentative="0">
      <w:start w:val="1"/>
      <w:numFmt w:val="decimal"/>
      <w:lvlText w:val="%1."/>
      <w:lvlJc w:val="left"/>
      <w:pPr>
        <w:ind w:left="704" w:hanging="420"/>
      </w:pPr>
      <w:rPr>
        <w:rFonts w:hint="eastAsia"/>
      </w:rPr>
    </w:lvl>
    <w:lvl w:ilvl="1" w:tentative="0">
      <w:start w:val="1"/>
      <w:numFmt w:val="decimal"/>
      <w:lvlText w:val="%1.%2"/>
      <w:lvlJc w:val="left"/>
      <w:pPr>
        <w:ind w:left="1332" w:hanging="420"/>
      </w:pPr>
      <w:rPr>
        <w:rFonts w:hint="eastAsia"/>
      </w:rPr>
    </w:lvl>
    <w:lvl w:ilvl="2" w:tentative="0">
      <w:start w:val="1"/>
      <w:numFmt w:val="lowerRoman"/>
      <w:lvlText w:val="%3."/>
      <w:lvlJc w:val="right"/>
      <w:pPr>
        <w:ind w:left="1752" w:hanging="420"/>
      </w:pPr>
      <w:rPr>
        <w:rFonts w:hint="eastAsia"/>
      </w:rPr>
    </w:lvl>
    <w:lvl w:ilvl="3" w:tentative="0">
      <w:start w:val="1"/>
      <w:numFmt w:val="decimal"/>
      <w:lvlText w:val="%4."/>
      <w:lvlJc w:val="left"/>
      <w:pPr>
        <w:ind w:left="2172" w:hanging="420"/>
      </w:pPr>
      <w:rPr>
        <w:rFonts w:hint="eastAsia"/>
      </w:rPr>
    </w:lvl>
    <w:lvl w:ilvl="4" w:tentative="0">
      <w:start w:val="1"/>
      <w:numFmt w:val="lowerLetter"/>
      <w:lvlText w:val="%5)"/>
      <w:lvlJc w:val="left"/>
      <w:pPr>
        <w:ind w:left="2592" w:hanging="420"/>
      </w:pPr>
      <w:rPr>
        <w:rFonts w:hint="eastAsia"/>
      </w:rPr>
    </w:lvl>
    <w:lvl w:ilvl="5" w:tentative="0">
      <w:start w:val="1"/>
      <w:numFmt w:val="lowerRoman"/>
      <w:lvlText w:val="%6."/>
      <w:lvlJc w:val="right"/>
      <w:pPr>
        <w:ind w:left="3012" w:hanging="420"/>
      </w:pPr>
      <w:rPr>
        <w:rFonts w:hint="eastAsia"/>
      </w:rPr>
    </w:lvl>
    <w:lvl w:ilvl="6" w:tentative="0">
      <w:start w:val="1"/>
      <w:numFmt w:val="decimal"/>
      <w:lvlText w:val="%7."/>
      <w:lvlJc w:val="left"/>
      <w:pPr>
        <w:ind w:left="3432" w:hanging="420"/>
      </w:pPr>
      <w:rPr>
        <w:rFonts w:hint="eastAsia"/>
      </w:rPr>
    </w:lvl>
    <w:lvl w:ilvl="7" w:tentative="0">
      <w:start w:val="1"/>
      <w:numFmt w:val="lowerLetter"/>
      <w:lvlText w:val="%8)"/>
      <w:lvlJc w:val="left"/>
      <w:pPr>
        <w:ind w:left="3852" w:hanging="420"/>
      </w:pPr>
      <w:rPr>
        <w:rFonts w:hint="eastAsia"/>
      </w:rPr>
    </w:lvl>
    <w:lvl w:ilvl="8" w:tentative="0">
      <w:start w:val="1"/>
      <w:numFmt w:val="lowerRoman"/>
      <w:lvlText w:val="%9."/>
      <w:lvlJc w:val="right"/>
      <w:pPr>
        <w:ind w:left="4272" w:hanging="420"/>
      </w:pPr>
      <w:rPr>
        <w:rFonts w:hint="eastAsia"/>
      </w:rPr>
    </w:lvl>
  </w:abstractNum>
  <w:abstractNum w:abstractNumId="4">
    <w:nsid w:val="19E1120D"/>
    <w:multiLevelType w:val="multilevel"/>
    <w:tmpl w:val="19E1120D"/>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567"/>
        </w:tabs>
        <w:ind w:left="851" w:firstLine="49"/>
      </w:pPr>
      <w:rPr>
        <w:rFonts w:hint="eastAsia"/>
        <w:lang w:val="en-US"/>
      </w:rPr>
    </w:lvl>
    <w:lvl w:ilvl="2" w:tentative="0">
      <w:start w:val="1"/>
      <w:numFmt w:val="lowerLetter"/>
      <w:lvlText w:val="%3."/>
      <w:lvlJc w:val="left"/>
      <w:pPr>
        <w:tabs>
          <w:tab w:val="left" w:pos="1560"/>
        </w:tabs>
        <w:ind w:left="1560" w:hanging="360"/>
      </w:pPr>
      <w:rPr>
        <w:rFonts w:hint="default"/>
      </w:rPr>
    </w:lvl>
    <w:lvl w:ilvl="3" w:tentative="0">
      <w:start w:val="1"/>
      <w:numFmt w:val="upperLetter"/>
      <w:lvlText w:val="%4．"/>
      <w:lvlJc w:val="left"/>
      <w:pPr>
        <w:tabs>
          <w:tab w:val="left" w:pos="1980"/>
        </w:tabs>
        <w:ind w:left="1980" w:hanging="360"/>
      </w:pPr>
      <w:rPr>
        <w:rFonts w:hint="default"/>
      </w:rPr>
    </w:lvl>
    <w:lvl w:ilvl="4" w:tentative="0">
      <w:start w:val="1"/>
      <w:numFmt w:val="decimal"/>
      <w:lvlText w:val="%5."/>
      <w:lvlJc w:val="left"/>
      <w:pPr>
        <w:ind w:left="2400" w:hanging="360"/>
      </w:pPr>
      <w:rPr>
        <w:rFonts w:hint="default"/>
      </w:rPr>
    </w:lvl>
    <w:lvl w:ilvl="5" w:tentative="0">
      <w:start w:val="1"/>
      <w:numFmt w:val="japaneseCounting"/>
      <w:lvlText w:val="（%6）"/>
      <w:lvlJc w:val="left"/>
      <w:pPr>
        <w:ind w:left="3180" w:hanging="720"/>
      </w:pPr>
      <w:rPr>
        <w:rFonts w:hint="default"/>
      </w:rPr>
    </w:lvl>
    <w:lvl w:ilvl="6" w:tentative="0">
      <w:start w:val="5"/>
      <w:numFmt w:val="decimal"/>
      <w:lvlText w:val="%7．"/>
      <w:lvlJc w:val="left"/>
      <w:pPr>
        <w:ind w:left="3240" w:hanging="360"/>
      </w:pPr>
      <w:rPr>
        <w:rFonts w:hint="default"/>
      </w:r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2C7A01A0"/>
    <w:multiLevelType w:val="multilevel"/>
    <w:tmpl w:val="2C7A01A0"/>
    <w:lvl w:ilvl="0" w:tentative="0">
      <w:start w:val="1"/>
      <w:numFmt w:val="decimal"/>
      <w:lvlText w:val="%1."/>
      <w:lvlJc w:val="left"/>
      <w:pPr>
        <w:ind w:left="900" w:hanging="420"/>
      </w:pPr>
      <w:rPr>
        <w:rFonts w:hint="eastAsia"/>
      </w:rPr>
    </w:lvl>
    <w:lvl w:ilvl="1" w:tentative="0">
      <w:start w:val="1"/>
      <w:numFmt w:val="decimal"/>
      <w:isLgl/>
      <w:lvlText w:val="%1.%2"/>
      <w:lvlJc w:val="left"/>
      <w:pPr>
        <w:ind w:left="1610" w:hanging="900"/>
      </w:pPr>
      <w:rPr>
        <w:rFonts w:hint="default"/>
      </w:rPr>
    </w:lvl>
    <w:lvl w:ilvl="2" w:tentative="0">
      <w:start w:val="1"/>
      <w:numFmt w:val="decimal"/>
      <w:isLgl/>
      <w:lvlText w:val="%1.%2.%3"/>
      <w:lvlJc w:val="left"/>
      <w:pPr>
        <w:ind w:left="1380" w:hanging="900"/>
      </w:pPr>
      <w:rPr>
        <w:rFonts w:hint="default"/>
      </w:rPr>
    </w:lvl>
    <w:lvl w:ilvl="3" w:tentative="0">
      <w:start w:val="1"/>
      <w:numFmt w:val="decimal"/>
      <w:isLgl/>
      <w:lvlText w:val="%1.%2.%3.%4"/>
      <w:lvlJc w:val="left"/>
      <w:pPr>
        <w:ind w:left="1380" w:hanging="900"/>
      </w:pPr>
      <w:rPr>
        <w:rFonts w:hint="default"/>
      </w:rPr>
    </w:lvl>
    <w:lvl w:ilvl="4" w:tentative="0">
      <w:start w:val="1"/>
      <w:numFmt w:val="decimal"/>
      <w:isLgl/>
      <w:lvlText w:val="%1.%2.%3.%4.%5"/>
      <w:lvlJc w:val="left"/>
      <w:pPr>
        <w:ind w:left="1560" w:hanging="1080"/>
      </w:pPr>
      <w:rPr>
        <w:rFonts w:hint="default"/>
      </w:rPr>
    </w:lvl>
    <w:lvl w:ilvl="5" w:tentative="0">
      <w:start w:val="1"/>
      <w:numFmt w:val="decimal"/>
      <w:isLgl/>
      <w:lvlText w:val="%1.%2.%3.%4.%5.%6"/>
      <w:lvlJc w:val="left"/>
      <w:pPr>
        <w:ind w:left="1560" w:hanging="1080"/>
      </w:pPr>
      <w:rPr>
        <w:rFonts w:hint="default"/>
      </w:rPr>
    </w:lvl>
    <w:lvl w:ilvl="6" w:tentative="0">
      <w:start w:val="1"/>
      <w:numFmt w:val="decimal"/>
      <w:isLgl/>
      <w:lvlText w:val="%1.%2.%3.%4.%5.%6.%7"/>
      <w:lvlJc w:val="left"/>
      <w:pPr>
        <w:ind w:left="1920" w:hanging="1440"/>
      </w:pPr>
      <w:rPr>
        <w:rFonts w:hint="default"/>
      </w:rPr>
    </w:lvl>
    <w:lvl w:ilvl="7" w:tentative="0">
      <w:start w:val="1"/>
      <w:numFmt w:val="decimal"/>
      <w:isLgl/>
      <w:lvlText w:val="%1.%2.%3.%4.%5.%6.%7.%8"/>
      <w:lvlJc w:val="left"/>
      <w:pPr>
        <w:ind w:left="1920" w:hanging="1440"/>
      </w:pPr>
      <w:rPr>
        <w:rFonts w:hint="default"/>
      </w:rPr>
    </w:lvl>
    <w:lvl w:ilvl="8" w:tentative="0">
      <w:start w:val="1"/>
      <w:numFmt w:val="decimal"/>
      <w:isLgl/>
      <w:lvlText w:val="%1.%2.%3.%4.%5.%6.%7.%8.%9"/>
      <w:lvlJc w:val="left"/>
      <w:pPr>
        <w:ind w:left="2280" w:hanging="1800"/>
      </w:pPr>
      <w:rPr>
        <w:rFonts w:hint="default"/>
      </w:rPr>
    </w:lvl>
  </w:abstractNum>
  <w:abstractNum w:abstractNumId="6">
    <w:nsid w:val="46642398"/>
    <w:multiLevelType w:val="multilevel"/>
    <w:tmpl w:val="466423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578150"/>
    <w:multiLevelType w:val="singleLevel"/>
    <w:tmpl w:val="57578150"/>
    <w:lvl w:ilvl="0" w:tentative="0">
      <w:start w:val="1"/>
      <w:numFmt w:val="decimal"/>
      <w:suff w:val="nothing"/>
      <w:lvlText w:val="%1、"/>
      <w:lvlJc w:val="left"/>
    </w:lvl>
  </w:abstractNum>
  <w:abstractNum w:abstractNumId="8">
    <w:nsid w:val="5880B2C8"/>
    <w:multiLevelType w:val="multilevel"/>
    <w:tmpl w:val="5880B2C8"/>
    <w:lvl w:ilvl="0" w:tentative="0">
      <w:start w:val="1"/>
      <w:numFmt w:val="decimal"/>
      <w:lvlText w:val="%1."/>
      <w:lvlJc w:val="left"/>
      <w:pPr>
        <w:tabs>
          <w:tab w:val="left" w:pos="425"/>
        </w:tabs>
        <w:ind w:left="425" w:hanging="425"/>
      </w:pPr>
      <w:rPr>
        <w:rFonts w:hint="default"/>
        <w:i w:val="0"/>
      </w:rPr>
    </w:lvl>
    <w:lvl w:ilvl="1" w:tentative="0">
      <w:start w:val="1"/>
      <w:numFmt w:val="decimal"/>
      <w:lvlText w:val="%1.%2."/>
      <w:lvlJc w:val="left"/>
      <w:pPr>
        <w:tabs>
          <w:tab w:val="left" w:pos="567"/>
        </w:tabs>
        <w:ind w:left="567" w:hanging="567"/>
      </w:pPr>
      <w:rPr>
        <w:rFonts w:hint="default" w:ascii="宋体" w:hAnsi="宋体" w:eastAsia="宋体" w:cs="宋体"/>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9">
    <w:nsid w:val="5CAB01A2"/>
    <w:multiLevelType w:val="singleLevel"/>
    <w:tmpl w:val="5CAB01A2"/>
    <w:lvl w:ilvl="0" w:tentative="0">
      <w:start w:val="5"/>
      <w:numFmt w:val="decimal"/>
      <w:suff w:val="nothing"/>
      <w:lvlText w:val="%1、"/>
      <w:lvlJc w:val="left"/>
    </w:lvl>
  </w:abstractNum>
  <w:abstractNum w:abstractNumId="10">
    <w:nsid w:val="5D6E1B62"/>
    <w:multiLevelType w:val="singleLevel"/>
    <w:tmpl w:val="5D6E1B62"/>
    <w:lvl w:ilvl="0" w:tentative="0">
      <w:start w:val="2"/>
      <w:numFmt w:val="decimal"/>
      <w:suff w:val="nothing"/>
      <w:lvlText w:val="（%1）"/>
      <w:lvlJc w:val="left"/>
    </w:lvl>
  </w:abstractNum>
  <w:abstractNum w:abstractNumId="11">
    <w:nsid w:val="5D6E3114"/>
    <w:multiLevelType w:val="singleLevel"/>
    <w:tmpl w:val="5D6E3114"/>
    <w:lvl w:ilvl="0" w:tentative="0">
      <w:start w:val="6"/>
      <w:numFmt w:val="chineseCounting"/>
      <w:suff w:val="space"/>
      <w:lvlText w:val="第%1章"/>
      <w:lvlJc w:val="left"/>
    </w:lvl>
  </w:abstractNum>
  <w:abstractNum w:abstractNumId="12">
    <w:nsid w:val="5D6E31A2"/>
    <w:multiLevelType w:val="singleLevel"/>
    <w:tmpl w:val="5D6E31A2"/>
    <w:lvl w:ilvl="0" w:tentative="0">
      <w:start w:val="1"/>
      <w:numFmt w:val="decimal"/>
      <w:suff w:val="nothing"/>
      <w:lvlText w:val="%1、"/>
      <w:lvlJc w:val="left"/>
    </w:lvl>
  </w:abstractNum>
  <w:abstractNum w:abstractNumId="13">
    <w:nsid w:val="5D6F7285"/>
    <w:multiLevelType w:val="singleLevel"/>
    <w:tmpl w:val="5D6F7285"/>
    <w:lvl w:ilvl="0" w:tentative="0">
      <w:start w:val="2"/>
      <w:numFmt w:val="decimal"/>
      <w:suff w:val="nothing"/>
      <w:lvlText w:val="%1、"/>
      <w:lvlJc w:val="left"/>
    </w:lvl>
  </w:abstractNum>
  <w:abstractNum w:abstractNumId="14">
    <w:nsid w:val="60E04EB6"/>
    <w:multiLevelType w:val="multilevel"/>
    <w:tmpl w:val="60E04EB6"/>
    <w:lvl w:ilvl="0" w:tentative="0">
      <w:start w:val="1"/>
      <w:numFmt w:val="decimal"/>
      <w:lvlText w:val="%1."/>
      <w:lvlJc w:val="left"/>
      <w:pPr>
        <w:ind w:left="704" w:hanging="420"/>
      </w:pPr>
      <w:rPr>
        <w:rFonts w:hint="eastAsia"/>
      </w:rPr>
    </w:lvl>
    <w:lvl w:ilvl="1" w:tentative="0">
      <w:start w:val="1"/>
      <w:numFmt w:val="decimal"/>
      <w:lvlText w:val="%1.%2"/>
      <w:lvlJc w:val="left"/>
      <w:pPr>
        <w:ind w:left="1332" w:hanging="420"/>
      </w:pPr>
      <w:rPr>
        <w:rFonts w:hint="eastAsia"/>
      </w:rPr>
    </w:lvl>
    <w:lvl w:ilvl="2" w:tentative="0">
      <w:start w:val="1"/>
      <w:numFmt w:val="lowerRoman"/>
      <w:lvlText w:val="%3."/>
      <w:lvlJc w:val="right"/>
      <w:pPr>
        <w:ind w:left="1752" w:hanging="420"/>
      </w:pPr>
      <w:rPr>
        <w:rFonts w:hint="eastAsia"/>
      </w:rPr>
    </w:lvl>
    <w:lvl w:ilvl="3" w:tentative="0">
      <w:start w:val="1"/>
      <w:numFmt w:val="decimal"/>
      <w:lvlText w:val="%4."/>
      <w:lvlJc w:val="left"/>
      <w:pPr>
        <w:ind w:left="2172" w:hanging="420"/>
      </w:pPr>
      <w:rPr>
        <w:rFonts w:hint="eastAsia"/>
      </w:rPr>
    </w:lvl>
    <w:lvl w:ilvl="4" w:tentative="0">
      <w:start w:val="1"/>
      <w:numFmt w:val="lowerLetter"/>
      <w:lvlText w:val="%5)"/>
      <w:lvlJc w:val="left"/>
      <w:pPr>
        <w:ind w:left="2592" w:hanging="420"/>
      </w:pPr>
      <w:rPr>
        <w:rFonts w:hint="eastAsia"/>
      </w:rPr>
    </w:lvl>
    <w:lvl w:ilvl="5" w:tentative="0">
      <w:start w:val="1"/>
      <w:numFmt w:val="lowerRoman"/>
      <w:lvlText w:val="%6."/>
      <w:lvlJc w:val="right"/>
      <w:pPr>
        <w:ind w:left="3012" w:hanging="420"/>
      </w:pPr>
      <w:rPr>
        <w:rFonts w:hint="eastAsia"/>
      </w:rPr>
    </w:lvl>
    <w:lvl w:ilvl="6" w:tentative="0">
      <w:start w:val="1"/>
      <w:numFmt w:val="decimal"/>
      <w:lvlText w:val="%7."/>
      <w:lvlJc w:val="left"/>
      <w:pPr>
        <w:ind w:left="3432" w:hanging="420"/>
      </w:pPr>
      <w:rPr>
        <w:rFonts w:hint="eastAsia"/>
      </w:rPr>
    </w:lvl>
    <w:lvl w:ilvl="7" w:tentative="0">
      <w:start w:val="1"/>
      <w:numFmt w:val="lowerLetter"/>
      <w:lvlText w:val="%8)"/>
      <w:lvlJc w:val="left"/>
      <w:pPr>
        <w:ind w:left="3852" w:hanging="420"/>
      </w:pPr>
      <w:rPr>
        <w:rFonts w:hint="eastAsia"/>
      </w:rPr>
    </w:lvl>
    <w:lvl w:ilvl="8" w:tentative="0">
      <w:start w:val="1"/>
      <w:numFmt w:val="lowerRoman"/>
      <w:lvlText w:val="%9."/>
      <w:lvlJc w:val="right"/>
      <w:pPr>
        <w:ind w:left="4272" w:hanging="420"/>
      </w:pPr>
      <w:rPr>
        <w:rFonts w:hint="eastAsia"/>
      </w:rPr>
    </w:lvl>
  </w:abstractNum>
  <w:abstractNum w:abstractNumId="15">
    <w:nsid w:val="68D632E7"/>
    <w:multiLevelType w:val="multilevel"/>
    <w:tmpl w:val="68D632E7"/>
    <w:lvl w:ilvl="0" w:tentative="0">
      <w:start w:val="22"/>
      <w:numFmt w:val="decimal"/>
      <w:lvlText w:val="%1"/>
      <w:lvlJc w:val="left"/>
      <w:pPr>
        <w:tabs>
          <w:tab w:val="left" w:pos="420"/>
        </w:tabs>
        <w:ind w:left="420" w:hanging="420"/>
      </w:pPr>
      <w:rPr>
        <w:rFonts w:hint="default"/>
      </w:rPr>
    </w:lvl>
    <w:lvl w:ilvl="1" w:tentative="0">
      <w:start w:val="1"/>
      <w:numFmt w:val="decimal"/>
      <w:lvlText w:val="%1.%2"/>
      <w:lvlJc w:val="left"/>
      <w:pPr>
        <w:tabs>
          <w:tab w:val="left" w:pos="1021"/>
        </w:tabs>
        <w:ind w:left="1021" w:hanging="420"/>
      </w:pPr>
      <w:rPr>
        <w:rFonts w:hint="default"/>
      </w:rPr>
    </w:lvl>
    <w:lvl w:ilvl="2" w:tentative="0">
      <w:start w:val="1"/>
      <w:numFmt w:val="decimal"/>
      <w:lvlText w:val="%1.%2.%3"/>
      <w:lvlJc w:val="left"/>
      <w:pPr>
        <w:tabs>
          <w:tab w:val="left" w:pos="1922"/>
        </w:tabs>
        <w:ind w:left="1922" w:hanging="720"/>
      </w:pPr>
      <w:rPr>
        <w:rFonts w:hint="default"/>
      </w:rPr>
    </w:lvl>
    <w:lvl w:ilvl="3" w:tentative="0">
      <w:start w:val="1"/>
      <w:numFmt w:val="decimal"/>
      <w:lvlText w:val="%1.%2.%3.%4"/>
      <w:lvlJc w:val="left"/>
      <w:pPr>
        <w:tabs>
          <w:tab w:val="left" w:pos="2883"/>
        </w:tabs>
        <w:ind w:left="2883" w:hanging="1080"/>
      </w:pPr>
      <w:rPr>
        <w:rFonts w:hint="default"/>
      </w:rPr>
    </w:lvl>
    <w:lvl w:ilvl="4" w:tentative="0">
      <w:start w:val="1"/>
      <w:numFmt w:val="decimal"/>
      <w:lvlText w:val="%1.%2.%3.%4.%5"/>
      <w:lvlJc w:val="left"/>
      <w:pPr>
        <w:tabs>
          <w:tab w:val="left" w:pos="3484"/>
        </w:tabs>
        <w:ind w:left="3484" w:hanging="1080"/>
      </w:pPr>
      <w:rPr>
        <w:rFonts w:hint="default"/>
      </w:rPr>
    </w:lvl>
    <w:lvl w:ilvl="5" w:tentative="0">
      <w:start w:val="1"/>
      <w:numFmt w:val="decimal"/>
      <w:lvlText w:val="%1.%2.%3.%4.%5.%6"/>
      <w:lvlJc w:val="left"/>
      <w:pPr>
        <w:tabs>
          <w:tab w:val="left" w:pos="4445"/>
        </w:tabs>
        <w:ind w:left="4445" w:hanging="1440"/>
      </w:pPr>
      <w:rPr>
        <w:rFonts w:hint="default"/>
      </w:rPr>
    </w:lvl>
    <w:lvl w:ilvl="6" w:tentative="0">
      <w:start w:val="1"/>
      <w:numFmt w:val="decimal"/>
      <w:lvlText w:val="%1.%2.%3.%4.%5.%6.%7"/>
      <w:lvlJc w:val="left"/>
      <w:pPr>
        <w:tabs>
          <w:tab w:val="left" w:pos="5046"/>
        </w:tabs>
        <w:ind w:left="5046" w:hanging="1440"/>
      </w:pPr>
      <w:rPr>
        <w:rFonts w:hint="default"/>
      </w:rPr>
    </w:lvl>
    <w:lvl w:ilvl="7" w:tentative="0">
      <w:start w:val="1"/>
      <w:numFmt w:val="decimal"/>
      <w:lvlText w:val="%1.%2.%3.%4.%5.%6.%7.%8"/>
      <w:lvlJc w:val="left"/>
      <w:pPr>
        <w:tabs>
          <w:tab w:val="left" w:pos="6007"/>
        </w:tabs>
        <w:ind w:left="6007" w:hanging="1800"/>
      </w:pPr>
      <w:rPr>
        <w:rFonts w:hint="default"/>
      </w:rPr>
    </w:lvl>
    <w:lvl w:ilvl="8" w:tentative="0">
      <w:start w:val="1"/>
      <w:numFmt w:val="decimal"/>
      <w:lvlText w:val="%1.%2.%3.%4.%5.%6.%7.%8.%9"/>
      <w:lvlJc w:val="left"/>
      <w:pPr>
        <w:tabs>
          <w:tab w:val="left" w:pos="6608"/>
        </w:tabs>
        <w:ind w:left="6608" w:hanging="1800"/>
      </w:pPr>
      <w:rPr>
        <w:rFonts w:hint="default"/>
      </w:rPr>
    </w:lvl>
  </w:abstractNum>
  <w:abstractNum w:abstractNumId="16">
    <w:nsid w:val="69C56DFE"/>
    <w:multiLevelType w:val="multilevel"/>
    <w:tmpl w:val="69C56DF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7D1C6BC3"/>
    <w:multiLevelType w:val="multilevel"/>
    <w:tmpl w:val="7D1C6B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9"/>
  </w:num>
  <w:num w:numId="4">
    <w:abstractNumId w:val="4"/>
  </w:num>
  <w:num w:numId="5">
    <w:abstractNumId w:val="0"/>
  </w:num>
  <w:num w:numId="6">
    <w:abstractNumId w:val="8"/>
  </w:num>
  <w:num w:numId="7">
    <w:abstractNumId w:val="15"/>
  </w:num>
  <w:num w:numId="8">
    <w:abstractNumId w:val="3"/>
  </w:num>
  <w:num w:numId="9">
    <w:abstractNumId w:val="14"/>
  </w:num>
  <w:num w:numId="10">
    <w:abstractNumId w:val="16"/>
  </w:num>
  <w:num w:numId="11">
    <w:abstractNumId w:val="5"/>
  </w:num>
  <w:num w:numId="12">
    <w:abstractNumId w:val="13"/>
  </w:num>
  <w:num w:numId="13">
    <w:abstractNumId w:val="6"/>
  </w:num>
  <w:num w:numId="14">
    <w:abstractNumId w:val="2"/>
  </w:num>
  <w:num w:numId="15">
    <w:abstractNumId w:val="11"/>
  </w:num>
  <w:num w:numId="16">
    <w:abstractNumId w:val="12"/>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dit="readOnly" w:formatting="1"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97"/>
    <w:rsid w:val="00003BA5"/>
    <w:rsid w:val="0000412F"/>
    <w:rsid w:val="00004C6B"/>
    <w:rsid w:val="000072CD"/>
    <w:rsid w:val="00007C87"/>
    <w:rsid w:val="00007E7F"/>
    <w:rsid w:val="0001035F"/>
    <w:rsid w:val="00011739"/>
    <w:rsid w:val="00014426"/>
    <w:rsid w:val="0001699D"/>
    <w:rsid w:val="00020E21"/>
    <w:rsid w:val="0002242B"/>
    <w:rsid w:val="00024276"/>
    <w:rsid w:val="00025BF4"/>
    <w:rsid w:val="00031671"/>
    <w:rsid w:val="000345FA"/>
    <w:rsid w:val="00034EEE"/>
    <w:rsid w:val="000375EF"/>
    <w:rsid w:val="000377F4"/>
    <w:rsid w:val="00037E7A"/>
    <w:rsid w:val="00037F16"/>
    <w:rsid w:val="000415B3"/>
    <w:rsid w:val="00042F23"/>
    <w:rsid w:val="00043A74"/>
    <w:rsid w:val="00043B6E"/>
    <w:rsid w:val="00043D26"/>
    <w:rsid w:val="000461D4"/>
    <w:rsid w:val="000463A8"/>
    <w:rsid w:val="00046637"/>
    <w:rsid w:val="00046810"/>
    <w:rsid w:val="00050F72"/>
    <w:rsid w:val="0005207E"/>
    <w:rsid w:val="00053A1D"/>
    <w:rsid w:val="00060376"/>
    <w:rsid w:val="0006117B"/>
    <w:rsid w:val="00062B21"/>
    <w:rsid w:val="00064276"/>
    <w:rsid w:val="000648F9"/>
    <w:rsid w:val="000664A3"/>
    <w:rsid w:val="000669CD"/>
    <w:rsid w:val="00066FD9"/>
    <w:rsid w:val="000727B5"/>
    <w:rsid w:val="00087443"/>
    <w:rsid w:val="0009264C"/>
    <w:rsid w:val="00094328"/>
    <w:rsid w:val="000A0C33"/>
    <w:rsid w:val="000A260F"/>
    <w:rsid w:val="000A4E69"/>
    <w:rsid w:val="000A6FA7"/>
    <w:rsid w:val="000A75B9"/>
    <w:rsid w:val="000A7755"/>
    <w:rsid w:val="000B02CA"/>
    <w:rsid w:val="000B0698"/>
    <w:rsid w:val="000C1AE1"/>
    <w:rsid w:val="000C23EC"/>
    <w:rsid w:val="000C5386"/>
    <w:rsid w:val="000C6434"/>
    <w:rsid w:val="000C65FA"/>
    <w:rsid w:val="000C7B88"/>
    <w:rsid w:val="000D0245"/>
    <w:rsid w:val="000D5109"/>
    <w:rsid w:val="000E120A"/>
    <w:rsid w:val="000E14BC"/>
    <w:rsid w:val="000E6890"/>
    <w:rsid w:val="000F1451"/>
    <w:rsid w:val="000F1659"/>
    <w:rsid w:val="000F2526"/>
    <w:rsid w:val="000F33D0"/>
    <w:rsid w:val="000F667B"/>
    <w:rsid w:val="000F748A"/>
    <w:rsid w:val="00100795"/>
    <w:rsid w:val="001019CA"/>
    <w:rsid w:val="00101C47"/>
    <w:rsid w:val="001121D4"/>
    <w:rsid w:val="001136DF"/>
    <w:rsid w:val="0011373E"/>
    <w:rsid w:val="00113D07"/>
    <w:rsid w:val="001140AF"/>
    <w:rsid w:val="00115580"/>
    <w:rsid w:val="0012040F"/>
    <w:rsid w:val="00120FFD"/>
    <w:rsid w:val="001214D1"/>
    <w:rsid w:val="00123991"/>
    <w:rsid w:val="0012691B"/>
    <w:rsid w:val="0012691D"/>
    <w:rsid w:val="001278F5"/>
    <w:rsid w:val="00132C51"/>
    <w:rsid w:val="00133019"/>
    <w:rsid w:val="001336ED"/>
    <w:rsid w:val="001337CF"/>
    <w:rsid w:val="00135B74"/>
    <w:rsid w:val="0013746C"/>
    <w:rsid w:val="001409EE"/>
    <w:rsid w:val="00140A6A"/>
    <w:rsid w:val="00141A53"/>
    <w:rsid w:val="00150152"/>
    <w:rsid w:val="001507C0"/>
    <w:rsid w:val="00150C01"/>
    <w:rsid w:val="001514E3"/>
    <w:rsid w:val="001549D6"/>
    <w:rsid w:val="00154E79"/>
    <w:rsid w:val="001559DC"/>
    <w:rsid w:val="0015624A"/>
    <w:rsid w:val="00156C88"/>
    <w:rsid w:val="0016250D"/>
    <w:rsid w:val="00165456"/>
    <w:rsid w:val="00170F3B"/>
    <w:rsid w:val="00172559"/>
    <w:rsid w:val="00172A27"/>
    <w:rsid w:val="00173D7C"/>
    <w:rsid w:val="00174295"/>
    <w:rsid w:val="001754D1"/>
    <w:rsid w:val="00176F89"/>
    <w:rsid w:val="00177415"/>
    <w:rsid w:val="00185940"/>
    <w:rsid w:val="001862FC"/>
    <w:rsid w:val="001900DC"/>
    <w:rsid w:val="001904A5"/>
    <w:rsid w:val="001926C5"/>
    <w:rsid w:val="00195A05"/>
    <w:rsid w:val="0019709B"/>
    <w:rsid w:val="001A0BF5"/>
    <w:rsid w:val="001A3169"/>
    <w:rsid w:val="001A37E9"/>
    <w:rsid w:val="001A3FB4"/>
    <w:rsid w:val="001A6B17"/>
    <w:rsid w:val="001A76E0"/>
    <w:rsid w:val="001B0601"/>
    <w:rsid w:val="001B4E5D"/>
    <w:rsid w:val="001B527E"/>
    <w:rsid w:val="001B5F1D"/>
    <w:rsid w:val="001C0364"/>
    <w:rsid w:val="001C0F1C"/>
    <w:rsid w:val="001C528D"/>
    <w:rsid w:val="001C7278"/>
    <w:rsid w:val="001C75D8"/>
    <w:rsid w:val="001D07B0"/>
    <w:rsid w:val="001D34C2"/>
    <w:rsid w:val="001D3903"/>
    <w:rsid w:val="001D47EF"/>
    <w:rsid w:val="001D5C26"/>
    <w:rsid w:val="001E0BED"/>
    <w:rsid w:val="001E0DC3"/>
    <w:rsid w:val="001E2303"/>
    <w:rsid w:val="001E437D"/>
    <w:rsid w:val="001E578C"/>
    <w:rsid w:val="001E6E44"/>
    <w:rsid w:val="001F3716"/>
    <w:rsid w:val="001F4926"/>
    <w:rsid w:val="001F5E40"/>
    <w:rsid w:val="001F69D4"/>
    <w:rsid w:val="00204307"/>
    <w:rsid w:val="00205C79"/>
    <w:rsid w:val="0020701D"/>
    <w:rsid w:val="00207A7A"/>
    <w:rsid w:val="00211338"/>
    <w:rsid w:val="00211594"/>
    <w:rsid w:val="00213AD8"/>
    <w:rsid w:val="00213DE4"/>
    <w:rsid w:val="00216CD0"/>
    <w:rsid w:val="00220648"/>
    <w:rsid w:val="002213B1"/>
    <w:rsid w:val="00221C4C"/>
    <w:rsid w:val="00222A30"/>
    <w:rsid w:val="002246D5"/>
    <w:rsid w:val="00225ABE"/>
    <w:rsid w:val="00226CD1"/>
    <w:rsid w:val="00230EC3"/>
    <w:rsid w:val="002338E8"/>
    <w:rsid w:val="002339FB"/>
    <w:rsid w:val="00243D96"/>
    <w:rsid w:val="002519E9"/>
    <w:rsid w:val="002529FD"/>
    <w:rsid w:val="00252C7C"/>
    <w:rsid w:val="00253380"/>
    <w:rsid w:val="00257CDA"/>
    <w:rsid w:val="002630FF"/>
    <w:rsid w:val="0026445B"/>
    <w:rsid w:val="00267C49"/>
    <w:rsid w:val="00270F9F"/>
    <w:rsid w:val="0027433B"/>
    <w:rsid w:val="0027452B"/>
    <w:rsid w:val="00276AB5"/>
    <w:rsid w:val="00280F0A"/>
    <w:rsid w:val="0028111C"/>
    <w:rsid w:val="00286026"/>
    <w:rsid w:val="00287A7A"/>
    <w:rsid w:val="00294458"/>
    <w:rsid w:val="00295E28"/>
    <w:rsid w:val="002A0A90"/>
    <w:rsid w:val="002A51AD"/>
    <w:rsid w:val="002A7BD3"/>
    <w:rsid w:val="002A7CBA"/>
    <w:rsid w:val="002B1414"/>
    <w:rsid w:val="002B4AE1"/>
    <w:rsid w:val="002B5563"/>
    <w:rsid w:val="002B6DF7"/>
    <w:rsid w:val="002B7D67"/>
    <w:rsid w:val="002C0D49"/>
    <w:rsid w:val="002C5D9C"/>
    <w:rsid w:val="002D260C"/>
    <w:rsid w:val="002D5131"/>
    <w:rsid w:val="002D5702"/>
    <w:rsid w:val="002E0595"/>
    <w:rsid w:val="002E14A9"/>
    <w:rsid w:val="002E55D2"/>
    <w:rsid w:val="002E58DD"/>
    <w:rsid w:val="002F129F"/>
    <w:rsid w:val="002F31A6"/>
    <w:rsid w:val="002F324A"/>
    <w:rsid w:val="00301712"/>
    <w:rsid w:val="003024B6"/>
    <w:rsid w:val="003026A1"/>
    <w:rsid w:val="00303166"/>
    <w:rsid w:val="0030592A"/>
    <w:rsid w:val="00306061"/>
    <w:rsid w:val="00306AE1"/>
    <w:rsid w:val="00312306"/>
    <w:rsid w:val="00313EBE"/>
    <w:rsid w:val="00316C15"/>
    <w:rsid w:val="003210F5"/>
    <w:rsid w:val="0032134A"/>
    <w:rsid w:val="00324604"/>
    <w:rsid w:val="0033029B"/>
    <w:rsid w:val="003322FD"/>
    <w:rsid w:val="0033492C"/>
    <w:rsid w:val="00336155"/>
    <w:rsid w:val="00337F87"/>
    <w:rsid w:val="00341403"/>
    <w:rsid w:val="00343BF7"/>
    <w:rsid w:val="003456F6"/>
    <w:rsid w:val="003460E5"/>
    <w:rsid w:val="00351340"/>
    <w:rsid w:val="00351BE9"/>
    <w:rsid w:val="003539BD"/>
    <w:rsid w:val="0035508A"/>
    <w:rsid w:val="00360443"/>
    <w:rsid w:val="00361280"/>
    <w:rsid w:val="00361749"/>
    <w:rsid w:val="00361B53"/>
    <w:rsid w:val="0036200C"/>
    <w:rsid w:val="00363682"/>
    <w:rsid w:val="00366A91"/>
    <w:rsid w:val="00366ACB"/>
    <w:rsid w:val="003708AF"/>
    <w:rsid w:val="0037166C"/>
    <w:rsid w:val="0037184E"/>
    <w:rsid w:val="00373B26"/>
    <w:rsid w:val="00376F7C"/>
    <w:rsid w:val="00377F92"/>
    <w:rsid w:val="00383E12"/>
    <w:rsid w:val="0038456C"/>
    <w:rsid w:val="00385EE2"/>
    <w:rsid w:val="00386639"/>
    <w:rsid w:val="00387962"/>
    <w:rsid w:val="00387F22"/>
    <w:rsid w:val="0039152E"/>
    <w:rsid w:val="00391A0C"/>
    <w:rsid w:val="0039246C"/>
    <w:rsid w:val="0039248F"/>
    <w:rsid w:val="00393AF1"/>
    <w:rsid w:val="003A45F7"/>
    <w:rsid w:val="003A6D26"/>
    <w:rsid w:val="003B1632"/>
    <w:rsid w:val="003B1ED2"/>
    <w:rsid w:val="003B4706"/>
    <w:rsid w:val="003B5E33"/>
    <w:rsid w:val="003C0AC3"/>
    <w:rsid w:val="003C1018"/>
    <w:rsid w:val="003C1FA0"/>
    <w:rsid w:val="003D070B"/>
    <w:rsid w:val="003D280D"/>
    <w:rsid w:val="003D2FF3"/>
    <w:rsid w:val="003D436C"/>
    <w:rsid w:val="003E5D66"/>
    <w:rsid w:val="003F01D1"/>
    <w:rsid w:val="003F475D"/>
    <w:rsid w:val="003F496E"/>
    <w:rsid w:val="003F7780"/>
    <w:rsid w:val="004014AA"/>
    <w:rsid w:val="00404A73"/>
    <w:rsid w:val="00406668"/>
    <w:rsid w:val="004140DC"/>
    <w:rsid w:val="00417A86"/>
    <w:rsid w:val="0042400D"/>
    <w:rsid w:val="004275F7"/>
    <w:rsid w:val="00432943"/>
    <w:rsid w:val="00434AF7"/>
    <w:rsid w:val="0043593B"/>
    <w:rsid w:val="00437BAC"/>
    <w:rsid w:val="0044025A"/>
    <w:rsid w:val="0044095D"/>
    <w:rsid w:val="00444A22"/>
    <w:rsid w:val="00450D18"/>
    <w:rsid w:val="00451A5E"/>
    <w:rsid w:val="00451F22"/>
    <w:rsid w:val="00452CDB"/>
    <w:rsid w:val="0045430A"/>
    <w:rsid w:val="00456FA8"/>
    <w:rsid w:val="00457887"/>
    <w:rsid w:val="0046068C"/>
    <w:rsid w:val="004641EB"/>
    <w:rsid w:val="00471FBD"/>
    <w:rsid w:val="004731F0"/>
    <w:rsid w:val="0047618F"/>
    <w:rsid w:val="00477E33"/>
    <w:rsid w:val="004812FC"/>
    <w:rsid w:val="00483281"/>
    <w:rsid w:val="0048637D"/>
    <w:rsid w:val="00490D2B"/>
    <w:rsid w:val="004A2860"/>
    <w:rsid w:val="004A402E"/>
    <w:rsid w:val="004A5855"/>
    <w:rsid w:val="004A7A9C"/>
    <w:rsid w:val="004A7E7A"/>
    <w:rsid w:val="004B6891"/>
    <w:rsid w:val="004B6E53"/>
    <w:rsid w:val="004B7922"/>
    <w:rsid w:val="004C334C"/>
    <w:rsid w:val="004C4FF7"/>
    <w:rsid w:val="004D0BFE"/>
    <w:rsid w:val="004E0A08"/>
    <w:rsid w:val="004E0FD4"/>
    <w:rsid w:val="004E1A75"/>
    <w:rsid w:val="004E2C61"/>
    <w:rsid w:val="004E5E96"/>
    <w:rsid w:val="004E7739"/>
    <w:rsid w:val="004F7761"/>
    <w:rsid w:val="004F7A5E"/>
    <w:rsid w:val="00501B23"/>
    <w:rsid w:val="00503A61"/>
    <w:rsid w:val="0050537F"/>
    <w:rsid w:val="00505657"/>
    <w:rsid w:val="00506DC5"/>
    <w:rsid w:val="00507F5E"/>
    <w:rsid w:val="005114A0"/>
    <w:rsid w:val="00512484"/>
    <w:rsid w:val="0051274F"/>
    <w:rsid w:val="00513207"/>
    <w:rsid w:val="00514FFD"/>
    <w:rsid w:val="005157EF"/>
    <w:rsid w:val="00515D48"/>
    <w:rsid w:val="00516C92"/>
    <w:rsid w:val="00520487"/>
    <w:rsid w:val="00520F73"/>
    <w:rsid w:val="0052107A"/>
    <w:rsid w:val="00522365"/>
    <w:rsid w:val="00523799"/>
    <w:rsid w:val="00526EEE"/>
    <w:rsid w:val="00527F93"/>
    <w:rsid w:val="005301F9"/>
    <w:rsid w:val="00530270"/>
    <w:rsid w:val="00537A6E"/>
    <w:rsid w:val="005400C9"/>
    <w:rsid w:val="00540C94"/>
    <w:rsid w:val="00542F5A"/>
    <w:rsid w:val="00546252"/>
    <w:rsid w:val="005503A7"/>
    <w:rsid w:val="00563474"/>
    <w:rsid w:val="00565931"/>
    <w:rsid w:val="00566BAD"/>
    <w:rsid w:val="0057158E"/>
    <w:rsid w:val="005720C7"/>
    <w:rsid w:val="00576269"/>
    <w:rsid w:val="005769CB"/>
    <w:rsid w:val="00581426"/>
    <w:rsid w:val="0058318C"/>
    <w:rsid w:val="00583EB8"/>
    <w:rsid w:val="005842DA"/>
    <w:rsid w:val="005868C7"/>
    <w:rsid w:val="00587333"/>
    <w:rsid w:val="00591D6A"/>
    <w:rsid w:val="00594C3B"/>
    <w:rsid w:val="00597A8C"/>
    <w:rsid w:val="005A0C50"/>
    <w:rsid w:val="005A140E"/>
    <w:rsid w:val="005A1A9D"/>
    <w:rsid w:val="005A3ADD"/>
    <w:rsid w:val="005A4E71"/>
    <w:rsid w:val="005A5382"/>
    <w:rsid w:val="005A5CE5"/>
    <w:rsid w:val="005A5FB7"/>
    <w:rsid w:val="005A6ED6"/>
    <w:rsid w:val="005A6FD1"/>
    <w:rsid w:val="005A70C5"/>
    <w:rsid w:val="005B005A"/>
    <w:rsid w:val="005B097D"/>
    <w:rsid w:val="005B1B34"/>
    <w:rsid w:val="005B3525"/>
    <w:rsid w:val="005B5EC8"/>
    <w:rsid w:val="005B6467"/>
    <w:rsid w:val="005C38FE"/>
    <w:rsid w:val="005D20A7"/>
    <w:rsid w:val="005D2B23"/>
    <w:rsid w:val="005D72AA"/>
    <w:rsid w:val="005E0463"/>
    <w:rsid w:val="005E4D02"/>
    <w:rsid w:val="005E532C"/>
    <w:rsid w:val="005E7013"/>
    <w:rsid w:val="005F0926"/>
    <w:rsid w:val="005F1A4F"/>
    <w:rsid w:val="005F206B"/>
    <w:rsid w:val="005F2975"/>
    <w:rsid w:val="005F7D4C"/>
    <w:rsid w:val="00603664"/>
    <w:rsid w:val="00605696"/>
    <w:rsid w:val="00606BEF"/>
    <w:rsid w:val="00621A2A"/>
    <w:rsid w:val="0062363B"/>
    <w:rsid w:val="00631CB2"/>
    <w:rsid w:val="00635BDD"/>
    <w:rsid w:val="0063718B"/>
    <w:rsid w:val="00640148"/>
    <w:rsid w:val="00640AD7"/>
    <w:rsid w:val="00640BFD"/>
    <w:rsid w:val="00641E23"/>
    <w:rsid w:val="00644872"/>
    <w:rsid w:val="00645296"/>
    <w:rsid w:val="006453D5"/>
    <w:rsid w:val="006461D8"/>
    <w:rsid w:val="006468CE"/>
    <w:rsid w:val="006504E5"/>
    <w:rsid w:val="0065087C"/>
    <w:rsid w:val="0065136C"/>
    <w:rsid w:val="00651C26"/>
    <w:rsid w:val="0065579D"/>
    <w:rsid w:val="00655FE3"/>
    <w:rsid w:val="0065707A"/>
    <w:rsid w:val="006574B0"/>
    <w:rsid w:val="00662E99"/>
    <w:rsid w:val="00665050"/>
    <w:rsid w:val="00665F04"/>
    <w:rsid w:val="0066713D"/>
    <w:rsid w:val="00670C48"/>
    <w:rsid w:val="006810D1"/>
    <w:rsid w:val="00684745"/>
    <w:rsid w:val="00686021"/>
    <w:rsid w:val="00687494"/>
    <w:rsid w:val="0069129F"/>
    <w:rsid w:val="0069607E"/>
    <w:rsid w:val="00696511"/>
    <w:rsid w:val="00697BAC"/>
    <w:rsid w:val="006A0409"/>
    <w:rsid w:val="006A0FA2"/>
    <w:rsid w:val="006A2713"/>
    <w:rsid w:val="006A2C60"/>
    <w:rsid w:val="006A3802"/>
    <w:rsid w:val="006A43EB"/>
    <w:rsid w:val="006A5383"/>
    <w:rsid w:val="006A6820"/>
    <w:rsid w:val="006B3311"/>
    <w:rsid w:val="006B5B6A"/>
    <w:rsid w:val="006C301D"/>
    <w:rsid w:val="006C5464"/>
    <w:rsid w:val="006C5FDE"/>
    <w:rsid w:val="006C7C3A"/>
    <w:rsid w:val="006D058A"/>
    <w:rsid w:val="006D32F8"/>
    <w:rsid w:val="006D398B"/>
    <w:rsid w:val="006D68C8"/>
    <w:rsid w:val="006D7E9C"/>
    <w:rsid w:val="006E1423"/>
    <w:rsid w:val="006E2CE9"/>
    <w:rsid w:val="006E5CE6"/>
    <w:rsid w:val="006E629F"/>
    <w:rsid w:val="006E7DF4"/>
    <w:rsid w:val="006F072C"/>
    <w:rsid w:val="006F090D"/>
    <w:rsid w:val="006F5A7D"/>
    <w:rsid w:val="006F5FA2"/>
    <w:rsid w:val="006F7C64"/>
    <w:rsid w:val="006F7E9C"/>
    <w:rsid w:val="00703EE3"/>
    <w:rsid w:val="0070464D"/>
    <w:rsid w:val="007127EB"/>
    <w:rsid w:val="00714A8D"/>
    <w:rsid w:val="00715AD8"/>
    <w:rsid w:val="007201F0"/>
    <w:rsid w:val="00722CDA"/>
    <w:rsid w:val="00723A73"/>
    <w:rsid w:val="007256B9"/>
    <w:rsid w:val="007258E6"/>
    <w:rsid w:val="00731BFE"/>
    <w:rsid w:val="00732BDE"/>
    <w:rsid w:val="00733BFB"/>
    <w:rsid w:val="007353EE"/>
    <w:rsid w:val="0074194B"/>
    <w:rsid w:val="007435FE"/>
    <w:rsid w:val="007443B4"/>
    <w:rsid w:val="00747E9F"/>
    <w:rsid w:val="00750391"/>
    <w:rsid w:val="00752D32"/>
    <w:rsid w:val="00754984"/>
    <w:rsid w:val="0075574A"/>
    <w:rsid w:val="00761A6D"/>
    <w:rsid w:val="007647D4"/>
    <w:rsid w:val="00766B56"/>
    <w:rsid w:val="0077021C"/>
    <w:rsid w:val="00774503"/>
    <w:rsid w:val="00780200"/>
    <w:rsid w:val="00783D32"/>
    <w:rsid w:val="00785FC7"/>
    <w:rsid w:val="0078795E"/>
    <w:rsid w:val="00792187"/>
    <w:rsid w:val="00793156"/>
    <w:rsid w:val="007941AB"/>
    <w:rsid w:val="007941B1"/>
    <w:rsid w:val="00795AF9"/>
    <w:rsid w:val="00795F13"/>
    <w:rsid w:val="00796C84"/>
    <w:rsid w:val="007A0198"/>
    <w:rsid w:val="007A0912"/>
    <w:rsid w:val="007A202F"/>
    <w:rsid w:val="007A2AC2"/>
    <w:rsid w:val="007A2E17"/>
    <w:rsid w:val="007A4C57"/>
    <w:rsid w:val="007A7C77"/>
    <w:rsid w:val="007A7CAF"/>
    <w:rsid w:val="007B0243"/>
    <w:rsid w:val="007B0E2F"/>
    <w:rsid w:val="007C4811"/>
    <w:rsid w:val="007C489F"/>
    <w:rsid w:val="007C695C"/>
    <w:rsid w:val="007C7416"/>
    <w:rsid w:val="007C7C02"/>
    <w:rsid w:val="007D0697"/>
    <w:rsid w:val="007E1777"/>
    <w:rsid w:val="007E279D"/>
    <w:rsid w:val="007E379D"/>
    <w:rsid w:val="007E3A0A"/>
    <w:rsid w:val="007E605F"/>
    <w:rsid w:val="007E610A"/>
    <w:rsid w:val="007F0E8C"/>
    <w:rsid w:val="007F2713"/>
    <w:rsid w:val="007F3C85"/>
    <w:rsid w:val="007F4387"/>
    <w:rsid w:val="007F4EBE"/>
    <w:rsid w:val="0080066D"/>
    <w:rsid w:val="00802CCE"/>
    <w:rsid w:val="00803365"/>
    <w:rsid w:val="00803EA2"/>
    <w:rsid w:val="0080580F"/>
    <w:rsid w:val="00806338"/>
    <w:rsid w:val="0081067A"/>
    <w:rsid w:val="008126C4"/>
    <w:rsid w:val="008139A2"/>
    <w:rsid w:val="00815C6D"/>
    <w:rsid w:val="00817BCC"/>
    <w:rsid w:val="008202D2"/>
    <w:rsid w:val="0082314A"/>
    <w:rsid w:val="00823265"/>
    <w:rsid w:val="00823438"/>
    <w:rsid w:val="00823F03"/>
    <w:rsid w:val="008256CE"/>
    <w:rsid w:val="00827480"/>
    <w:rsid w:val="00832349"/>
    <w:rsid w:val="008329A7"/>
    <w:rsid w:val="00833377"/>
    <w:rsid w:val="008348CE"/>
    <w:rsid w:val="00835EDF"/>
    <w:rsid w:val="008363F1"/>
    <w:rsid w:val="008423C3"/>
    <w:rsid w:val="008501F1"/>
    <w:rsid w:val="008512E9"/>
    <w:rsid w:val="008518C9"/>
    <w:rsid w:val="00856026"/>
    <w:rsid w:val="00856333"/>
    <w:rsid w:val="008627D2"/>
    <w:rsid w:val="00864909"/>
    <w:rsid w:val="0086548C"/>
    <w:rsid w:val="0086627F"/>
    <w:rsid w:val="008701E3"/>
    <w:rsid w:val="00870CA3"/>
    <w:rsid w:val="00871AAE"/>
    <w:rsid w:val="00872F18"/>
    <w:rsid w:val="00874255"/>
    <w:rsid w:val="00875152"/>
    <w:rsid w:val="00880C45"/>
    <w:rsid w:val="00884517"/>
    <w:rsid w:val="00884CAA"/>
    <w:rsid w:val="00884F76"/>
    <w:rsid w:val="0088579D"/>
    <w:rsid w:val="0088782A"/>
    <w:rsid w:val="00892E33"/>
    <w:rsid w:val="00895F05"/>
    <w:rsid w:val="0089788C"/>
    <w:rsid w:val="008A1012"/>
    <w:rsid w:val="008A2A93"/>
    <w:rsid w:val="008A4641"/>
    <w:rsid w:val="008A6B8E"/>
    <w:rsid w:val="008A7A64"/>
    <w:rsid w:val="008A7E4C"/>
    <w:rsid w:val="008B027E"/>
    <w:rsid w:val="008B0C12"/>
    <w:rsid w:val="008B11A6"/>
    <w:rsid w:val="008B204E"/>
    <w:rsid w:val="008B261E"/>
    <w:rsid w:val="008C4B1D"/>
    <w:rsid w:val="008D05A9"/>
    <w:rsid w:val="008D0604"/>
    <w:rsid w:val="008D23B3"/>
    <w:rsid w:val="008D5E10"/>
    <w:rsid w:val="008D64BA"/>
    <w:rsid w:val="008D65CF"/>
    <w:rsid w:val="008E01A9"/>
    <w:rsid w:val="008E3720"/>
    <w:rsid w:val="008E4AE0"/>
    <w:rsid w:val="008E59AC"/>
    <w:rsid w:val="008E5EAF"/>
    <w:rsid w:val="008F47E0"/>
    <w:rsid w:val="008F4D19"/>
    <w:rsid w:val="008F5B16"/>
    <w:rsid w:val="009002FD"/>
    <w:rsid w:val="009010A3"/>
    <w:rsid w:val="00902517"/>
    <w:rsid w:val="00902861"/>
    <w:rsid w:val="0090440B"/>
    <w:rsid w:val="00905B37"/>
    <w:rsid w:val="00906CDB"/>
    <w:rsid w:val="00910994"/>
    <w:rsid w:val="00911CCC"/>
    <w:rsid w:val="00917940"/>
    <w:rsid w:val="00920BA6"/>
    <w:rsid w:val="00922F6E"/>
    <w:rsid w:val="00923EA5"/>
    <w:rsid w:val="009241ED"/>
    <w:rsid w:val="00924698"/>
    <w:rsid w:val="00924D4B"/>
    <w:rsid w:val="009256B6"/>
    <w:rsid w:val="009265C0"/>
    <w:rsid w:val="00926824"/>
    <w:rsid w:val="009274EC"/>
    <w:rsid w:val="00930902"/>
    <w:rsid w:val="00931F2B"/>
    <w:rsid w:val="00932918"/>
    <w:rsid w:val="00934367"/>
    <w:rsid w:val="009357D5"/>
    <w:rsid w:val="009401BA"/>
    <w:rsid w:val="00940395"/>
    <w:rsid w:val="00940F2C"/>
    <w:rsid w:val="0094523C"/>
    <w:rsid w:val="00945281"/>
    <w:rsid w:val="009453FB"/>
    <w:rsid w:val="00947B59"/>
    <w:rsid w:val="00947D58"/>
    <w:rsid w:val="009500CB"/>
    <w:rsid w:val="00950A98"/>
    <w:rsid w:val="009512D9"/>
    <w:rsid w:val="00952E35"/>
    <w:rsid w:val="00953B6C"/>
    <w:rsid w:val="00956158"/>
    <w:rsid w:val="00957AC4"/>
    <w:rsid w:val="009634A0"/>
    <w:rsid w:val="009650F9"/>
    <w:rsid w:val="00967020"/>
    <w:rsid w:val="00967036"/>
    <w:rsid w:val="00970AE5"/>
    <w:rsid w:val="0097269B"/>
    <w:rsid w:val="00972777"/>
    <w:rsid w:val="00972A8E"/>
    <w:rsid w:val="00972C38"/>
    <w:rsid w:val="0097578E"/>
    <w:rsid w:val="0098087C"/>
    <w:rsid w:val="00980F3B"/>
    <w:rsid w:val="00980FA2"/>
    <w:rsid w:val="0098574C"/>
    <w:rsid w:val="009902A4"/>
    <w:rsid w:val="00990EB0"/>
    <w:rsid w:val="0099139F"/>
    <w:rsid w:val="009936D0"/>
    <w:rsid w:val="009956BE"/>
    <w:rsid w:val="009A1BCC"/>
    <w:rsid w:val="009A45ED"/>
    <w:rsid w:val="009A6CB4"/>
    <w:rsid w:val="009B6162"/>
    <w:rsid w:val="009B61BB"/>
    <w:rsid w:val="009B790C"/>
    <w:rsid w:val="009C60F6"/>
    <w:rsid w:val="009D1EBC"/>
    <w:rsid w:val="009D253A"/>
    <w:rsid w:val="009D367F"/>
    <w:rsid w:val="009D6966"/>
    <w:rsid w:val="009E3472"/>
    <w:rsid w:val="009E3647"/>
    <w:rsid w:val="009F0225"/>
    <w:rsid w:val="009F044A"/>
    <w:rsid w:val="009F1F96"/>
    <w:rsid w:val="009F2A7B"/>
    <w:rsid w:val="009F3CBC"/>
    <w:rsid w:val="009F7A13"/>
    <w:rsid w:val="00A01AE8"/>
    <w:rsid w:val="00A07006"/>
    <w:rsid w:val="00A071AC"/>
    <w:rsid w:val="00A126C5"/>
    <w:rsid w:val="00A126F9"/>
    <w:rsid w:val="00A13C5A"/>
    <w:rsid w:val="00A17C12"/>
    <w:rsid w:val="00A17CC5"/>
    <w:rsid w:val="00A201C7"/>
    <w:rsid w:val="00A20EF6"/>
    <w:rsid w:val="00A215A2"/>
    <w:rsid w:val="00A22E80"/>
    <w:rsid w:val="00A24166"/>
    <w:rsid w:val="00A24B95"/>
    <w:rsid w:val="00A25BE2"/>
    <w:rsid w:val="00A27BB5"/>
    <w:rsid w:val="00A27C74"/>
    <w:rsid w:val="00A30500"/>
    <w:rsid w:val="00A30598"/>
    <w:rsid w:val="00A306F8"/>
    <w:rsid w:val="00A30B95"/>
    <w:rsid w:val="00A31FFB"/>
    <w:rsid w:val="00A325CD"/>
    <w:rsid w:val="00A3289D"/>
    <w:rsid w:val="00A36C76"/>
    <w:rsid w:val="00A373D5"/>
    <w:rsid w:val="00A37F40"/>
    <w:rsid w:val="00A416F6"/>
    <w:rsid w:val="00A41792"/>
    <w:rsid w:val="00A429DC"/>
    <w:rsid w:val="00A47B4F"/>
    <w:rsid w:val="00A509E5"/>
    <w:rsid w:val="00A52C85"/>
    <w:rsid w:val="00A53C02"/>
    <w:rsid w:val="00A54A51"/>
    <w:rsid w:val="00A54B2C"/>
    <w:rsid w:val="00A600CA"/>
    <w:rsid w:val="00A652F4"/>
    <w:rsid w:val="00A67EDF"/>
    <w:rsid w:val="00A74A2F"/>
    <w:rsid w:val="00A751F4"/>
    <w:rsid w:val="00A76E10"/>
    <w:rsid w:val="00A82D3C"/>
    <w:rsid w:val="00A83D58"/>
    <w:rsid w:val="00A83E9D"/>
    <w:rsid w:val="00A851E5"/>
    <w:rsid w:val="00A85281"/>
    <w:rsid w:val="00A86125"/>
    <w:rsid w:val="00A90251"/>
    <w:rsid w:val="00A91633"/>
    <w:rsid w:val="00A91EE0"/>
    <w:rsid w:val="00A93068"/>
    <w:rsid w:val="00A953C1"/>
    <w:rsid w:val="00A96305"/>
    <w:rsid w:val="00A973C8"/>
    <w:rsid w:val="00AA1926"/>
    <w:rsid w:val="00AA564F"/>
    <w:rsid w:val="00AA6489"/>
    <w:rsid w:val="00AA71F4"/>
    <w:rsid w:val="00AB0805"/>
    <w:rsid w:val="00AB2C0F"/>
    <w:rsid w:val="00AB3D4F"/>
    <w:rsid w:val="00AB4EF2"/>
    <w:rsid w:val="00AB6A75"/>
    <w:rsid w:val="00AC0406"/>
    <w:rsid w:val="00AC1788"/>
    <w:rsid w:val="00AC34FA"/>
    <w:rsid w:val="00AC520B"/>
    <w:rsid w:val="00AD28B7"/>
    <w:rsid w:val="00AD7F3B"/>
    <w:rsid w:val="00AF000B"/>
    <w:rsid w:val="00AF5BEC"/>
    <w:rsid w:val="00B00318"/>
    <w:rsid w:val="00B03422"/>
    <w:rsid w:val="00B036BC"/>
    <w:rsid w:val="00B03A0A"/>
    <w:rsid w:val="00B05505"/>
    <w:rsid w:val="00B06596"/>
    <w:rsid w:val="00B07991"/>
    <w:rsid w:val="00B1020E"/>
    <w:rsid w:val="00B127ED"/>
    <w:rsid w:val="00B131D9"/>
    <w:rsid w:val="00B14D1C"/>
    <w:rsid w:val="00B14FBE"/>
    <w:rsid w:val="00B245A7"/>
    <w:rsid w:val="00B2794B"/>
    <w:rsid w:val="00B33EE9"/>
    <w:rsid w:val="00B36BCC"/>
    <w:rsid w:val="00B408D1"/>
    <w:rsid w:val="00B40B0E"/>
    <w:rsid w:val="00B410AA"/>
    <w:rsid w:val="00B42919"/>
    <w:rsid w:val="00B45475"/>
    <w:rsid w:val="00B46267"/>
    <w:rsid w:val="00B512DC"/>
    <w:rsid w:val="00B57CFC"/>
    <w:rsid w:val="00B620BB"/>
    <w:rsid w:val="00B62FA4"/>
    <w:rsid w:val="00B637FB"/>
    <w:rsid w:val="00B6567D"/>
    <w:rsid w:val="00B66D63"/>
    <w:rsid w:val="00B67C39"/>
    <w:rsid w:val="00B726F3"/>
    <w:rsid w:val="00B744BE"/>
    <w:rsid w:val="00B77471"/>
    <w:rsid w:val="00B8096F"/>
    <w:rsid w:val="00B833E9"/>
    <w:rsid w:val="00B84007"/>
    <w:rsid w:val="00B91D4B"/>
    <w:rsid w:val="00B9206C"/>
    <w:rsid w:val="00B927B4"/>
    <w:rsid w:val="00B92F25"/>
    <w:rsid w:val="00B94B01"/>
    <w:rsid w:val="00B95711"/>
    <w:rsid w:val="00BA03C0"/>
    <w:rsid w:val="00BA2975"/>
    <w:rsid w:val="00BA3A26"/>
    <w:rsid w:val="00BA50F1"/>
    <w:rsid w:val="00BA59F6"/>
    <w:rsid w:val="00BA7A53"/>
    <w:rsid w:val="00BA7C06"/>
    <w:rsid w:val="00BB024F"/>
    <w:rsid w:val="00BB28ED"/>
    <w:rsid w:val="00BB2D78"/>
    <w:rsid w:val="00BB30E3"/>
    <w:rsid w:val="00BB3FC6"/>
    <w:rsid w:val="00BB4B9C"/>
    <w:rsid w:val="00BB5DD9"/>
    <w:rsid w:val="00BC1B4F"/>
    <w:rsid w:val="00BC1E4B"/>
    <w:rsid w:val="00BC6131"/>
    <w:rsid w:val="00BD1936"/>
    <w:rsid w:val="00BD326D"/>
    <w:rsid w:val="00BD358E"/>
    <w:rsid w:val="00BD3951"/>
    <w:rsid w:val="00BD5AEC"/>
    <w:rsid w:val="00BD73D7"/>
    <w:rsid w:val="00BE0B99"/>
    <w:rsid w:val="00BE253C"/>
    <w:rsid w:val="00BE5219"/>
    <w:rsid w:val="00BF52E2"/>
    <w:rsid w:val="00BF57B9"/>
    <w:rsid w:val="00BF6AF9"/>
    <w:rsid w:val="00C02359"/>
    <w:rsid w:val="00C02918"/>
    <w:rsid w:val="00C063F7"/>
    <w:rsid w:val="00C10E24"/>
    <w:rsid w:val="00C111B5"/>
    <w:rsid w:val="00C11BBF"/>
    <w:rsid w:val="00C14A2C"/>
    <w:rsid w:val="00C221ED"/>
    <w:rsid w:val="00C23BC1"/>
    <w:rsid w:val="00C25C7A"/>
    <w:rsid w:val="00C27906"/>
    <w:rsid w:val="00C31748"/>
    <w:rsid w:val="00C34943"/>
    <w:rsid w:val="00C34E32"/>
    <w:rsid w:val="00C354B6"/>
    <w:rsid w:val="00C3673B"/>
    <w:rsid w:val="00C3722F"/>
    <w:rsid w:val="00C41064"/>
    <w:rsid w:val="00C4357C"/>
    <w:rsid w:val="00C436CF"/>
    <w:rsid w:val="00C45611"/>
    <w:rsid w:val="00C46236"/>
    <w:rsid w:val="00C5028B"/>
    <w:rsid w:val="00C51D71"/>
    <w:rsid w:val="00C51F88"/>
    <w:rsid w:val="00C52F39"/>
    <w:rsid w:val="00C53E36"/>
    <w:rsid w:val="00C5666E"/>
    <w:rsid w:val="00C56702"/>
    <w:rsid w:val="00C601B8"/>
    <w:rsid w:val="00C61E2C"/>
    <w:rsid w:val="00C63DC5"/>
    <w:rsid w:val="00C65475"/>
    <w:rsid w:val="00C71C7D"/>
    <w:rsid w:val="00C72EE5"/>
    <w:rsid w:val="00C736E7"/>
    <w:rsid w:val="00C76B9F"/>
    <w:rsid w:val="00C773CF"/>
    <w:rsid w:val="00C77947"/>
    <w:rsid w:val="00C77C01"/>
    <w:rsid w:val="00C82644"/>
    <w:rsid w:val="00C842E4"/>
    <w:rsid w:val="00C85408"/>
    <w:rsid w:val="00C85E55"/>
    <w:rsid w:val="00C874C1"/>
    <w:rsid w:val="00C87560"/>
    <w:rsid w:val="00C879BD"/>
    <w:rsid w:val="00C95179"/>
    <w:rsid w:val="00CA2CBB"/>
    <w:rsid w:val="00CA5773"/>
    <w:rsid w:val="00CA5DBF"/>
    <w:rsid w:val="00CB1C0E"/>
    <w:rsid w:val="00CB415E"/>
    <w:rsid w:val="00CB6A25"/>
    <w:rsid w:val="00CB6B25"/>
    <w:rsid w:val="00CB6F66"/>
    <w:rsid w:val="00CB6FE8"/>
    <w:rsid w:val="00CC0CF5"/>
    <w:rsid w:val="00CC172E"/>
    <w:rsid w:val="00CC1F2A"/>
    <w:rsid w:val="00CC245B"/>
    <w:rsid w:val="00CC2727"/>
    <w:rsid w:val="00CC3988"/>
    <w:rsid w:val="00CC3D02"/>
    <w:rsid w:val="00CC4EA0"/>
    <w:rsid w:val="00CC7B1F"/>
    <w:rsid w:val="00CD0939"/>
    <w:rsid w:val="00CD36DC"/>
    <w:rsid w:val="00CD4A29"/>
    <w:rsid w:val="00CE0EA6"/>
    <w:rsid w:val="00CE1BAE"/>
    <w:rsid w:val="00CE1BDC"/>
    <w:rsid w:val="00CE3E7F"/>
    <w:rsid w:val="00CE4E9C"/>
    <w:rsid w:val="00CE5D78"/>
    <w:rsid w:val="00CF22D6"/>
    <w:rsid w:val="00CF6871"/>
    <w:rsid w:val="00D004A4"/>
    <w:rsid w:val="00D03874"/>
    <w:rsid w:val="00D047DB"/>
    <w:rsid w:val="00D05569"/>
    <w:rsid w:val="00D1005F"/>
    <w:rsid w:val="00D1055D"/>
    <w:rsid w:val="00D13D4F"/>
    <w:rsid w:val="00D152D3"/>
    <w:rsid w:val="00D20A25"/>
    <w:rsid w:val="00D3122F"/>
    <w:rsid w:val="00D34A84"/>
    <w:rsid w:val="00D35773"/>
    <w:rsid w:val="00D35FCD"/>
    <w:rsid w:val="00D41F1B"/>
    <w:rsid w:val="00D42D37"/>
    <w:rsid w:val="00D4631C"/>
    <w:rsid w:val="00D47858"/>
    <w:rsid w:val="00D47F1B"/>
    <w:rsid w:val="00D501C0"/>
    <w:rsid w:val="00D50326"/>
    <w:rsid w:val="00D52C74"/>
    <w:rsid w:val="00D567D9"/>
    <w:rsid w:val="00D568B3"/>
    <w:rsid w:val="00D60217"/>
    <w:rsid w:val="00D6123B"/>
    <w:rsid w:val="00D65474"/>
    <w:rsid w:val="00D72AD4"/>
    <w:rsid w:val="00D7306B"/>
    <w:rsid w:val="00D7333D"/>
    <w:rsid w:val="00D736C5"/>
    <w:rsid w:val="00D74348"/>
    <w:rsid w:val="00D743F9"/>
    <w:rsid w:val="00D7649F"/>
    <w:rsid w:val="00D83207"/>
    <w:rsid w:val="00D84649"/>
    <w:rsid w:val="00D8580E"/>
    <w:rsid w:val="00D90C92"/>
    <w:rsid w:val="00D92BE8"/>
    <w:rsid w:val="00D939AC"/>
    <w:rsid w:val="00D97A97"/>
    <w:rsid w:val="00D97E72"/>
    <w:rsid w:val="00DA0428"/>
    <w:rsid w:val="00DA442E"/>
    <w:rsid w:val="00DA4469"/>
    <w:rsid w:val="00DA505C"/>
    <w:rsid w:val="00DA5BA6"/>
    <w:rsid w:val="00DB0CAE"/>
    <w:rsid w:val="00DB7B04"/>
    <w:rsid w:val="00DC2459"/>
    <w:rsid w:val="00DC2D02"/>
    <w:rsid w:val="00DD463B"/>
    <w:rsid w:val="00DD4AA0"/>
    <w:rsid w:val="00DD73ED"/>
    <w:rsid w:val="00DD773A"/>
    <w:rsid w:val="00DD7C06"/>
    <w:rsid w:val="00DE788C"/>
    <w:rsid w:val="00DF04F4"/>
    <w:rsid w:val="00DF10F3"/>
    <w:rsid w:val="00DF2E14"/>
    <w:rsid w:val="00DF3195"/>
    <w:rsid w:val="00DF3281"/>
    <w:rsid w:val="00DF7258"/>
    <w:rsid w:val="00E02559"/>
    <w:rsid w:val="00E025A3"/>
    <w:rsid w:val="00E02FAB"/>
    <w:rsid w:val="00E034E3"/>
    <w:rsid w:val="00E0582B"/>
    <w:rsid w:val="00E073EF"/>
    <w:rsid w:val="00E10423"/>
    <w:rsid w:val="00E1195E"/>
    <w:rsid w:val="00E11B81"/>
    <w:rsid w:val="00E154AA"/>
    <w:rsid w:val="00E16E0C"/>
    <w:rsid w:val="00E24BFD"/>
    <w:rsid w:val="00E2674A"/>
    <w:rsid w:val="00E27A88"/>
    <w:rsid w:val="00E40D7D"/>
    <w:rsid w:val="00E47963"/>
    <w:rsid w:val="00E511EC"/>
    <w:rsid w:val="00E52856"/>
    <w:rsid w:val="00E53999"/>
    <w:rsid w:val="00E60CE5"/>
    <w:rsid w:val="00E62904"/>
    <w:rsid w:val="00E62A0E"/>
    <w:rsid w:val="00E65637"/>
    <w:rsid w:val="00E72167"/>
    <w:rsid w:val="00E7256B"/>
    <w:rsid w:val="00E75BE7"/>
    <w:rsid w:val="00E75DF7"/>
    <w:rsid w:val="00E83C35"/>
    <w:rsid w:val="00E84829"/>
    <w:rsid w:val="00E84A8C"/>
    <w:rsid w:val="00E90881"/>
    <w:rsid w:val="00E93CDA"/>
    <w:rsid w:val="00E95588"/>
    <w:rsid w:val="00E974FD"/>
    <w:rsid w:val="00EA0000"/>
    <w:rsid w:val="00EA0C48"/>
    <w:rsid w:val="00EA0D2B"/>
    <w:rsid w:val="00EA0D65"/>
    <w:rsid w:val="00EA18EE"/>
    <w:rsid w:val="00EA1FE9"/>
    <w:rsid w:val="00EA2C19"/>
    <w:rsid w:val="00EA5C6A"/>
    <w:rsid w:val="00EB19B8"/>
    <w:rsid w:val="00EB3154"/>
    <w:rsid w:val="00EB368E"/>
    <w:rsid w:val="00EB45BD"/>
    <w:rsid w:val="00EB4986"/>
    <w:rsid w:val="00EB5DD7"/>
    <w:rsid w:val="00EB6F9A"/>
    <w:rsid w:val="00EB7F9E"/>
    <w:rsid w:val="00EC291D"/>
    <w:rsid w:val="00EC2B37"/>
    <w:rsid w:val="00EC32EF"/>
    <w:rsid w:val="00EC37F8"/>
    <w:rsid w:val="00EC56C8"/>
    <w:rsid w:val="00EC67EF"/>
    <w:rsid w:val="00EC69E7"/>
    <w:rsid w:val="00EC6F40"/>
    <w:rsid w:val="00ED273D"/>
    <w:rsid w:val="00ED4DB5"/>
    <w:rsid w:val="00ED4DF4"/>
    <w:rsid w:val="00ED4F57"/>
    <w:rsid w:val="00ED50FC"/>
    <w:rsid w:val="00ED6895"/>
    <w:rsid w:val="00ED7087"/>
    <w:rsid w:val="00EE1521"/>
    <w:rsid w:val="00EE4D8C"/>
    <w:rsid w:val="00EF0485"/>
    <w:rsid w:val="00EF1EC4"/>
    <w:rsid w:val="00EF6965"/>
    <w:rsid w:val="00F02042"/>
    <w:rsid w:val="00F066FD"/>
    <w:rsid w:val="00F078AB"/>
    <w:rsid w:val="00F13A6B"/>
    <w:rsid w:val="00F15A86"/>
    <w:rsid w:val="00F15BDD"/>
    <w:rsid w:val="00F2195F"/>
    <w:rsid w:val="00F2468E"/>
    <w:rsid w:val="00F32698"/>
    <w:rsid w:val="00F3705A"/>
    <w:rsid w:val="00F41E26"/>
    <w:rsid w:val="00F42751"/>
    <w:rsid w:val="00F45FB3"/>
    <w:rsid w:val="00F503DC"/>
    <w:rsid w:val="00F503E8"/>
    <w:rsid w:val="00F505F3"/>
    <w:rsid w:val="00F549A6"/>
    <w:rsid w:val="00F558A5"/>
    <w:rsid w:val="00F60195"/>
    <w:rsid w:val="00F6413E"/>
    <w:rsid w:val="00F66AAD"/>
    <w:rsid w:val="00F6775C"/>
    <w:rsid w:val="00F678D6"/>
    <w:rsid w:val="00F769C3"/>
    <w:rsid w:val="00F76F98"/>
    <w:rsid w:val="00F76FC0"/>
    <w:rsid w:val="00F81C2B"/>
    <w:rsid w:val="00F830A7"/>
    <w:rsid w:val="00F83E41"/>
    <w:rsid w:val="00F87A0B"/>
    <w:rsid w:val="00F910B4"/>
    <w:rsid w:val="00F94F87"/>
    <w:rsid w:val="00F96111"/>
    <w:rsid w:val="00F96125"/>
    <w:rsid w:val="00FA0001"/>
    <w:rsid w:val="00FA0E62"/>
    <w:rsid w:val="00FA69FB"/>
    <w:rsid w:val="00FA6A03"/>
    <w:rsid w:val="00FA7C12"/>
    <w:rsid w:val="00FB22DA"/>
    <w:rsid w:val="00FB3866"/>
    <w:rsid w:val="00FB3CD4"/>
    <w:rsid w:val="00FB45AC"/>
    <w:rsid w:val="00FB5607"/>
    <w:rsid w:val="00FB5C5B"/>
    <w:rsid w:val="00FC13D7"/>
    <w:rsid w:val="00FC20B9"/>
    <w:rsid w:val="00FC72FC"/>
    <w:rsid w:val="00FC7F10"/>
    <w:rsid w:val="00FD1679"/>
    <w:rsid w:val="00FD2B0F"/>
    <w:rsid w:val="00FD4BC2"/>
    <w:rsid w:val="00FD7FBA"/>
    <w:rsid w:val="00FE02A0"/>
    <w:rsid w:val="00FE17A5"/>
    <w:rsid w:val="00FE1B03"/>
    <w:rsid w:val="00FE29A8"/>
    <w:rsid w:val="00FE2B4F"/>
    <w:rsid w:val="00FE398E"/>
    <w:rsid w:val="00FE42E3"/>
    <w:rsid w:val="00FE5AB8"/>
    <w:rsid w:val="00FE797D"/>
    <w:rsid w:val="00FF0280"/>
    <w:rsid w:val="00FF3118"/>
    <w:rsid w:val="00FF3B1B"/>
    <w:rsid w:val="00FF50A8"/>
    <w:rsid w:val="00FF5B2C"/>
    <w:rsid w:val="00FF7C0D"/>
    <w:rsid w:val="010A5DC4"/>
    <w:rsid w:val="025C30AD"/>
    <w:rsid w:val="02D02EBD"/>
    <w:rsid w:val="02EC7DF2"/>
    <w:rsid w:val="05163E75"/>
    <w:rsid w:val="055030E1"/>
    <w:rsid w:val="05764449"/>
    <w:rsid w:val="05D83309"/>
    <w:rsid w:val="061F2B3B"/>
    <w:rsid w:val="06551025"/>
    <w:rsid w:val="06790348"/>
    <w:rsid w:val="06C757C6"/>
    <w:rsid w:val="06F71C65"/>
    <w:rsid w:val="08634C0A"/>
    <w:rsid w:val="09357A62"/>
    <w:rsid w:val="0A011410"/>
    <w:rsid w:val="0A04689F"/>
    <w:rsid w:val="0A2B2E23"/>
    <w:rsid w:val="0B507CFD"/>
    <w:rsid w:val="0BB71275"/>
    <w:rsid w:val="0BFA3567"/>
    <w:rsid w:val="0C631761"/>
    <w:rsid w:val="0D312794"/>
    <w:rsid w:val="0D60594A"/>
    <w:rsid w:val="0D6841DD"/>
    <w:rsid w:val="0EDA7342"/>
    <w:rsid w:val="0F326BC7"/>
    <w:rsid w:val="0F945CDD"/>
    <w:rsid w:val="107227BA"/>
    <w:rsid w:val="1092136E"/>
    <w:rsid w:val="11AE2892"/>
    <w:rsid w:val="12055B04"/>
    <w:rsid w:val="13203087"/>
    <w:rsid w:val="135E172B"/>
    <w:rsid w:val="151376B5"/>
    <w:rsid w:val="165C79D0"/>
    <w:rsid w:val="1711350C"/>
    <w:rsid w:val="17B9462A"/>
    <w:rsid w:val="18221F39"/>
    <w:rsid w:val="183550CB"/>
    <w:rsid w:val="19C64A67"/>
    <w:rsid w:val="19D72A04"/>
    <w:rsid w:val="1A4A16E2"/>
    <w:rsid w:val="1A515E18"/>
    <w:rsid w:val="1A9D519C"/>
    <w:rsid w:val="1AD12C6B"/>
    <w:rsid w:val="1AE06E72"/>
    <w:rsid w:val="1B7F79E7"/>
    <w:rsid w:val="1BD602FB"/>
    <w:rsid w:val="1BFD2A58"/>
    <w:rsid w:val="1C451FDD"/>
    <w:rsid w:val="1C615856"/>
    <w:rsid w:val="1D585515"/>
    <w:rsid w:val="1D8A4C34"/>
    <w:rsid w:val="1E2F26BA"/>
    <w:rsid w:val="1E371D50"/>
    <w:rsid w:val="1EC23F7A"/>
    <w:rsid w:val="1FE73A9D"/>
    <w:rsid w:val="1FF65426"/>
    <w:rsid w:val="201F7326"/>
    <w:rsid w:val="20D37767"/>
    <w:rsid w:val="21D8433B"/>
    <w:rsid w:val="21D91125"/>
    <w:rsid w:val="220228BD"/>
    <w:rsid w:val="231D08DA"/>
    <w:rsid w:val="234C4E76"/>
    <w:rsid w:val="249D634D"/>
    <w:rsid w:val="257F2624"/>
    <w:rsid w:val="26067DA8"/>
    <w:rsid w:val="27E31E23"/>
    <w:rsid w:val="28A7731B"/>
    <w:rsid w:val="28BB4B42"/>
    <w:rsid w:val="28EB2967"/>
    <w:rsid w:val="296F549E"/>
    <w:rsid w:val="2A7B0A07"/>
    <w:rsid w:val="2AE474A0"/>
    <w:rsid w:val="2C732E69"/>
    <w:rsid w:val="2DDB77E7"/>
    <w:rsid w:val="30B252C5"/>
    <w:rsid w:val="30D55E8A"/>
    <w:rsid w:val="30DC223B"/>
    <w:rsid w:val="3190581E"/>
    <w:rsid w:val="321B6897"/>
    <w:rsid w:val="329324F4"/>
    <w:rsid w:val="32CB0750"/>
    <w:rsid w:val="338E1C3D"/>
    <w:rsid w:val="33CC7C1C"/>
    <w:rsid w:val="345A75A6"/>
    <w:rsid w:val="357E5107"/>
    <w:rsid w:val="36486E63"/>
    <w:rsid w:val="367671FC"/>
    <w:rsid w:val="37115A12"/>
    <w:rsid w:val="37EE566A"/>
    <w:rsid w:val="38123E8E"/>
    <w:rsid w:val="38295B83"/>
    <w:rsid w:val="38A772B6"/>
    <w:rsid w:val="38C23882"/>
    <w:rsid w:val="38E11085"/>
    <w:rsid w:val="393C46DC"/>
    <w:rsid w:val="396732DD"/>
    <w:rsid w:val="39EF1A84"/>
    <w:rsid w:val="39F73CBB"/>
    <w:rsid w:val="3B41629F"/>
    <w:rsid w:val="3B724BE7"/>
    <w:rsid w:val="3BAF4E25"/>
    <w:rsid w:val="3C2C2A3A"/>
    <w:rsid w:val="3C751E7C"/>
    <w:rsid w:val="3C924357"/>
    <w:rsid w:val="3C926AEF"/>
    <w:rsid w:val="3CCF2115"/>
    <w:rsid w:val="3E333A4A"/>
    <w:rsid w:val="3EB57949"/>
    <w:rsid w:val="3F1F0229"/>
    <w:rsid w:val="3F290FFD"/>
    <w:rsid w:val="3F4B1440"/>
    <w:rsid w:val="3FB543D5"/>
    <w:rsid w:val="3FCD708C"/>
    <w:rsid w:val="40382E3C"/>
    <w:rsid w:val="40A83A58"/>
    <w:rsid w:val="40C50AE6"/>
    <w:rsid w:val="420D3133"/>
    <w:rsid w:val="42375D42"/>
    <w:rsid w:val="42D617B4"/>
    <w:rsid w:val="42E02AD8"/>
    <w:rsid w:val="43216FC5"/>
    <w:rsid w:val="447635B3"/>
    <w:rsid w:val="45187212"/>
    <w:rsid w:val="45690969"/>
    <w:rsid w:val="45F42DD1"/>
    <w:rsid w:val="46F14131"/>
    <w:rsid w:val="46FE1274"/>
    <w:rsid w:val="487945F8"/>
    <w:rsid w:val="48D12F0F"/>
    <w:rsid w:val="48DD5BDC"/>
    <w:rsid w:val="49397237"/>
    <w:rsid w:val="49444B04"/>
    <w:rsid w:val="49510466"/>
    <w:rsid w:val="49B03735"/>
    <w:rsid w:val="4A303C67"/>
    <w:rsid w:val="4B6B1792"/>
    <w:rsid w:val="4B711678"/>
    <w:rsid w:val="4B814839"/>
    <w:rsid w:val="4C5705A8"/>
    <w:rsid w:val="4DB41023"/>
    <w:rsid w:val="4E0F2E26"/>
    <w:rsid w:val="4E2E6107"/>
    <w:rsid w:val="4EF11995"/>
    <w:rsid w:val="4F8540F7"/>
    <w:rsid w:val="502F4D8F"/>
    <w:rsid w:val="50A372E6"/>
    <w:rsid w:val="50A8559F"/>
    <w:rsid w:val="51137A93"/>
    <w:rsid w:val="514C5D6B"/>
    <w:rsid w:val="51E56B04"/>
    <w:rsid w:val="522254B2"/>
    <w:rsid w:val="52582329"/>
    <w:rsid w:val="535E0B3A"/>
    <w:rsid w:val="544E1BE6"/>
    <w:rsid w:val="547A31B7"/>
    <w:rsid w:val="56315DBC"/>
    <w:rsid w:val="56701E3F"/>
    <w:rsid w:val="571B0E29"/>
    <w:rsid w:val="57802C1F"/>
    <w:rsid w:val="57DB7C0C"/>
    <w:rsid w:val="58391CC2"/>
    <w:rsid w:val="590C34B1"/>
    <w:rsid w:val="594249DF"/>
    <w:rsid w:val="59476C19"/>
    <w:rsid w:val="59DF4B3F"/>
    <w:rsid w:val="5AAF3C9D"/>
    <w:rsid w:val="5C1F2723"/>
    <w:rsid w:val="5D8D6186"/>
    <w:rsid w:val="5DF75B8C"/>
    <w:rsid w:val="5EC50D29"/>
    <w:rsid w:val="5F661B46"/>
    <w:rsid w:val="5F812757"/>
    <w:rsid w:val="60AE4DBC"/>
    <w:rsid w:val="615C21DF"/>
    <w:rsid w:val="621F19FF"/>
    <w:rsid w:val="626F724C"/>
    <w:rsid w:val="62917FE8"/>
    <w:rsid w:val="62C94E34"/>
    <w:rsid w:val="62C973B9"/>
    <w:rsid w:val="631005F5"/>
    <w:rsid w:val="63471A40"/>
    <w:rsid w:val="63D6319A"/>
    <w:rsid w:val="646C5FE2"/>
    <w:rsid w:val="654C73E8"/>
    <w:rsid w:val="65977BA9"/>
    <w:rsid w:val="65CD2DA8"/>
    <w:rsid w:val="671F1577"/>
    <w:rsid w:val="67CC08BC"/>
    <w:rsid w:val="68337A1B"/>
    <w:rsid w:val="68490BA5"/>
    <w:rsid w:val="68E41620"/>
    <w:rsid w:val="6AE2367C"/>
    <w:rsid w:val="6B8443EB"/>
    <w:rsid w:val="6C9F1FDB"/>
    <w:rsid w:val="6D923173"/>
    <w:rsid w:val="6ED201BC"/>
    <w:rsid w:val="6ED54F3F"/>
    <w:rsid w:val="70E70DEA"/>
    <w:rsid w:val="729B119D"/>
    <w:rsid w:val="72A056BA"/>
    <w:rsid w:val="72EE7A5E"/>
    <w:rsid w:val="7398206F"/>
    <w:rsid w:val="74207BA7"/>
    <w:rsid w:val="75C3789C"/>
    <w:rsid w:val="7630704B"/>
    <w:rsid w:val="76476523"/>
    <w:rsid w:val="77514D90"/>
    <w:rsid w:val="77707145"/>
    <w:rsid w:val="79886C33"/>
    <w:rsid w:val="79FB0CBC"/>
    <w:rsid w:val="7A85308B"/>
    <w:rsid w:val="7AAB1005"/>
    <w:rsid w:val="7B5004DB"/>
    <w:rsid w:val="7C5C3A1E"/>
    <w:rsid w:val="7C7E64EF"/>
    <w:rsid w:val="7D2968CD"/>
    <w:rsid w:val="7D3313D6"/>
    <w:rsid w:val="7E466AB8"/>
    <w:rsid w:val="7E8178B7"/>
    <w:rsid w:val="7F3A06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iPriority="99"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5"/>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84"/>
    <w:qFormat/>
    <w:uiPriority w:val="9"/>
    <w:pPr>
      <w:keepNext/>
      <w:keepLines/>
      <w:numPr>
        <w:ilvl w:val="1"/>
        <w:numId w:val="1"/>
      </w:numPr>
      <w:adjustRightInd w:val="0"/>
      <w:spacing w:before="260" w:after="260" w:line="416" w:lineRule="atLeast"/>
      <w:jc w:val="center"/>
      <w:outlineLvl w:val="1"/>
    </w:pPr>
    <w:rPr>
      <w:rFonts w:ascii="Arial" w:hAnsi="Arial" w:eastAsia="黑体"/>
      <w:b/>
      <w:kern w:val="0"/>
      <w:sz w:val="32"/>
      <w:szCs w:val="20"/>
    </w:rPr>
  </w:style>
  <w:style w:type="paragraph" w:styleId="4">
    <w:name w:val="heading 3"/>
    <w:basedOn w:val="1"/>
    <w:next w:val="1"/>
    <w:link w:val="90"/>
    <w:qFormat/>
    <w:uiPriority w:val="0"/>
    <w:pPr>
      <w:keepNext/>
      <w:keepLines/>
      <w:numPr>
        <w:ilvl w:val="2"/>
        <w:numId w:val="1"/>
      </w:numPr>
      <w:adjustRightInd w:val="0"/>
      <w:spacing w:before="260" w:after="260" w:line="416" w:lineRule="atLeast"/>
      <w:outlineLvl w:val="2"/>
    </w:pPr>
    <w:rPr>
      <w:b/>
      <w:kern w:val="0"/>
      <w:sz w:val="32"/>
      <w:szCs w:val="20"/>
    </w:rPr>
  </w:style>
  <w:style w:type="paragraph" w:styleId="5">
    <w:name w:val="heading 4"/>
    <w:basedOn w:val="1"/>
    <w:next w:val="1"/>
    <w:link w:val="72"/>
    <w:qFormat/>
    <w:uiPriority w:val="0"/>
    <w:pPr>
      <w:keepNext/>
      <w:keepLines/>
      <w:numPr>
        <w:ilvl w:val="3"/>
        <w:numId w:val="1"/>
      </w:numPr>
      <w:adjustRightInd w:val="0"/>
      <w:spacing w:before="280" w:after="290" w:line="376" w:lineRule="atLeast"/>
      <w:outlineLvl w:val="3"/>
    </w:pPr>
    <w:rPr>
      <w:rFonts w:ascii="Arial" w:hAnsi="Arial" w:eastAsia="黑体"/>
      <w:b/>
      <w:kern w:val="0"/>
      <w:sz w:val="28"/>
      <w:szCs w:val="20"/>
    </w:rPr>
  </w:style>
  <w:style w:type="paragraph" w:styleId="6">
    <w:name w:val="heading 5"/>
    <w:basedOn w:val="1"/>
    <w:next w:val="1"/>
    <w:link w:val="89"/>
    <w:qFormat/>
    <w:uiPriority w:val="0"/>
    <w:pPr>
      <w:keepNext/>
      <w:keepLines/>
      <w:numPr>
        <w:ilvl w:val="4"/>
        <w:numId w:val="1"/>
      </w:numPr>
      <w:adjustRightInd w:val="0"/>
      <w:spacing w:before="280" w:after="290" w:line="376" w:lineRule="atLeast"/>
      <w:outlineLvl w:val="4"/>
    </w:pPr>
    <w:rPr>
      <w:b/>
      <w:kern w:val="0"/>
      <w:sz w:val="28"/>
      <w:szCs w:val="20"/>
    </w:rPr>
  </w:style>
  <w:style w:type="paragraph" w:styleId="7">
    <w:name w:val="heading 6"/>
    <w:basedOn w:val="1"/>
    <w:next w:val="1"/>
    <w:link w:val="87"/>
    <w:qFormat/>
    <w:uiPriority w:val="0"/>
    <w:pPr>
      <w:keepNext/>
      <w:keepLines/>
      <w:numPr>
        <w:ilvl w:val="5"/>
        <w:numId w:val="1"/>
      </w:numPr>
      <w:adjustRightInd w:val="0"/>
      <w:spacing w:before="240" w:after="64" w:line="320" w:lineRule="atLeast"/>
      <w:outlineLvl w:val="5"/>
    </w:pPr>
    <w:rPr>
      <w:rFonts w:ascii="Arial" w:hAnsi="Arial" w:eastAsia="黑体"/>
      <w:b/>
      <w:kern w:val="0"/>
      <w:sz w:val="24"/>
      <w:szCs w:val="20"/>
    </w:rPr>
  </w:style>
  <w:style w:type="paragraph" w:styleId="8">
    <w:name w:val="heading 7"/>
    <w:basedOn w:val="1"/>
    <w:next w:val="1"/>
    <w:link w:val="73"/>
    <w:qFormat/>
    <w:uiPriority w:val="0"/>
    <w:pPr>
      <w:keepNext/>
      <w:keepLines/>
      <w:numPr>
        <w:ilvl w:val="6"/>
        <w:numId w:val="1"/>
      </w:numPr>
      <w:adjustRightInd w:val="0"/>
      <w:spacing w:before="240" w:after="64" w:line="320" w:lineRule="atLeast"/>
      <w:outlineLvl w:val="6"/>
    </w:pPr>
    <w:rPr>
      <w:b/>
      <w:kern w:val="0"/>
      <w:sz w:val="24"/>
      <w:szCs w:val="20"/>
    </w:rPr>
  </w:style>
  <w:style w:type="paragraph" w:styleId="9">
    <w:name w:val="heading 8"/>
    <w:basedOn w:val="1"/>
    <w:next w:val="1"/>
    <w:link w:val="82"/>
    <w:qFormat/>
    <w:uiPriority w:val="0"/>
    <w:pPr>
      <w:keepNext/>
      <w:keepLines/>
      <w:numPr>
        <w:ilvl w:val="7"/>
        <w:numId w:val="1"/>
      </w:numPr>
      <w:adjustRightInd w:val="0"/>
      <w:spacing w:before="240" w:after="64" w:line="320" w:lineRule="atLeast"/>
      <w:outlineLvl w:val="7"/>
    </w:pPr>
    <w:rPr>
      <w:rFonts w:ascii="Arial" w:hAnsi="Arial" w:eastAsia="黑体"/>
      <w:kern w:val="0"/>
      <w:sz w:val="24"/>
      <w:szCs w:val="20"/>
    </w:rPr>
  </w:style>
  <w:style w:type="paragraph" w:styleId="10">
    <w:name w:val="heading 9"/>
    <w:basedOn w:val="1"/>
    <w:next w:val="1"/>
    <w:link w:val="83"/>
    <w:qFormat/>
    <w:uiPriority w:val="0"/>
    <w:pPr>
      <w:keepNext/>
      <w:keepLines/>
      <w:numPr>
        <w:ilvl w:val="8"/>
        <w:numId w:val="1"/>
      </w:numPr>
      <w:adjustRightInd w:val="0"/>
      <w:spacing w:before="240" w:after="64" w:line="320" w:lineRule="atLeast"/>
      <w:outlineLvl w:val="8"/>
    </w:pPr>
    <w:rPr>
      <w:rFonts w:ascii="Arial" w:hAnsi="Arial" w:eastAsia="黑体"/>
      <w:kern w:val="0"/>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link w:val="77"/>
    <w:qFormat/>
    <w:uiPriority w:val="99"/>
    <w:pPr>
      <w:ind w:firstLine="420"/>
    </w:pPr>
    <w:rPr>
      <w:rFonts w:ascii="宋体" w:hAnsi="宋体"/>
      <w:sz w:val="24"/>
      <w:szCs w:val="20"/>
    </w:rPr>
  </w:style>
  <w:style w:type="paragraph" w:styleId="13">
    <w:name w:val="Document Map"/>
    <w:basedOn w:val="1"/>
    <w:link w:val="88"/>
    <w:semiHidden/>
    <w:qFormat/>
    <w:uiPriority w:val="0"/>
    <w:pPr>
      <w:shd w:val="clear" w:color="auto" w:fill="000080"/>
    </w:pPr>
    <w:rPr>
      <w:rFonts w:ascii="宋体" w:hAnsi="宋体"/>
    </w:rPr>
  </w:style>
  <w:style w:type="paragraph" w:styleId="14">
    <w:name w:val="annotation text"/>
    <w:basedOn w:val="1"/>
    <w:link w:val="74"/>
    <w:semiHidden/>
    <w:qFormat/>
    <w:uiPriority w:val="99"/>
    <w:pPr>
      <w:widowControl/>
      <w:jc w:val="left"/>
    </w:pPr>
    <w:rPr>
      <w:rFonts w:ascii="宋体" w:hAnsi="宋体"/>
      <w:kern w:val="0"/>
      <w:sz w:val="20"/>
      <w:szCs w:val="20"/>
    </w:rPr>
  </w:style>
  <w:style w:type="paragraph" w:styleId="15">
    <w:name w:val="Salutation"/>
    <w:basedOn w:val="1"/>
    <w:next w:val="1"/>
    <w:link w:val="231"/>
    <w:unhideWhenUsed/>
    <w:qFormat/>
    <w:uiPriority w:val="99"/>
    <w:pPr>
      <w:widowControl/>
      <w:adjustRightInd w:val="0"/>
      <w:spacing w:line="312" w:lineRule="atLeast"/>
      <w:ind w:firstLine="200" w:firstLineChars="200"/>
      <w:jc w:val="left"/>
      <w:textAlignment w:val="baseline"/>
    </w:pPr>
    <w:rPr>
      <w:rFonts w:ascii="仿宋_GB2312" w:hAnsi="Calibri" w:eastAsia="仿宋_GB2312"/>
      <w:kern w:val="0"/>
      <w:sz w:val="24"/>
      <w:lang w:eastAsia="en-US"/>
    </w:rPr>
  </w:style>
  <w:style w:type="paragraph" w:styleId="16">
    <w:name w:val="Body Text 3"/>
    <w:basedOn w:val="1"/>
    <w:link w:val="71"/>
    <w:qFormat/>
    <w:uiPriority w:val="0"/>
    <w:pPr>
      <w:spacing w:after="120"/>
    </w:pPr>
    <w:rPr>
      <w:rFonts w:ascii="宋体" w:hAnsi="宋体"/>
      <w:sz w:val="16"/>
      <w:szCs w:val="16"/>
    </w:rPr>
  </w:style>
  <w:style w:type="paragraph" w:styleId="17">
    <w:name w:val="Body Text"/>
    <w:basedOn w:val="1"/>
    <w:link w:val="57"/>
    <w:qFormat/>
    <w:uiPriority w:val="99"/>
    <w:rPr>
      <w:rFonts w:ascii="黑体" w:eastAsia="黑体"/>
      <w:b/>
      <w:color w:val="FF0000"/>
      <w:spacing w:val="-18"/>
      <w:kern w:val="0"/>
      <w:sz w:val="52"/>
      <w:szCs w:val="20"/>
    </w:rPr>
  </w:style>
  <w:style w:type="paragraph" w:styleId="18">
    <w:name w:val="Body Text Indent"/>
    <w:basedOn w:val="1"/>
    <w:link w:val="86"/>
    <w:qFormat/>
    <w:uiPriority w:val="0"/>
    <w:pPr>
      <w:spacing w:line="360" w:lineRule="auto"/>
      <w:ind w:left="479" w:leftChars="228"/>
    </w:pPr>
    <w:rPr>
      <w:rFonts w:ascii="宋体" w:hAnsi="宋体"/>
      <w:sz w:val="24"/>
    </w:rPr>
  </w:style>
  <w:style w:type="paragraph" w:styleId="19">
    <w:name w:val="List 2"/>
    <w:basedOn w:val="1"/>
    <w:qFormat/>
    <w:uiPriority w:val="0"/>
    <w:pPr>
      <w:ind w:left="100" w:leftChars="200" w:hanging="200" w:hangingChars="200"/>
    </w:pPr>
  </w:style>
  <w:style w:type="paragraph" w:styleId="20">
    <w:name w:val="HTML Address"/>
    <w:basedOn w:val="1"/>
    <w:link w:val="96"/>
    <w:qFormat/>
    <w:uiPriority w:val="0"/>
    <w:rPr>
      <w:rFonts w:ascii="宋体" w:hAnsi="宋体"/>
      <w:i/>
      <w:iCs/>
    </w:rPr>
  </w:style>
  <w:style w:type="paragraph" w:styleId="21">
    <w:name w:val="toc 3"/>
    <w:basedOn w:val="1"/>
    <w:next w:val="1"/>
    <w:qFormat/>
    <w:uiPriority w:val="39"/>
    <w:pPr>
      <w:tabs>
        <w:tab w:val="right" w:leader="dot" w:pos="8303"/>
      </w:tabs>
      <w:ind w:left="840" w:leftChars="400" w:firstLine="210" w:firstLineChars="100"/>
      <w:jc w:val="left"/>
    </w:pPr>
  </w:style>
  <w:style w:type="paragraph" w:styleId="22">
    <w:name w:val="Plain Text"/>
    <w:basedOn w:val="1"/>
    <w:link w:val="67"/>
    <w:qFormat/>
    <w:uiPriority w:val="99"/>
    <w:rPr>
      <w:rFonts w:ascii="宋体" w:hAnsi="Courier New"/>
      <w:szCs w:val="20"/>
    </w:rPr>
  </w:style>
  <w:style w:type="paragraph" w:styleId="23">
    <w:name w:val="Date"/>
    <w:basedOn w:val="1"/>
    <w:next w:val="1"/>
    <w:link w:val="68"/>
    <w:qFormat/>
    <w:uiPriority w:val="0"/>
    <w:pPr>
      <w:ind w:left="100"/>
    </w:pPr>
    <w:rPr>
      <w:rFonts w:ascii="宋体" w:hAnsi="宋体"/>
      <w:szCs w:val="20"/>
    </w:rPr>
  </w:style>
  <w:style w:type="paragraph" w:styleId="24">
    <w:name w:val="Body Text Indent 2"/>
    <w:basedOn w:val="1"/>
    <w:link w:val="75"/>
    <w:qFormat/>
    <w:uiPriority w:val="0"/>
    <w:pPr>
      <w:ind w:firstLine="403"/>
    </w:pPr>
    <w:rPr>
      <w:rFonts w:ascii="宋体" w:hAnsi="宋体"/>
      <w:szCs w:val="20"/>
    </w:rPr>
  </w:style>
  <w:style w:type="paragraph" w:styleId="25">
    <w:name w:val="Balloon Text"/>
    <w:basedOn w:val="1"/>
    <w:link w:val="94"/>
    <w:qFormat/>
    <w:uiPriority w:val="99"/>
    <w:rPr>
      <w:rFonts w:ascii="宋体" w:hAnsi="宋体"/>
      <w:sz w:val="18"/>
      <w:szCs w:val="18"/>
    </w:rPr>
  </w:style>
  <w:style w:type="paragraph" w:styleId="26">
    <w:name w:val="footer"/>
    <w:basedOn w:val="1"/>
    <w:link w:val="76"/>
    <w:qFormat/>
    <w:uiPriority w:val="99"/>
    <w:pPr>
      <w:tabs>
        <w:tab w:val="center" w:pos="4153"/>
        <w:tab w:val="right" w:pos="8306"/>
      </w:tabs>
      <w:snapToGrid w:val="0"/>
      <w:jc w:val="left"/>
    </w:pPr>
    <w:rPr>
      <w:rFonts w:ascii="宋体" w:hAnsi="宋体"/>
      <w:sz w:val="18"/>
      <w:szCs w:val="20"/>
    </w:rPr>
  </w:style>
  <w:style w:type="paragraph" w:styleId="27">
    <w:name w:val="header"/>
    <w:basedOn w:val="1"/>
    <w:link w:val="97"/>
    <w:qFormat/>
    <w:uiPriority w:val="0"/>
    <w:pPr>
      <w:pBdr>
        <w:bottom w:val="single" w:color="auto" w:sz="6" w:space="1"/>
      </w:pBdr>
      <w:tabs>
        <w:tab w:val="center" w:pos="4153"/>
        <w:tab w:val="right" w:pos="8306"/>
      </w:tabs>
      <w:snapToGrid w:val="0"/>
      <w:jc w:val="center"/>
    </w:pPr>
    <w:rPr>
      <w:rFonts w:ascii="宋体" w:hAnsi="宋体"/>
      <w:sz w:val="18"/>
      <w:szCs w:val="20"/>
    </w:rPr>
  </w:style>
  <w:style w:type="paragraph" w:styleId="28">
    <w:name w:val="toc 1"/>
    <w:basedOn w:val="1"/>
    <w:next w:val="1"/>
    <w:qFormat/>
    <w:uiPriority w:val="39"/>
    <w:pPr>
      <w:spacing w:before="120" w:after="120"/>
      <w:jc w:val="left"/>
    </w:pPr>
    <w:rPr>
      <w:b/>
      <w:bCs/>
      <w:caps/>
      <w:sz w:val="20"/>
      <w:szCs w:val="20"/>
    </w:rPr>
  </w:style>
  <w:style w:type="paragraph" w:styleId="29">
    <w:name w:val="toc 4"/>
    <w:basedOn w:val="1"/>
    <w:next w:val="1"/>
    <w:qFormat/>
    <w:uiPriority w:val="0"/>
    <w:pPr>
      <w:ind w:left="630"/>
      <w:jc w:val="left"/>
    </w:pPr>
    <w:rPr>
      <w:sz w:val="18"/>
      <w:szCs w:val="18"/>
    </w:rPr>
  </w:style>
  <w:style w:type="paragraph" w:styleId="30">
    <w:name w:val="List"/>
    <w:basedOn w:val="1"/>
    <w:qFormat/>
    <w:uiPriority w:val="0"/>
    <w:pPr>
      <w:adjustRightInd w:val="0"/>
      <w:spacing w:line="360" w:lineRule="atLeast"/>
      <w:ind w:left="200" w:hanging="200" w:hangingChars="200"/>
      <w:jc w:val="left"/>
    </w:pPr>
    <w:rPr>
      <w:kern w:val="0"/>
      <w:sz w:val="24"/>
      <w:szCs w:val="20"/>
    </w:rPr>
  </w:style>
  <w:style w:type="paragraph" w:styleId="31">
    <w:name w:val="footnote text"/>
    <w:basedOn w:val="1"/>
    <w:link w:val="55"/>
    <w:semiHidden/>
    <w:qFormat/>
    <w:uiPriority w:val="0"/>
    <w:pPr>
      <w:snapToGrid w:val="0"/>
      <w:jc w:val="center"/>
    </w:pPr>
    <w:rPr>
      <w:rFonts w:ascii="宋体" w:hAnsi="宋体"/>
      <w:kern w:val="0"/>
      <w:sz w:val="18"/>
      <w:szCs w:val="18"/>
    </w:rPr>
  </w:style>
  <w:style w:type="paragraph" w:styleId="32">
    <w:name w:val="Body Text Indent 3"/>
    <w:basedOn w:val="1"/>
    <w:link w:val="65"/>
    <w:qFormat/>
    <w:uiPriority w:val="0"/>
    <w:pPr>
      <w:ind w:firstLine="502"/>
    </w:pPr>
    <w:rPr>
      <w:rFonts w:ascii="宋体" w:hAnsi="宋体"/>
      <w:sz w:val="24"/>
      <w:szCs w:val="20"/>
    </w:rPr>
  </w:style>
  <w:style w:type="paragraph" w:styleId="33">
    <w:name w:val="toc 2"/>
    <w:basedOn w:val="1"/>
    <w:next w:val="1"/>
    <w:qFormat/>
    <w:uiPriority w:val="39"/>
    <w:pPr>
      <w:ind w:left="210"/>
      <w:jc w:val="left"/>
    </w:pPr>
    <w:rPr>
      <w:smallCaps/>
      <w:sz w:val="20"/>
      <w:szCs w:val="20"/>
    </w:rPr>
  </w:style>
  <w:style w:type="paragraph" w:styleId="34">
    <w:name w:val="Body Text 2"/>
    <w:basedOn w:val="1"/>
    <w:link w:val="66"/>
    <w:qFormat/>
    <w:uiPriority w:val="0"/>
    <w:pPr>
      <w:spacing w:line="440" w:lineRule="exact"/>
    </w:pPr>
    <w:rPr>
      <w:rFonts w:ascii="宋体" w:hAnsi="宋体"/>
      <w:sz w:val="24"/>
    </w:rPr>
  </w:style>
  <w:style w:type="paragraph" w:styleId="35">
    <w:name w:val="HTML Preformatted"/>
    <w:basedOn w:val="1"/>
    <w:link w:val="9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index 1"/>
    <w:basedOn w:val="1"/>
    <w:next w:val="1"/>
    <w:semiHidden/>
    <w:qFormat/>
    <w:uiPriority w:val="0"/>
    <w:pPr>
      <w:spacing w:line="400" w:lineRule="exact"/>
      <w:jc w:val="center"/>
    </w:pPr>
    <w:rPr>
      <w:rFonts w:ascii="宋体"/>
      <w:iCs/>
      <w:sz w:val="18"/>
    </w:rPr>
  </w:style>
  <w:style w:type="paragraph" w:styleId="38">
    <w:name w:val="Title"/>
    <w:next w:val="2"/>
    <w:link w:val="70"/>
    <w:qFormat/>
    <w:uiPriority w:val="0"/>
    <w:pPr>
      <w:spacing w:beforeLines="50"/>
      <w:jc w:val="center"/>
    </w:pPr>
    <w:rPr>
      <w:rFonts w:ascii="Arial" w:hAnsi="Arial" w:eastAsia="宋体" w:cs="Arial"/>
      <w:b/>
      <w:bCs/>
      <w:sz w:val="32"/>
      <w:szCs w:val="32"/>
      <w:lang w:val="en-US" w:eastAsia="zh-CN" w:bidi="ar-SA"/>
    </w:rPr>
  </w:style>
  <w:style w:type="paragraph" w:styleId="39">
    <w:name w:val="annotation subject"/>
    <w:basedOn w:val="14"/>
    <w:next w:val="14"/>
    <w:link w:val="64"/>
    <w:qFormat/>
    <w:uiPriority w:val="0"/>
    <w:pPr>
      <w:widowControl w:val="0"/>
    </w:pPr>
    <w:rPr>
      <w:b/>
      <w:bCs/>
      <w:kern w:val="2"/>
      <w:sz w:val="21"/>
      <w:szCs w:val="24"/>
    </w:rPr>
  </w:style>
  <w:style w:type="paragraph" w:styleId="40">
    <w:name w:val="Body Text First Indent"/>
    <w:basedOn w:val="17"/>
    <w:link w:val="56"/>
    <w:qFormat/>
    <w:uiPriority w:val="99"/>
    <w:pPr>
      <w:spacing w:after="120"/>
      <w:ind w:firstLine="420" w:firstLineChars="100"/>
    </w:pPr>
    <w:rPr>
      <w:rFonts w:ascii="宋体" w:hAnsi="宋体" w:eastAsia="宋体"/>
      <w:sz w:val="21"/>
      <w:szCs w:val="24"/>
    </w:rPr>
  </w:style>
  <w:style w:type="paragraph" w:styleId="41">
    <w:name w:val="Body Text First Indent 2"/>
    <w:basedOn w:val="18"/>
    <w:link w:val="85"/>
    <w:qFormat/>
    <w:uiPriority w:val="0"/>
    <w:pPr>
      <w:spacing w:after="120" w:line="240" w:lineRule="auto"/>
      <w:ind w:left="420" w:leftChars="200" w:firstLine="420" w:firstLineChars="200"/>
    </w:pPr>
    <w:rPr>
      <w:sz w:val="21"/>
    </w:rPr>
  </w:style>
  <w:style w:type="table" w:styleId="43">
    <w:name w:val="Table Grid"/>
    <w:basedOn w:val="4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5">
    <w:name w:val="page number"/>
    <w:basedOn w:val="44"/>
    <w:unhideWhenUsed/>
    <w:qFormat/>
    <w:uiPriority w:val="99"/>
  </w:style>
  <w:style w:type="character" w:styleId="46">
    <w:name w:val="FollowedHyperlink"/>
    <w:qFormat/>
    <w:uiPriority w:val="99"/>
    <w:rPr>
      <w:color w:val="800080"/>
      <w:u w:val="single"/>
    </w:rPr>
  </w:style>
  <w:style w:type="character" w:styleId="47">
    <w:name w:val="HTML Definition"/>
    <w:basedOn w:val="44"/>
    <w:qFormat/>
    <w:uiPriority w:val="0"/>
    <w:rPr>
      <w:i/>
      <w:iCs/>
    </w:rPr>
  </w:style>
  <w:style w:type="character" w:styleId="48">
    <w:name w:val="HTML Typewriter"/>
    <w:basedOn w:val="44"/>
    <w:qFormat/>
    <w:uiPriority w:val="0"/>
    <w:rPr>
      <w:rFonts w:hint="default" w:ascii="Courier New" w:hAnsi="Courier New" w:eastAsia="Times New Roman" w:cs="Times New Roman"/>
      <w:sz w:val="24"/>
      <w:szCs w:val="24"/>
    </w:rPr>
  </w:style>
  <w:style w:type="character" w:styleId="49">
    <w:name w:val="HTML Acronym"/>
    <w:basedOn w:val="44"/>
    <w:qFormat/>
    <w:uiPriority w:val="0"/>
  </w:style>
  <w:style w:type="character" w:styleId="50">
    <w:name w:val="Hyperlink"/>
    <w:qFormat/>
    <w:uiPriority w:val="99"/>
    <w:rPr>
      <w:color w:val="0000FF"/>
      <w:u w:val="single"/>
    </w:rPr>
  </w:style>
  <w:style w:type="character" w:styleId="51">
    <w:name w:val="HTML Code"/>
    <w:basedOn w:val="44"/>
    <w:qFormat/>
    <w:uiPriority w:val="0"/>
    <w:rPr>
      <w:rFonts w:hint="default" w:ascii="Courier New" w:hAnsi="Courier New" w:eastAsia="Times New Roman" w:cs="Times New Roman"/>
      <w:sz w:val="24"/>
      <w:szCs w:val="24"/>
    </w:rPr>
  </w:style>
  <w:style w:type="character" w:styleId="52">
    <w:name w:val="annotation reference"/>
    <w:qFormat/>
    <w:uiPriority w:val="99"/>
    <w:rPr>
      <w:sz w:val="21"/>
      <w:szCs w:val="21"/>
    </w:rPr>
  </w:style>
  <w:style w:type="character" w:styleId="53">
    <w:name w:val="HTML Keyboard"/>
    <w:basedOn w:val="44"/>
    <w:qFormat/>
    <w:uiPriority w:val="0"/>
    <w:rPr>
      <w:rFonts w:hint="default" w:ascii="Courier New" w:hAnsi="Courier New" w:eastAsia="Times New Roman" w:cs="Times New Roman"/>
      <w:sz w:val="24"/>
      <w:szCs w:val="24"/>
    </w:rPr>
  </w:style>
  <w:style w:type="character" w:styleId="54">
    <w:name w:val="HTML Sample"/>
    <w:basedOn w:val="44"/>
    <w:qFormat/>
    <w:uiPriority w:val="0"/>
    <w:rPr>
      <w:rFonts w:hint="default" w:ascii="Courier New" w:hAnsi="Courier New" w:eastAsia="Times New Roman" w:cs="Times New Roman"/>
    </w:rPr>
  </w:style>
  <w:style w:type="character" w:customStyle="1" w:styleId="55">
    <w:name w:val="脚注文本 Char"/>
    <w:basedOn w:val="44"/>
    <w:link w:val="31"/>
    <w:qFormat/>
    <w:uiPriority w:val="0"/>
    <w:rPr>
      <w:rFonts w:ascii="宋体" w:hAnsi="宋体" w:eastAsia="宋体"/>
      <w:sz w:val="18"/>
      <w:szCs w:val="18"/>
      <w:lang w:val="en-US" w:eastAsia="zh-CN" w:bidi="ar-SA"/>
    </w:rPr>
  </w:style>
  <w:style w:type="character" w:customStyle="1" w:styleId="56">
    <w:name w:val="正文首行缩进 Char"/>
    <w:basedOn w:val="57"/>
    <w:link w:val="40"/>
    <w:qFormat/>
    <w:uiPriority w:val="0"/>
    <w:rPr>
      <w:rFonts w:ascii="宋体" w:hAnsi="宋体" w:eastAsia="宋体"/>
      <w:color w:val="FF0000"/>
      <w:spacing w:val="-18"/>
      <w:sz w:val="21"/>
      <w:szCs w:val="24"/>
      <w:lang w:val="en-US" w:eastAsia="zh-CN" w:bidi="ar-SA"/>
    </w:rPr>
  </w:style>
  <w:style w:type="character" w:customStyle="1" w:styleId="57">
    <w:name w:val="正文文本 Char"/>
    <w:basedOn w:val="44"/>
    <w:link w:val="17"/>
    <w:qFormat/>
    <w:uiPriority w:val="0"/>
    <w:rPr>
      <w:rFonts w:ascii="黑体" w:eastAsia="黑体"/>
      <w:b/>
      <w:color w:val="FF0000"/>
      <w:spacing w:val="-18"/>
      <w:sz w:val="52"/>
      <w:lang w:val="en-US" w:eastAsia="zh-CN" w:bidi="ar-SA"/>
    </w:rPr>
  </w:style>
  <w:style w:type="character" w:customStyle="1" w:styleId="58">
    <w:name w:val="正文 Char Char"/>
    <w:link w:val="59"/>
    <w:qFormat/>
    <w:locked/>
    <w:uiPriority w:val="0"/>
    <w:rPr>
      <w:rFonts w:ascii="宋体" w:hAnsi="宋体" w:eastAsia="宋体"/>
      <w:sz w:val="24"/>
      <w:lang w:val="en-US" w:eastAsia="zh-CN" w:bidi="ar-SA"/>
    </w:rPr>
  </w:style>
  <w:style w:type="paragraph" w:customStyle="1" w:styleId="59">
    <w:name w:val="正文1"/>
    <w:basedOn w:val="1"/>
    <w:link w:val="58"/>
    <w:qFormat/>
    <w:uiPriority w:val="0"/>
    <w:pPr>
      <w:adjustRightInd w:val="0"/>
      <w:spacing w:line="360" w:lineRule="atLeast"/>
      <w:jc w:val="left"/>
    </w:pPr>
    <w:rPr>
      <w:rFonts w:ascii="宋体" w:hAnsi="宋体"/>
      <w:kern w:val="0"/>
      <w:sz w:val="24"/>
      <w:szCs w:val="20"/>
    </w:rPr>
  </w:style>
  <w:style w:type="character" w:customStyle="1" w:styleId="60">
    <w:name w:val="金正文1 Char Char"/>
    <w:basedOn w:val="58"/>
    <w:link w:val="61"/>
    <w:qFormat/>
    <w:locked/>
    <w:uiPriority w:val="0"/>
    <w:rPr>
      <w:rFonts w:ascii="宋体" w:hAnsi="宋体" w:eastAsia="宋体"/>
      <w:sz w:val="24"/>
      <w:lang w:val="en-US" w:eastAsia="zh-CN" w:bidi="ar-SA"/>
    </w:rPr>
  </w:style>
  <w:style w:type="paragraph" w:customStyle="1" w:styleId="61">
    <w:name w:val="金正文1"/>
    <w:basedOn w:val="59"/>
    <w:link w:val="60"/>
    <w:qFormat/>
    <w:uiPriority w:val="0"/>
    <w:pPr>
      <w:adjustRightInd/>
      <w:spacing w:line="360" w:lineRule="auto"/>
    </w:pPr>
  </w:style>
  <w:style w:type="character" w:customStyle="1" w:styleId="62">
    <w:name w:val="金正文 Char Char"/>
    <w:basedOn w:val="58"/>
    <w:link w:val="63"/>
    <w:qFormat/>
    <w:locked/>
    <w:uiPriority w:val="0"/>
    <w:rPr>
      <w:rFonts w:ascii="宋体" w:hAnsi="宋体" w:eastAsia="宋体"/>
      <w:sz w:val="24"/>
      <w:lang w:val="en-US" w:eastAsia="zh-CN" w:bidi="ar-SA"/>
    </w:rPr>
  </w:style>
  <w:style w:type="paragraph" w:customStyle="1" w:styleId="63">
    <w:name w:val="金正文"/>
    <w:basedOn w:val="59"/>
    <w:next w:val="17"/>
    <w:link w:val="62"/>
    <w:qFormat/>
    <w:uiPriority w:val="0"/>
    <w:pPr>
      <w:adjustRightInd/>
      <w:spacing w:line="360" w:lineRule="auto"/>
      <w:ind w:firstLine="200" w:firstLineChars="200"/>
    </w:pPr>
  </w:style>
  <w:style w:type="character" w:customStyle="1" w:styleId="64">
    <w:name w:val="批注主题 Char"/>
    <w:link w:val="39"/>
    <w:qFormat/>
    <w:uiPriority w:val="0"/>
    <w:rPr>
      <w:rFonts w:ascii="宋体" w:hAnsi="宋体" w:eastAsia="宋体"/>
      <w:b/>
      <w:bCs/>
      <w:kern w:val="2"/>
      <w:sz w:val="21"/>
      <w:szCs w:val="24"/>
      <w:lang w:bidi="ar-SA"/>
    </w:rPr>
  </w:style>
  <w:style w:type="character" w:customStyle="1" w:styleId="65">
    <w:name w:val="正文文本缩进 3 Char"/>
    <w:basedOn w:val="44"/>
    <w:link w:val="32"/>
    <w:qFormat/>
    <w:uiPriority w:val="0"/>
    <w:rPr>
      <w:rFonts w:ascii="宋体" w:hAnsi="宋体" w:eastAsia="宋体"/>
      <w:kern w:val="2"/>
      <w:sz w:val="24"/>
      <w:lang w:val="en-US" w:eastAsia="zh-CN" w:bidi="ar-SA"/>
    </w:rPr>
  </w:style>
  <w:style w:type="character" w:customStyle="1" w:styleId="66">
    <w:name w:val="正文文本 2 Char"/>
    <w:basedOn w:val="44"/>
    <w:link w:val="34"/>
    <w:qFormat/>
    <w:uiPriority w:val="0"/>
    <w:rPr>
      <w:rFonts w:ascii="宋体" w:hAnsi="宋体" w:eastAsia="宋体"/>
      <w:kern w:val="2"/>
      <w:sz w:val="24"/>
      <w:szCs w:val="24"/>
      <w:lang w:val="en-US" w:eastAsia="zh-CN" w:bidi="ar-SA"/>
    </w:rPr>
  </w:style>
  <w:style w:type="character" w:customStyle="1" w:styleId="67">
    <w:name w:val="纯文本 Char"/>
    <w:basedOn w:val="44"/>
    <w:link w:val="22"/>
    <w:qFormat/>
    <w:uiPriority w:val="0"/>
    <w:rPr>
      <w:rFonts w:ascii="宋体" w:hAnsi="Courier New" w:eastAsia="宋体"/>
      <w:kern w:val="2"/>
      <w:sz w:val="21"/>
      <w:lang w:val="en-US" w:eastAsia="zh-CN" w:bidi="ar-SA"/>
    </w:rPr>
  </w:style>
  <w:style w:type="character" w:customStyle="1" w:styleId="68">
    <w:name w:val="日期 Char"/>
    <w:basedOn w:val="44"/>
    <w:link w:val="23"/>
    <w:qFormat/>
    <w:uiPriority w:val="0"/>
    <w:rPr>
      <w:rFonts w:ascii="宋体" w:hAnsi="宋体" w:eastAsia="宋体"/>
      <w:kern w:val="2"/>
      <w:sz w:val="21"/>
      <w:lang w:val="en-US" w:eastAsia="zh-CN" w:bidi="ar-SA"/>
    </w:rPr>
  </w:style>
  <w:style w:type="character" w:customStyle="1" w:styleId="69">
    <w:name w:val="发布"/>
    <w:basedOn w:val="44"/>
    <w:qFormat/>
    <w:uiPriority w:val="0"/>
    <w:rPr>
      <w:rFonts w:hint="eastAsia" w:ascii="黑体" w:eastAsia="黑体"/>
      <w:spacing w:val="22"/>
      <w:w w:val="100"/>
      <w:position w:val="3"/>
      <w:sz w:val="28"/>
    </w:rPr>
  </w:style>
  <w:style w:type="character" w:customStyle="1" w:styleId="70">
    <w:name w:val="标题 Char"/>
    <w:basedOn w:val="44"/>
    <w:link w:val="38"/>
    <w:qFormat/>
    <w:uiPriority w:val="0"/>
    <w:rPr>
      <w:rFonts w:ascii="Arial" w:hAnsi="Arial" w:cs="Arial"/>
      <w:b/>
      <w:bCs/>
      <w:sz w:val="32"/>
      <w:szCs w:val="32"/>
      <w:lang w:val="en-US" w:eastAsia="zh-CN" w:bidi="ar-SA"/>
    </w:rPr>
  </w:style>
  <w:style w:type="character" w:customStyle="1" w:styleId="71">
    <w:name w:val="正文文本 3 Char"/>
    <w:basedOn w:val="44"/>
    <w:link w:val="16"/>
    <w:qFormat/>
    <w:uiPriority w:val="0"/>
    <w:rPr>
      <w:rFonts w:ascii="宋体" w:hAnsi="宋体" w:eastAsia="宋体"/>
      <w:kern w:val="2"/>
      <w:sz w:val="16"/>
      <w:szCs w:val="16"/>
      <w:lang w:val="en-US" w:eastAsia="zh-CN" w:bidi="ar-SA"/>
    </w:rPr>
  </w:style>
  <w:style w:type="character" w:customStyle="1" w:styleId="72">
    <w:name w:val="标题 4 Char"/>
    <w:basedOn w:val="44"/>
    <w:link w:val="5"/>
    <w:qFormat/>
    <w:uiPriority w:val="0"/>
    <w:rPr>
      <w:rFonts w:ascii="Arial" w:hAnsi="Arial" w:eastAsia="黑体"/>
      <w:b/>
      <w:sz w:val="28"/>
      <w:lang w:val="en-US" w:eastAsia="zh-CN" w:bidi="ar-SA"/>
    </w:rPr>
  </w:style>
  <w:style w:type="character" w:customStyle="1" w:styleId="73">
    <w:name w:val="标题 7 Char"/>
    <w:basedOn w:val="44"/>
    <w:link w:val="8"/>
    <w:qFormat/>
    <w:uiPriority w:val="0"/>
    <w:rPr>
      <w:rFonts w:eastAsia="宋体"/>
      <w:b/>
      <w:sz w:val="24"/>
      <w:lang w:val="en-US" w:eastAsia="zh-CN" w:bidi="ar-SA"/>
    </w:rPr>
  </w:style>
  <w:style w:type="character" w:customStyle="1" w:styleId="74">
    <w:name w:val="批注文字 Char"/>
    <w:basedOn w:val="44"/>
    <w:link w:val="14"/>
    <w:qFormat/>
    <w:uiPriority w:val="99"/>
    <w:rPr>
      <w:rFonts w:ascii="宋体" w:hAnsi="宋体" w:eastAsia="宋体"/>
      <w:lang w:val="en-US" w:eastAsia="zh-CN" w:bidi="ar-SA"/>
    </w:rPr>
  </w:style>
  <w:style w:type="character" w:customStyle="1" w:styleId="75">
    <w:name w:val="正文文本缩进 2 Char"/>
    <w:basedOn w:val="44"/>
    <w:link w:val="24"/>
    <w:qFormat/>
    <w:uiPriority w:val="0"/>
    <w:rPr>
      <w:rFonts w:ascii="宋体" w:hAnsi="宋体" w:eastAsia="宋体"/>
      <w:kern w:val="2"/>
      <w:sz w:val="21"/>
      <w:lang w:val="en-US" w:eastAsia="zh-CN" w:bidi="ar-SA"/>
    </w:rPr>
  </w:style>
  <w:style w:type="character" w:customStyle="1" w:styleId="76">
    <w:name w:val="页脚 Char"/>
    <w:basedOn w:val="44"/>
    <w:link w:val="26"/>
    <w:qFormat/>
    <w:uiPriority w:val="99"/>
    <w:rPr>
      <w:rFonts w:ascii="宋体" w:hAnsi="宋体" w:eastAsia="宋体"/>
      <w:kern w:val="2"/>
      <w:sz w:val="18"/>
      <w:lang w:val="en-US" w:eastAsia="zh-CN" w:bidi="ar-SA"/>
    </w:rPr>
  </w:style>
  <w:style w:type="character" w:customStyle="1" w:styleId="77">
    <w:name w:val="正文缩进 Char"/>
    <w:link w:val="12"/>
    <w:qFormat/>
    <w:uiPriority w:val="0"/>
    <w:rPr>
      <w:rFonts w:ascii="宋体" w:hAnsi="宋体" w:eastAsia="宋体"/>
      <w:kern w:val="2"/>
      <w:sz w:val="24"/>
      <w:lang w:val="en-US" w:eastAsia="zh-CN" w:bidi="ar-SA"/>
    </w:rPr>
  </w:style>
  <w:style w:type="character" w:customStyle="1" w:styleId="78">
    <w:name w:val="Char Char9"/>
    <w:basedOn w:val="44"/>
    <w:semiHidden/>
    <w:qFormat/>
    <w:uiPriority w:val="0"/>
    <w:rPr>
      <w:rFonts w:eastAsia="宋体"/>
      <w:lang w:val="en-US" w:eastAsia="zh-CN" w:bidi="ar-SA"/>
    </w:rPr>
  </w:style>
  <w:style w:type="character" w:customStyle="1" w:styleId="79">
    <w:name w:val="金2 Char Char"/>
    <w:link w:val="80"/>
    <w:qFormat/>
    <w:locked/>
    <w:uiPriority w:val="0"/>
    <w:rPr>
      <w:rFonts w:eastAsia="宋体"/>
      <w:b/>
      <w:kern w:val="2"/>
      <w:sz w:val="24"/>
      <w:lang w:val="en-US" w:eastAsia="zh-CN" w:bidi="ar-SA"/>
    </w:rPr>
  </w:style>
  <w:style w:type="paragraph" w:customStyle="1" w:styleId="80">
    <w:name w:val="金2"/>
    <w:basedOn w:val="1"/>
    <w:next w:val="63"/>
    <w:link w:val="79"/>
    <w:qFormat/>
    <w:uiPriority w:val="0"/>
    <w:pPr>
      <w:spacing w:line="360" w:lineRule="auto"/>
      <w:jc w:val="left"/>
    </w:pPr>
    <w:rPr>
      <w:b/>
      <w:sz w:val="24"/>
      <w:szCs w:val="20"/>
    </w:rPr>
  </w:style>
  <w:style w:type="character" w:customStyle="1" w:styleId="81">
    <w:name w:val="b1 Char Char"/>
    <w:basedOn w:val="44"/>
    <w:qFormat/>
    <w:uiPriority w:val="0"/>
    <w:rPr>
      <w:rFonts w:hint="eastAsia" w:ascii="宋体" w:hAnsi="宋体" w:eastAsia="宋体"/>
      <w:b/>
      <w:bCs/>
      <w:kern w:val="44"/>
      <w:sz w:val="44"/>
      <w:szCs w:val="44"/>
      <w:lang w:val="en-US" w:eastAsia="zh-CN" w:bidi="ar-SA"/>
    </w:rPr>
  </w:style>
  <w:style w:type="character" w:customStyle="1" w:styleId="82">
    <w:name w:val="标题 8 Char"/>
    <w:basedOn w:val="44"/>
    <w:link w:val="9"/>
    <w:qFormat/>
    <w:uiPriority w:val="0"/>
    <w:rPr>
      <w:rFonts w:ascii="Arial" w:hAnsi="Arial" w:eastAsia="黑体"/>
      <w:sz w:val="24"/>
      <w:lang w:val="en-US" w:eastAsia="zh-CN" w:bidi="ar-SA"/>
    </w:rPr>
  </w:style>
  <w:style w:type="character" w:customStyle="1" w:styleId="83">
    <w:name w:val="标题 9 Char"/>
    <w:basedOn w:val="44"/>
    <w:link w:val="10"/>
    <w:qFormat/>
    <w:uiPriority w:val="0"/>
    <w:rPr>
      <w:rFonts w:ascii="Arial" w:hAnsi="Arial" w:eastAsia="黑体"/>
      <w:sz w:val="21"/>
      <w:lang w:val="en-US" w:eastAsia="zh-CN" w:bidi="ar-SA"/>
    </w:rPr>
  </w:style>
  <w:style w:type="character" w:customStyle="1" w:styleId="84">
    <w:name w:val="标题 2 Char"/>
    <w:basedOn w:val="44"/>
    <w:link w:val="3"/>
    <w:qFormat/>
    <w:uiPriority w:val="0"/>
    <w:rPr>
      <w:rFonts w:ascii="Arial" w:hAnsi="Arial" w:eastAsia="黑体"/>
      <w:b/>
      <w:sz w:val="32"/>
      <w:lang w:val="en-US" w:eastAsia="zh-CN" w:bidi="ar-SA"/>
    </w:rPr>
  </w:style>
  <w:style w:type="character" w:customStyle="1" w:styleId="85">
    <w:name w:val="正文首行缩进 2 Char"/>
    <w:basedOn w:val="86"/>
    <w:link w:val="41"/>
    <w:qFormat/>
    <w:uiPriority w:val="0"/>
    <w:rPr>
      <w:rFonts w:ascii="宋体" w:hAnsi="宋体" w:eastAsia="宋体"/>
      <w:kern w:val="2"/>
      <w:sz w:val="21"/>
      <w:szCs w:val="24"/>
      <w:lang w:val="en-US" w:eastAsia="zh-CN" w:bidi="ar-SA"/>
    </w:rPr>
  </w:style>
  <w:style w:type="character" w:customStyle="1" w:styleId="86">
    <w:name w:val="正文文本缩进 Char"/>
    <w:basedOn w:val="44"/>
    <w:link w:val="18"/>
    <w:qFormat/>
    <w:uiPriority w:val="0"/>
    <w:rPr>
      <w:rFonts w:ascii="宋体" w:hAnsi="宋体" w:eastAsia="宋体"/>
      <w:kern w:val="2"/>
      <w:sz w:val="24"/>
      <w:szCs w:val="24"/>
      <w:lang w:val="en-US" w:eastAsia="zh-CN" w:bidi="ar-SA"/>
    </w:rPr>
  </w:style>
  <w:style w:type="character" w:customStyle="1" w:styleId="87">
    <w:name w:val="标题 6 Char"/>
    <w:basedOn w:val="44"/>
    <w:link w:val="7"/>
    <w:qFormat/>
    <w:uiPriority w:val="0"/>
    <w:rPr>
      <w:rFonts w:ascii="Arial" w:hAnsi="Arial" w:eastAsia="黑体"/>
      <w:b/>
      <w:sz w:val="24"/>
      <w:lang w:val="en-US" w:eastAsia="zh-CN" w:bidi="ar-SA"/>
    </w:rPr>
  </w:style>
  <w:style w:type="character" w:customStyle="1" w:styleId="88">
    <w:name w:val="文档结构图 Char"/>
    <w:basedOn w:val="44"/>
    <w:link w:val="13"/>
    <w:qFormat/>
    <w:uiPriority w:val="0"/>
    <w:rPr>
      <w:rFonts w:ascii="宋体" w:hAnsi="宋体" w:eastAsia="宋体"/>
      <w:kern w:val="2"/>
      <w:sz w:val="21"/>
      <w:szCs w:val="24"/>
      <w:lang w:val="en-US" w:eastAsia="zh-CN" w:bidi="ar-SA"/>
    </w:rPr>
  </w:style>
  <w:style w:type="character" w:customStyle="1" w:styleId="89">
    <w:name w:val="标题 5 Char"/>
    <w:basedOn w:val="44"/>
    <w:link w:val="6"/>
    <w:qFormat/>
    <w:uiPriority w:val="0"/>
    <w:rPr>
      <w:rFonts w:eastAsia="宋体"/>
      <w:b/>
      <w:sz w:val="28"/>
      <w:lang w:val="en-US" w:eastAsia="zh-CN" w:bidi="ar-SA"/>
    </w:rPr>
  </w:style>
  <w:style w:type="character" w:customStyle="1" w:styleId="90">
    <w:name w:val="标题 3 Char"/>
    <w:basedOn w:val="44"/>
    <w:link w:val="4"/>
    <w:qFormat/>
    <w:uiPriority w:val="0"/>
    <w:rPr>
      <w:rFonts w:eastAsia="宋体"/>
      <w:b/>
      <w:sz w:val="32"/>
      <w:lang w:val="en-US" w:eastAsia="zh-CN" w:bidi="ar-SA"/>
    </w:rPr>
  </w:style>
  <w:style w:type="character" w:customStyle="1" w:styleId="91">
    <w:name w:val="HTML 预设格式 Char"/>
    <w:basedOn w:val="44"/>
    <w:link w:val="35"/>
    <w:qFormat/>
    <w:uiPriority w:val="0"/>
    <w:rPr>
      <w:rFonts w:ascii="Courier New" w:hAnsi="Courier New" w:eastAsia="宋体" w:cs="Courier New"/>
      <w:kern w:val="2"/>
      <w:lang w:val="en-US" w:eastAsia="zh-CN" w:bidi="ar-SA"/>
    </w:rPr>
  </w:style>
  <w:style w:type="character" w:customStyle="1" w:styleId="92">
    <w:name w:val="无间隔 Char"/>
    <w:basedOn w:val="44"/>
    <w:link w:val="93"/>
    <w:qFormat/>
    <w:uiPriority w:val="99"/>
    <w:rPr>
      <w:rFonts w:ascii="Calibri" w:hAnsi="Calibri"/>
      <w:sz w:val="22"/>
      <w:szCs w:val="22"/>
      <w:lang w:val="en-US" w:eastAsia="zh-CN" w:bidi="ar-SA"/>
    </w:rPr>
  </w:style>
  <w:style w:type="paragraph" w:customStyle="1" w:styleId="93">
    <w:name w:val="无间隔1"/>
    <w:link w:val="92"/>
    <w:qFormat/>
    <w:uiPriority w:val="99"/>
    <w:rPr>
      <w:rFonts w:ascii="Calibri" w:hAnsi="Calibri" w:eastAsia="宋体" w:cs="Times New Roman"/>
      <w:sz w:val="22"/>
      <w:szCs w:val="22"/>
      <w:lang w:val="en-US" w:eastAsia="zh-CN" w:bidi="ar-SA"/>
    </w:rPr>
  </w:style>
  <w:style w:type="character" w:customStyle="1" w:styleId="94">
    <w:name w:val="批注框文本 Char"/>
    <w:basedOn w:val="44"/>
    <w:link w:val="25"/>
    <w:qFormat/>
    <w:uiPriority w:val="99"/>
    <w:rPr>
      <w:rFonts w:ascii="宋体" w:hAnsi="宋体" w:eastAsia="宋体"/>
      <w:kern w:val="2"/>
      <w:sz w:val="18"/>
      <w:szCs w:val="18"/>
      <w:lang w:val="en-US" w:eastAsia="zh-CN" w:bidi="ar-SA"/>
    </w:rPr>
  </w:style>
  <w:style w:type="character" w:customStyle="1" w:styleId="95">
    <w:name w:val="标题 1 Char"/>
    <w:link w:val="2"/>
    <w:qFormat/>
    <w:uiPriority w:val="0"/>
    <w:rPr>
      <w:rFonts w:eastAsia="宋体"/>
      <w:b/>
      <w:bCs/>
      <w:kern w:val="44"/>
      <w:sz w:val="44"/>
      <w:szCs w:val="44"/>
      <w:lang w:val="en-US" w:eastAsia="zh-CN" w:bidi="ar-SA"/>
    </w:rPr>
  </w:style>
  <w:style w:type="character" w:customStyle="1" w:styleId="96">
    <w:name w:val="HTML 地址 Char"/>
    <w:basedOn w:val="44"/>
    <w:link w:val="20"/>
    <w:qFormat/>
    <w:uiPriority w:val="0"/>
    <w:rPr>
      <w:rFonts w:ascii="宋体" w:hAnsi="宋体" w:eastAsia="宋体"/>
      <w:i/>
      <w:iCs/>
      <w:kern w:val="2"/>
      <w:sz w:val="21"/>
      <w:szCs w:val="24"/>
      <w:lang w:val="en-US" w:eastAsia="zh-CN" w:bidi="ar-SA"/>
    </w:rPr>
  </w:style>
  <w:style w:type="character" w:customStyle="1" w:styleId="97">
    <w:name w:val="页眉 Char"/>
    <w:basedOn w:val="44"/>
    <w:link w:val="27"/>
    <w:qFormat/>
    <w:uiPriority w:val="99"/>
    <w:rPr>
      <w:rFonts w:ascii="宋体" w:hAnsi="宋体" w:eastAsia="宋体"/>
      <w:kern w:val="2"/>
      <w:sz w:val="18"/>
      <w:lang w:val="en-US" w:eastAsia="zh-CN" w:bidi="ar-SA"/>
    </w:rPr>
  </w:style>
  <w:style w:type="character" w:customStyle="1" w:styleId="98">
    <w:name w:val="Char Char21"/>
    <w:basedOn w:val="44"/>
    <w:qFormat/>
    <w:uiPriority w:val="0"/>
    <w:rPr>
      <w:kern w:val="2"/>
      <w:sz w:val="24"/>
    </w:rPr>
  </w:style>
  <w:style w:type="paragraph" w:customStyle="1" w:styleId="99">
    <w:name w:val="mjd"/>
    <w:basedOn w:val="1"/>
    <w:qFormat/>
    <w:uiPriority w:val="0"/>
    <w:pPr>
      <w:tabs>
        <w:tab w:val="left" w:pos="1080"/>
        <w:tab w:val="left" w:pos="6960"/>
      </w:tabs>
      <w:autoSpaceDE w:val="0"/>
      <w:autoSpaceDN w:val="0"/>
      <w:adjustRightInd w:val="0"/>
      <w:spacing w:line="312" w:lineRule="atLeast"/>
      <w:ind w:left="1080" w:hanging="1080"/>
      <w:jc w:val="left"/>
    </w:pPr>
    <w:rPr>
      <w:rFonts w:ascii="宋体" w:hAnsi="Tms Rmn"/>
      <w:kern w:val="0"/>
      <w:szCs w:val="20"/>
    </w:rPr>
  </w:style>
  <w:style w:type="paragraph" w:customStyle="1" w:styleId="100">
    <w:name w:val="附录章标题"/>
    <w:next w:val="101"/>
    <w:qFormat/>
    <w:uiPriority w:val="0"/>
    <w:pPr>
      <w:tabs>
        <w:tab w:val="left" w:pos="780"/>
      </w:tabs>
      <w:wordWrap w:val="0"/>
      <w:overflowPunct w:val="0"/>
      <w:autoSpaceDE w:val="0"/>
      <w:spacing w:beforeLines="50" w:afterLines="50"/>
      <w:ind w:left="1560" w:hanging="360"/>
      <w:jc w:val="both"/>
      <w:outlineLvl w:val="1"/>
    </w:pPr>
    <w:rPr>
      <w:rFonts w:ascii="黑体" w:hAnsi="Times New Roman" w:eastAsia="黑体" w:cs="Times New Roman"/>
      <w:kern w:val="21"/>
      <w:sz w:val="21"/>
      <w:lang w:val="en-US" w:eastAsia="zh-CN" w:bidi="ar-SA"/>
    </w:rPr>
  </w:style>
  <w:style w:type="paragraph" w:customStyle="1" w:styleId="101">
    <w:name w:val="段"/>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02">
    <w:name w:val="二级条标题"/>
    <w:basedOn w:val="103"/>
    <w:next w:val="1"/>
    <w:qFormat/>
    <w:uiPriority w:val="0"/>
    <w:pPr>
      <w:ind w:left="945"/>
      <w:outlineLvl w:val="3"/>
    </w:pPr>
  </w:style>
  <w:style w:type="paragraph" w:customStyle="1" w:styleId="103">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104">
    <w:name w:val="小标题"/>
    <w:qFormat/>
    <w:uiPriority w:val="0"/>
    <w:pPr>
      <w:widowControl w:val="0"/>
      <w:numPr>
        <w:ilvl w:val="0"/>
        <w:numId w:val="1"/>
      </w:numPr>
      <w:tabs>
        <w:tab w:val="left" w:pos="120"/>
        <w:tab w:val="left" w:pos="1680"/>
        <w:tab w:val="clear" w:pos="1266"/>
      </w:tabs>
      <w:adjustRightInd w:val="0"/>
      <w:snapToGrid w:val="0"/>
      <w:spacing w:line="300" w:lineRule="auto"/>
      <w:ind w:left="1680" w:hanging="420"/>
      <w:jc w:val="both"/>
      <w:outlineLvl w:val="3"/>
    </w:pPr>
    <w:rPr>
      <w:rFonts w:ascii="Arial" w:hAnsi="Arial" w:eastAsia="宋体" w:cs="Times New Roman"/>
      <w:sz w:val="24"/>
      <w:lang w:val="en-US" w:eastAsia="en-US" w:bidi="ar-SA"/>
    </w:rPr>
  </w:style>
  <w:style w:type="paragraph" w:customStyle="1" w:styleId="105">
    <w:name w:val="标准书眉一"/>
    <w:qFormat/>
    <w:uiPriority w:val="0"/>
    <w:pPr>
      <w:jc w:val="both"/>
    </w:pPr>
    <w:rPr>
      <w:rFonts w:ascii="Times New Roman" w:hAnsi="Times New Roman" w:eastAsia="宋体" w:cs="Times New Roman"/>
      <w:lang w:val="en-US" w:eastAsia="zh-CN" w:bidi="ar-SA"/>
    </w:rPr>
  </w:style>
  <w:style w:type="paragraph" w:customStyle="1" w:styleId="106">
    <w:name w:val="样式 首行缩进:  2 字符"/>
    <w:basedOn w:val="1"/>
    <w:qFormat/>
    <w:uiPriority w:val="0"/>
    <w:pPr>
      <w:spacing w:beforeLines="50" w:afterLines="50" w:line="360" w:lineRule="exact"/>
      <w:ind w:left="-2" w:leftChars="-1"/>
    </w:pPr>
    <w:rPr>
      <w:sz w:val="24"/>
      <w:szCs w:val="20"/>
    </w:rPr>
  </w:style>
  <w:style w:type="paragraph" w:customStyle="1" w:styleId="107">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108">
    <w:name w:val="金1"/>
    <w:basedOn w:val="1"/>
    <w:next w:val="80"/>
    <w:qFormat/>
    <w:uiPriority w:val="0"/>
    <w:pPr>
      <w:spacing w:line="360" w:lineRule="auto"/>
      <w:jc w:val="left"/>
    </w:pPr>
    <w:rPr>
      <w:b/>
      <w:sz w:val="28"/>
      <w:szCs w:val="20"/>
    </w:rPr>
  </w:style>
  <w:style w:type="paragraph" w:customStyle="1" w:styleId="109">
    <w:name w:val="纯文本1"/>
    <w:basedOn w:val="1"/>
    <w:qFormat/>
    <w:uiPriority w:val="0"/>
    <w:pPr>
      <w:adjustRightInd w:val="0"/>
      <w:spacing w:line="312" w:lineRule="atLeast"/>
    </w:pPr>
    <w:rPr>
      <w:rFonts w:ascii="宋体" w:hAnsi="Courier New"/>
      <w:kern w:val="0"/>
      <w:szCs w:val="20"/>
    </w:rPr>
  </w:style>
  <w:style w:type="paragraph" w:customStyle="1" w:styleId="110">
    <w:name w:val="图表文字"/>
    <w:basedOn w:val="1"/>
    <w:qFormat/>
    <w:uiPriority w:val="0"/>
    <w:pPr>
      <w:widowControl/>
      <w:adjustRightInd w:val="0"/>
      <w:spacing w:before="120" w:after="120"/>
      <w:jc w:val="center"/>
    </w:pPr>
    <w:rPr>
      <w:rFonts w:ascii="黑体" w:eastAsia="黑体"/>
      <w:kern w:val="0"/>
      <w:sz w:val="28"/>
      <w:szCs w:val="20"/>
    </w:rPr>
  </w:style>
  <w:style w:type="paragraph" w:customStyle="1" w:styleId="111">
    <w:name w:val="标题2（新） Char Char"/>
    <w:basedOn w:val="3"/>
    <w:qFormat/>
    <w:uiPriority w:val="0"/>
    <w:pPr>
      <w:widowControl/>
      <w:numPr>
        <w:numId w:val="0"/>
      </w:numPr>
      <w:adjustRightInd/>
      <w:snapToGrid w:val="0"/>
      <w:spacing w:before="0" w:after="0" w:line="440" w:lineRule="exact"/>
      <w:jc w:val="left"/>
    </w:pPr>
    <w:rPr>
      <w:rFonts w:ascii="Times New Roman" w:hAnsi="Times New Roman" w:eastAsia="宋体" w:cs="宋体"/>
      <w:bCs/>
      <w:sz w:val="28"/>
      <w:szCs w:val="28"/>
    </w:rPr>
  </w:style>
  <w:style w:type="paragraph" w:customStyle="1" w:styleId="112">
    <w:name w:val="标准书眉_偶数页"/>
    <w:basedOn w:val="113"/>
    <w:next w:val="1"/>
    <w:qFormat/>
    <w:uiPriority w:val="0"/>
    <w:pPr>
      <w:tabs>
        <w:tab w:val="center" w:pos="4154"/>
        <w:tab w:val="right" w:pos="8306"/>
      </w:tabs>
      <w:jc w:val="left"/>
    </w:pPr>
  </w:style>
  <w:style w:type="paragraph" w:customStyle="1" w:styleId="11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4">
    <w:name w:val="附录四级条标题"/>
    <w:basedOn w:val="115"/>
    <w:next w:val="101"/>
    <w:qFormat/>
    <w:uiPriority w:val="0"/>
    <w:pPr>
      <w:outlineLvl w:val="5"/>
    </w:pPr>
  </w:style>
  <w:style w:type="paragraph" w:customStyle="1" w:styleId="115">
    <w:name w:val="附录三级条标题"/>
    <w:basedOn w:val="116"/>
    <w:next w:val="101"/>
    <w:qFormat/>
    <w:uiPriority w:val="0"/>
    <w:pPr>
      <w:outlineLvl w:val="4"/>
    </w:pPr>
  </w:style>
  <w:style w:type="paragraph" w:customStyle="1" w:styleId="116">
    <w:name w:val="附录二级条标题"/>
    <w:basedOn w:val="117"/>
    <w:next w:val="101"/>
    <w:qFormat/>
    <w:uiPriority w:val="0"/>
    <w:pPr>
      <w:outlineLvl w:val="3"/>
    </w:pPr>
  </w:style>
  <w:style w:type="paragraph" w:customStyle="1" w:styleId="117">
    <w:name w:val="附录一级条标题"/>
    <w:basedOn w:val="100"/>
    <w:next w:val="101"/>
    <w:qFormat/>
    <w:uiPriority w:val="0"/>
    <w:pPr>
      <w:tabs>
        <w:tab w:val="clear" w:pos="780"/>
      </w:tabs>
      <w:autoSpaceDN w:val="0"/>
      <w:spacing w:beforeLines="0"/>
      <w:ind w:left="0" w:firstLine="0"/>
      <w:outlineLvl w:val="2"/>
    </w:pPr>
  </w:style>
  <w:style w:type="paragraph" w:customStyle="1" w:styleId="118">
    <w:name w:val="默认段落字体 Para Char"/>
    <w:basedOn w:val="1"/>
    <w:qFormat/>
    <w:uiPriority w:val="0"/>
    <w:rPr>
      <w:rFonts w:ascii="Tahoma" w:hAnsi="Tahoma"/>
      <w:sz w:val="24"/>
      <w:szCs w:val="20"/>
    </w:rPr>
  </w:style>
  <w:style w:type="paragraph" w:customStyle="1" w:styleId="119">
    <w:name w:val="列出段落1"/>
    <w:basedOn w:val="1"/>
    <w:qFormat/>
    <w:uiPriority w:val="34"/>
    <w:pPr>
      <w:ind w:firstLine="420" w:firstLineChars="200"/>
    </w:pPr>
  </w:style>
  <w:style w:type="paragraph" w:customStyle="1" w:styleId="120">
    <w:name w:val="样式5"/>
    <w:basedOn w:val="121"/>
    <w:next w:val="3"/>
    <w:qFormat/>
    <w:uiPriority w:val="0"/>
  </w:style>
  <w:style w:type="paragraph" w:customStyle="1" w:styleId="121">
    <w:name w:val="样式4"/>
    <w:basedOn w:val="122"/>
    <w:next w:val="124"/>
    <w:qFormat/>
    <w:uiPriority w:val="0"/>
  </w:style>
  <w:style w:type="paragraph" w:customStyle="1" w:styleId="122">
    <w:name w:val="样式 宋体 三号 加粗 居中 行距: 固定值 21.1 磅"/>
    <w:basedOn w:val="123"/>
    <w:next w:val="4"/>
    <w:qFormat/>
    <w:uiPriority w:val="0"/>
    <w:pPr>
      <w:spacing w:line="422" w:lineRule="exact"/>
      <w:jc w:val="center"/>
    </w:pPr>
    <w:rPr>
      <w:b w:val="0"/>
      <w:bCs w:val="0"/>
    </w:rPr>
  </w:style>
  <w:style w:type="paragraph" w:customStyle="1" w:styleId="123">
    <w:name w:val="样式 宋体 三号 加粗 行距: 1.5 倍行距"/>
    <w:basedOn w:val="1"/>
    <w:next w:val="4"/>
    <w:qFormat/>
    <w:uiPriority w:val="0"/>
    <w:pPr>
      <w:adjustRightInd w:val="0"/>
      <w:spacing w:line="360" w:lineRule="auto"/>
      <w:jc w:val="left"/>
    </w:pPr>
    <w:rPr>
      <w:rFonts w:ascii="宋体" w:hAnsi="宋体" w:cs="宋体"/>
      <w:b/>
      <w:bCs/>
      <w:kern w:val="0"/>
      <w:sz w:val="32"/>
      <w:szCs w:val="20"/>
    </w:rPr>
  </w:style>
  <w:style w:type="paragraph" w:customStyle="1" w:styleId="124">
    <w:name w:val="样式3"/>
    <w:basedOn w:val="1"/>
    <w:qFormat/>
    <w:uiPriority w:val="0"/>
    <w:pPr>
      <w:tabs>
        <w:tab w:val="left" w:pos="360"/>
        <w:tab w:val="left" w:pos="1191"/>
      </w:tabs>
      <w:spacing w:before="20" w:after="20" w:line="420" w:lineRule="exact"/>
      <w:ind w:left="1191" w:hanging="851"/>
    </w:pPr>
  </w:style>
  <w:style w:type="paragraph" w:customStyle="1" w:styleId="125">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26">
    <w:name w:val="x正文"/>
    <w:basedOn w:val="1"/>
    <w:qFormat/>
    <w:uiPriority w:val="0"/>
    <w:pPr>
      <w:tabs>
        <w:tab w:val="left" w:pos="851"/>
      </w:tabs>
      <w:spacing w:line="360" w:lineRule="auto"/>
      <w:ind w:firstLine="480" w:firstLineChars="200"/>
    </w:pPr>
    <w:rPr>
      <w:color w:val="000000"/>
      <w:sz w:val="24"/>
    </w:rPr>
  </w:style>
  <w:style w:type="paragraph" w:customStyle="1" w:styleId="127">
    <w:name w:val="正文文本 21"/>
    <w:basedOn w:val="1"/>
    <w:qFormat/>
    <w:uiPriority w:val="0"/>
    <w:pPr>
      <w:adjustRightInd w:val="0"/>
      <w:ind w:firstLine="570"/>
    </w:pPr>
    <w:rPr>
      <w:sz w:val="28"/>
      <w:szCs w:val="20"/>
    </w:rPr>
  </w:style>
  <w:style w:type="paragraph" w:customStyle="1" w:styleId="128">
    <w:name w:val="样式 居中"/>
    <w:basedOn w:val="120"/>
    <w:next w:val="3"/>
    <w:qFormat/>
    <w:uiPriority w:val="0"/>
  </w:style>
  <w:style w:type="paragraph" w:customStyle="1" w:styleId="129">
    <w:name w:val="Plain Text1"/>
    <w:basedOn w:val="1"/>
    <w:qFormat/>
    <w:uiPriority w:val="0"/>
    <w:pPr>
      <w:autoSpaceDE w:val="0"/>
      <w:autoSpaceDN w:val="0"/>
      <w:adjustRightInd w:val="0"/>
    </w:pPr>
    <w:rPr>
      <w:rFonts w:ascii="宋体"/>
      <w:szCs w:val="20"/>
    </w:rPr>
  </w:style>
  <w:style w:type="paragraph" w:customStyle="1" w:styleId="130">
    <w:name w:val="附录图标题"/>
    <w:next w:val="101"/>
    <w:qFormat/>
    <w:uiPriority w:val="0"/>
    <w:pPr>
      <w:tabs>
        <w:tab w:val="left" w:pos="360"/>
      </w:tabs>
      <w:jc w:val="center"/>
    </w:pPr>
    <w:rPr>
      <w:rFonts w:ascii="黑体" w:hAnsi="Times New Roman" w:eastAsia="黑体" w:cs="Times New Roman"/>
      <w:sz w:val="21"/>
      <w:lang w:val="en-US" w:eastAsia="zh-CN" w:bidi="ar-SA"/>
    </w:rPr>
  </w:style>
  <w:style w:type="paragraph" w:customStyle="1" w:styleId="131">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32">
    <w:name w:val="表头"/>
    <w:basedOn w:val="1"/>
    <w:qFormat/>
    <w:uiPriority w:val="0"/>
    <w:pPr>
      <w:spacing w:line="360" w:lineRule="auto"/>
      <w:jc w:val="center"/>
    </w:pPr>
    <w:rPr>
      <w:rFonts w:ascii="黑体" w:eastAsia="黑体"/>
      <w:kern w:val="0"/>
      <w:sz w:val="24"/>
      <w:szCs w:val="20"/>
    </w:rPr>
  </w:style>
  <w:style w:type="paragraph" w:customStyle="1" w:styleId="13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34">
    <w:name w:val="xl25"/>
    <w:basedOn w:val="1"/>
    <w:qFormat/>
    <w:uiPriority w:val="0"/>
    <w:pPr>
      <w:widowControl/>
      <w:pBdr>
        <w:top w:val="single" w:color="auto" w:sz="4" w:space="0"/>
        <w:left w:val="single" w:color="auto" w:sz="4" w:space="0"/>
        <w:bottom w:val="single" w:color="auto" w:sz="4" w:space="0"/>
      </w:pBdr>
      <w:shd w:val="clear" w:color="auto" w:fill="CCFFFF"/>
      <w:spacing w:before="100" w:beforeAutospacing="1" w:after="100" w:afterAutospacing="1"/>
      <w:jc w:val="center"/>
    </w:pPr>
    <w:rPr>
      <w:rFonts w:ascii="宋体" w:hAnsi="宋体" w:cs="宋体"/>
      <w:kern w:val="0"/>
      <w:sz w:val="24"/>
    </w:rPr>
  </w:style>
  <w:style w:type="paragraph" w:customStyle="1" w:styleId="135">
    <w:name w:val="font7"/>
    <w:basedOn w:val="1"/>
    <w:qFormat/>
    <w:uiPriority w:val="0"/>
    <w:pPr>
      <w:widowControl/>
      <w:spacing w:before="100" w:beforeAutospacing="1" w:after="100" w:afterAutospacing="1"/>
      <w:jc w:val="left"/>
    </w:pPr>
    <w:rPr>
      <w:kern w:val="0"/>
      <w:sz w:val="24"/>
    </w:rPr>
  </w:style>
  <w:style w:type="paragraph" w:customStyle="1" w:styleId="136">
    <w:name w:val="发布部门"/>
    <w:next w:val="101"/>
    <w:qFormat/>
    <w:uiPriority w:val="0"/>
    <w:pPr>
      <w:jc w:val="center"/>
    </w:pPr>
    <w:rPr>
      <w:rFonts w:ascii="宋体" w:hAnsi="Times New Roman" w:eastAsia="宋体" w:cs="Times New Roman"/>
      <w:b/>
      <w:spacing w:val="20"/>
      <w:w w:val="135"/>
      <w:sz w:val="36"/>
      <w:lang w:val="en-US" w:eastAsia="zh-CN" w:bidi="ar-SA"/>
    </w:rPr>
  </w:style>
  <w:style w:type="paragraph" w:customStyle="1" w:styleId="13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8">
    <w:name w:val="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39">
    <w:name w:val="五级条标题"/>
    <w:basedOn w:val="1"/>
    <w:next w:val="1"/>
    <w:qFormat/>
    <w:uiPriority w:val="0"/>
    <w:pPr>
      <w:widowControl/>
      <w:jc w:val="left"/>
      <w:outlineLvl w:val="6"/>
    </w:pPr>
    <w:rPr>
      <w:rFonts w:eastAsia="黑体"/>
      <w:kern w:val="0"/>
      <w:szCs w:val="20"/>
    </w:rPr>
  </w:style>
  <w:style w:type="paragraph" w:customStyle="1" w:styleId="140">
    <w:name w:val="附录五级条标题"/>
    <w:basedOn w:val="114"/>
    <w:next w:val="101"/>
    <w:qFormat/>
    <w:uiPriority w:val="0"/>
    <w:pPr>
      <w:tabs>
        <w:tab w:val="left" w:pos="2940"/>
      </w:tabs>
      <w:ind w:left="2940" w:hanging="420"/>
      <w:outlineLvl w:val="6"/>
    </w:pPr>
  </w:style>
  <w:style w:type="paragraph" w:customStyle="1" w:styleId="141">
    <w:name w:val="封面正文"/>
    <w:qFormat/>
    <w:uiPriority w:val="0"/>
    <w:pPr>
      <w:jc w:val="both"/>
    </w:pPr>
    <w:rPr>
      <w:rFonts w:ascii="Times New Roman" w:hAnsi="Times New Roman" w:eastAsia="宋体" w:cs="Times New Roman"/>
      <w:lang w:val="en-US" w:eastAsia="zh-CN" w:bidi="ar-SA"/>
    </w:rPr>
  </w:style>
  <w:style w:type="paragraph" w:customStyle="1" w:styleId="142">
    <w:name w:val="附录标识"/>
    <w:basedOn w:val="107"/>
    <w:qFormat/>
    <w:uiPriority w:val="0"/>
    <w:pPr>
      <w:tabs>
        <w:tab w:val="left" w:pos="360"/>
        <w:tab w:val="left" w:pos="6405"/>
      </w:tabs>
      <w:spacing w:after="200"/>
      <w:ind w:left="360" w:hanging="360"/>
    </w:pPr>
    <w:rPr>
      <w:sz w:val="21"/>
    </w:rPr>
  </w:style>
  <w:style w:type="paragraph" w:customStyle="1" w:styleId="143">
    <w:name w:val="Char Char Char"/>
    <w:basedOn w:val="1"/>
    <w:qFormat/>
    <w:uiPriority w:val="0"/>
    <w:rPr>
      <w:szCs w:val="20"/>
    </w:rPr>
  </w:style>
  <w:style w:type="paragraph" w:customStyle="1" w:styleId="14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5">
    <w:name w:val="封面标准号2"/>
    <w:basedOn w:val="146"/>
    <w:qFormat/>
    <w:uiPriority w:val="0"/>
    <w:pPr>
      <w:adjustRightInd w:val="0"/>
      <w:spacing w:before="357" w:line="280" w:lineRule="exact"/>
    </w:pPr>
  </w:style>
  <w:style w:type="paragraph" w:customStyle="1" w:styleId="146">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14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8">
    <w:name w:val="列项●（二级）"/>
    <w:qFormat/>
    <w:uiPriority w:val="0"/>
    <w:pPr>
      <w:tabs>
        <w:tab w:val="left" w:pos="760"/>
      </w:tabs>
      <w:ind w:left="600" w:leftChars="400" w:hanging="200" w:hangingChars="200"/>
      <w:jc w:val="both"/>
    </w:pPr>
    <w:rPr>
      <w:rFonts w:ascii="宋体" w:hAnsi="Times New Roman" w:eastAsia="宋体" w:cs="Times New Roman"/>
      <w:sz w:val="21"/>
      <w:lang w:val="en-US" w:eastAsia="zh-CN" w:bidi="ar-SA"/>
    </w:rPr>
  </w:style>
  <w:style w:type="paragraph" w:customStyle="1" w:styleId="149">
    <w:name w:val="标题1 Char Char Char"/>
    <w:basedOn w:val="2"/>
    <w:qFormat/>
    <w:uiPriority w:val="0"/>
    <w:pPr>
      <w:tabs>
        <w:tab w:val="center" w:pos="4512"/>
        <w:tab w:val="center" w:pos="4606"/>
      </w:tabs>
      <w:adjustRightInd w:val="0"/>
      <w:snapToGrid w:val="0"/>
      <w:spacing w:beforeLines="50" w:afterLines="50" w:line="400" w:lineRule="exact"/>
    </w:pPr>
    <w:rPr>
      <w:rFonts w:ascii="宋体" w:hAnsi="宋体"/>
      <w:bCs w:val="0"/>
      <w:sz w:val="21"/>
      <w:szCs w:val="21"/>
    </w:rPr>
  </w:style>
  <w:style w:type="paragraph" w:customStyle="1" w:styleId="150">
    <w:name w:val="注："/>
    <w:next w:val="101"/>
    <w:qFormat/>
    <w:uiPriority w:val="0"/>
    <w:pPr>
      <w:widowControl w:val="0"/>
      <w:tabs>
        <w:tab w:val="left" w:pos="420"/>
      </w:tabs>
      <w:autoSpaceDE w:val="0"/>
      <w:autoSpaceDN w:val="0"/>
      <w:ind w:left="420" w:hanging="420"/>
      <w:jc w:val="both"/>
    </w:pPr>
    <w:rPr>
      <w:rFonts w:ascii="宋体" w:hAnsi="Times New Roman" w:eastAsia="宋体" w:cs="Times New Roman"/>
      <w:sz w:val="18"/>
      <w:lang w:val="en-US" w:eastAsia="zh-CN" w:bidi="ar-SA"/>
    </w:rPr>
  </w:style>
  <w:style w:type="paragraph" w:customStyle="1" w:styleId="151">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2">
    <w:name w:val="目次、索引正文"/>
    <w:qFormat/>
    <w:uiPriority w:val="0"/>
    <w:pPr>
      <w:tabs>
        <w:tab w:val="left" w:pos="2880"/>
      </w:tabs>
      <w:spacing w:line="320" w:lineRule="exact"/>
      <w:ind w:left="2880" w:hanging="360"/>
      <w:jc w:val="both"/>
    </w:pPr>
    <w:rPr>
      <w:rFonts w:ascii="宋体" w:hAnsi="Times New Roman" w:eastAsia="宋体" w:cs="Times New Roman"/>
      <w:sz w:val="21"/>
      <w:lang w:val="en-US" w:eastAsia="zh-CN" w:bidi="ar-SA"/>
    </w:rPr>
  </w:style>
  <w:style w:type="paragraph" w:customStyle="1" w:styleId="153">
    <w:name w:val="表格文字"/>
    <w:basedOn w:val="1"/>
    <w:next w:val="1"/>
    <w:qFormat/>
    <w:uiPriority w:val="0"/>
    <w:pPr>
      <w:snapToGrid w:val="0"/>
      <w:spacing w:line="360" w:lineRule="atLeast"/>
      <w:jc w:val="center"/>
    </w:pPr>
    <w:rPr>
      <w:rFonts w:ascii="宋体" w:eastAsia="幼圆"/>
      <w:szCs w:val="20"/>
    </w:rPr>
  </w:style>
  <w:style w:type="paragraph" w:customStyle="1" w:styleId="154">
    <w:name w:val="标题2正文"/>
    <w:basedOn w:val="3"/>
    <w:qFormat/>
    <w:uiPriority w:val="0"/>
    <w:pPr>
      <w:keepNext w:val="0"/>
      <w:keepLines w:val="0"/>
      <w:numPr>
        <w:numId w:val="0"/>
      </w:numPr>
      <w:tabs>
        <w:tab w:val="left" w:pos="900"/>
      </w:tabs>
      <w:snapToGrid w:val="0"/>
      <w:spacing w:beforeLines="150" w:after="156" w:line="240" w:lineRule="auto"/>
      <w:ind w:left="1800" w:right="200" w:rightChars="200" w:hanging="480"/>
    </w:pPr>
    <w:rPr>
      <w:rFonts w:ascii="Times New Roman" w:hAnsi="Times New Roman"/>
      <w:b w:val="0"/>
      <w:bCs/>
      <w:kern w:val="2"/>
      <w:sz w:val="24"/>
    </w:rPr>
  </w:style>
  <w:style w:type="paragraph" w:customStyle="1" w:styleId="155">
    <w:name w:val="文献分类号"/>
    <w:qFormat/>
    <w:uiPriority w:val="0"/>
    <w:pPr>
      <w:widowControl w:val="0"/>
      <w:tabs>
        <w:tab w:val="left" w:pos="760"/>
        <w:tab w:val="left" w:pos="840"/>
      </w:tabs>
    </w:pPr>
    <w:rPr>
      <w:rFonts w:ascii="Times New Roman" w:hAnsi="Times New Roman" w:eastAsia="黑体" w:cs="Times New Roman"/>
      <w:sz w:val="21"/>
      <w:lang w:val="en-US" w:eastAsia="zh-CN" w:bidi="ar-SA"/>
    </w:rPr>
  </w:style>
  <w:style w:type="paragraph" w:customStyle="1" w:styleId="156">
    <w:name w:val="注×："/>
    <w:qFormat/>
    <w:uiPriority w:val="0"/>
    <w:pPr>
      <w:widowControl w:val="0"/>
      <w:tabs>
        <w:tab w:val="left" w:pos="420"/>
        <w:tab w:val="left" w:pos="630"/>
      </w:tabs>
      <w:autoSpaceDE w:val="0"/>
      <w:autoSpaceDN w:val="0"/>
      <w:ind w:left="420" w:hanging="420"/>
      <w:jc w:val="both"/>
    </w:pPr>
    <w:rPr>
      <w:rFonts w:ascii="宋体" w:hAnsi="Times New Roman" w:eastAsia="宋体" w:cs="Times New Roman"/>
      <w:sz w:val="18"/>
      <w:lang w:val="en-US" w:eastAsia="zh-CN" w:bidi="ar-SA"/>
    </w:rPr>
  </w:style>
  <w:style w:type="paragraph" w:customStyle="1" w:styleId="157">
    <w:name w:val="xl27"/>
    <w:basedOn w:val="1"/>
    <w:qFormat/>
    <w:uiPriority w:val="0"/>
    <w:pPr>
      <w:widowControl/>
      <w:pBdr>
        <w:top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kern w:val="0"/>
      <w:sz w:val="24"/>
    </w:rPr>
  </w:style>
  <w:style w:type="paragraph" w:customStyle="1" w:styleId="158">
    <w:name w:val="其他发布部门"/>
    <w:basedOn w:val="136"/>
    <w:qFormat/>
    <w:uiPriority w:val="0"/>
    <w:pPr>
      <w:tabs>
        <w:tab w:val="left" w:pos="1266"/>
      </w:tabs>
      <w:spacing w:line="0" w:lineRule="atLeast"/>
      <w:ind w:left="1266" w:hanging="840"/>
    </w:pPr>
    <w:rPr>
      <w:rFonts w:ascii="黑体" w:eastAsia="黑体"/>
      <w:b w:val="0"/>
    </w:rPr>
  </w:style>
  <w:style w:type="paragraph" w:customStyle="1" w:styleId="15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60">
    <w:name w:val="标题2"/>
    <w:basedOn w:val="3"/>
    <w:qFormat/>
    <w:uiPriority w:val="0"/>
    <w:pPr>
      <w:numPr>
        <w:numId w:val="0"/>
      </w:numPr>
      <w:spacing w:before="0" w:after="0" w:line="360" w:lineRule="auto"/>
      <w:ind w:left="840" w:hanging="420"/>
      <w:jc w:val="both"/>
    </w:pPr>
    <w:rPr>
      <w:rFonts w:ascii="Times New Roman" w:hAnsi="Times New Roman" w:eastAsia="宋体"/>
      <w:b w:val="0"/>
      <w:sz w:val="24"/>
    </w:rPr>
  </w:style>
  <w:style w:type="paragraph" w:customStyle="1" w:styleId="161">
    <w:name w:val="实施日期"/>
    <w:basedOn w:val="162"/>
    <w:qFormat/>
    <w:uiPriority w:val="0"/>
    <w:pPr>
      <w:jc w:val="right"/>
    </w:pPr>
  </w:style>
  <w:style w:type="paragraph" w:customStyle="1" w:styleId="162">
    <w:name w:val="发布日期"/>
    <w:qFormat/>
    <w:uiPriority w:val="0"/>
    <w:rPr>
      <w:rFonts w:ascii="Times New Roman" w:hAnsi="Times New Roman" w:eastAsia="黑体" w:cs="Times New Roman"/>
      <w:sz w:val="28"/>
      <w:lang w:val="en-US" w:eastAsia="zh-CN" w:bidi="ar-SA"/>
    </w:rPr>
  </w:style>
  <w:style w:type="paragraph" w:customStyle="1" w:styleId="16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64">
    <w:name w:val="Char"/>
    <w:basedOn w:val="1"/>
    <w:qFormat/>
    <w:uiPriority w:val="0"/>
  </w:style>
  <w:style w:type="paragraph" w:customStyle="1" w:styleId="16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66">
    <w:name w:val="样式2"/>
    <w:basedOn w:val="1"/>
    <w:qFormat/>
    <w:uiPriority w:val="0"/>
    <w:pPr>
      <w:adjustRightInd w:val="0"/>
      <w:spacing w:before="120" w:after="120"/>
      <w:jc w:val="center"/>
    </w:pPr>
    <w:rPr>
      <w:rFonts w:ascii="Arial" w:hAnsi="Arial"/>
      <w:spacing w:val="60"/>
      <w:kern w:val="0"/>
      <w:sz w:val="24"/>
      <w:szCs w:val="20"/>
    </w:rPr>
  </w:style>
  <w:style w:type="paragraph" w:customStyle="1" w:styleId="167">
    <w:name w:val="font9"/>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168">
    <w:name w:val="Char1"/>
    <w:basedOn w:val="1"/>
    <w:qFormat/>
    <w:uiPriority w:val="0"/>
    <w:pPr>
      <w:snapToGrid w:val="0"/>
    </w:pPr>
    <w:rPr>
      <w:rFonts w:ascii="Arial" w:hAnsi="Arial"/>
      <w:szCs w:val="21"/>
    </w:rPr>
  </w:style>
  <w:style w:type="paragraph" w:customStyle="1" w:styleId="169">
    <w:name w:val="正文表标题"/>
    <w:next w:val="101"/>
    <w:qFormat/>
    <w:uiPriority w:val="0"/>
    <w:pPr>
      <w:jc w:val="center"/>
    </w:pPr>
    <w:rPr>
      <w:rFonts w:ascii="黑体" w:hAnsi="Times New Roman" w:eastAsia="黑体" w:cs="Times New Roman"/>
      <w:sz w:val="21"/>
      <w:lang w:val="en-US" w:eastAsia="zh-CN" w:bidi="ar-SA"/>
    </w:rPr>
  </w:style>
  <w:style w:type="paragraph" w:customStyle="1" w:styleId="170">
    <w:name w:val="标题1"/>
    <w:basedOn w:val="2"/>
    <w:qFormat/>
    <w:uiPriority w:val="0"/>
    <w:pPr>
      <w:keepNext w:val="0"/>
      <w:spacing w:before="0" w:after="0" w:line="360" w:lineRule="auto"/>
      <w:ind w:left="851" w:hanging="851"/>
      <w:jc w:val="center"/>
    </w:pPr>
    <w:rPr>
      <w:sz w:val="30"/>
      <w:szCs w:val="30"/>
    </w:rPr>
  </w:style>
  <w:style w:type="paragraph" w:customStyle="1" w:styleId="171">
    <w:name w:val="JY附件"/>
    <w:basedOn w:val="1"/>
    <w:qFormat/>
    <w:uiPriority w:val="0"/>
    <w:pPr>
      <w:tabs>
        <w:tab w:val="left" w:pos="-288"/>
      </w:tabs>
      <w:snapToGrid w:val="0"/>
      <w:spacing w:beforeLines="50" w:line="480" w:lineRule="exact"/>
      <w:ind w:left="-288" w:leftChars="-1" w:firstLine="600"/>
      <w:jc w:val="left"/>
      <w:outlineLvl w:val="0"/>
    </w:pPr>
    <w:rPr>
      <w:rFonts w:ascii="黑体" w:eastAsia="黑体"/>
      <w:color w:val="000000"/>
      <w:kern w:val="0"/>
      <w:sz w:val="30"/>
      <w:szCs w:val="30"/>
    </w:rPr>
  </w:style>
  <w:style w:type="paragraph" w:customStyle="1" w:styleId="172">
    <w:name w:val="xl26"/>
    <w:basedOn w:val="1"/>
    <w:qFormat/>
    <w:uiPriority w:val="0"/>
    <w:pPr>
      <w:widowControl/>
      <w:pBdr>
        <w:top w:val="single" w:color="auto" w:sz="4" w:space="0"/>
        <w:bottom w:val="single" w:color="auto" w:sz="4" w:space="0"/>
      </w:pBdr>
      <w:shd w:val="clear" w:color="auto" w:fill="CCFFFF"/>
      <w:spacing w:before="100" w:beforeAutospacing="1" w:after="100" w:afterAutospacing="1"/>
      <w:jc w:val="center"/>
    </w:pPr>
    <w:rPr>
      <w:rFonts w:ascii="宋体" w:hAnsi="宋体" w:cs="宋体"/>
      <w:kern w:val="0"/>
      <w:sz w:val="24"/>
    </w:rPr>
  </w:style>
  <w:style w:type="paragraph" w:customStyle="1" w:styleId="17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4">
    <w:name w:val="biao"/>
    <w:basedOn w:val="1"/>
    <w:qFormat/>
    <w:uiPriority w:val="0"/>
    <w:pPr>
      <w:tabs>
        <w:tab w:val="left" w:pos="2340"/>
      </w:tabs>
      <w:autoSpaceDE w:val="0"/>
      <w:autoSpaceDN w:val="0"/>
      <w:adjustRightInd w:val="0"/>
      <w:spacing w:line="240" w:lineRule="atLeast"/>
      <w:jc w:val="center"/>
    </w:pPr>
    <w:rPr>
      <w:rFonts w:ascii="黑体" w:hAnsi="Tms Rmn" w:eastAsia="黑体"/>
      <w:kern w:val="0"/>
      <w:sz w:val="30"/>
      <w:szCs w:val="20"/>
    </w:rPr>
  </w:style>
  <w:style w:type="paragraph" w:customStyle="1" w:styleId="175">
    <w:name w:val="金"/>
    <w:basedOn w:val="1"/>
    <w:next w:val="108"/>
    <w:qFormat/>
    <w:uiPriority w:val="0"/>
    <w:pPr>
      <w:spacing w:before="240" w:after="240" w:line="360" w:lineRule="auto"/>
      <w:ind w:left="359" w:leftChars="171"/>
      <w:jc w:val="center"/>
    </w:pPr>
    <w:rPr>
      <w:b/>
      <w:sz w:val="36"/>
      <w:szCs w:val="20"/>
    </w:rPr>
  </w:style>
  <w:style w:type="paragraph" w:customStyle="1" w:styleId="176">
    <w:name w:val="附录表标题"/>
    <w:next w:val="101"/>
    <w:qFormat/>
    <w:uiPriority w:val="0"/>
    <w:pPr>
      <w:tabs>
        <w:tab w:val="left" w:pos="360"/>
      </w:tabs>
      <w:jc w:val="center"/>
    </w:pPr>
    <w:rPr>
      <w:rFonts w:ascii="黑体" w:hAnsi="Times New Roman" w:eastAsia="黑体" w:cs="Times New Roman"/>
      <w:kern w:val="21"/>
      <w:sz w:val="21"/>
      <w:lang w:val="en-US" w:eastAsia="zh-CN" w:bidi="ar-SA"/>
    </w:rPr>
  </w:style>
  <w:style w:type="paragraph" w:customStyle="1" w:styleId="177">
    <w:name w:val="正文图标题"/>
    <w:next w:val="101"/>
    <w:qFormat/>
    <w:uiPriority w:val="0"/>
    <w:pPr>
      <w:tabs>
        <w:tab w:val="left" w:pos="420"/>
      </w:tabs>
      <w:ind w:left="420" w:hanging="420"/>
      <w:jc w:val="center"/>
    </w:pPr>
    <w:rPr>
      <w:rFonts w:ascii="黑体" w:hAnsi="Times New Roman" w:eastAsia="黑体" w:cs="Times New Roman"/>
      <w:sz w:val="21"/>
      <w:lang w:val="en-US" w:eastAsia="zh-CN" w:bidi="ar-SA"/>
    </w:rPr>
  </w:style>
  <w:style w:type="paragraph" w:customStyle="1" w:styleId="178">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9">
    <w:name w:val="封面标准代替信息"/>
    <w:basedOn w:val="145"/>
    <w:qFormat/>
    <w:uiPriority w:val="0"/>
    <w:pPr>
      <w:spacing w:before="57"/>
    </w:pPr>
    <w:rPr>
      <w:rFonts w:ascii="宋体"/>
      <w:sz w:val="21"/>
    </w:rPr>
  </w:style>
  <w:style w:type="paragraph" w:customStyle="1" w:styleId="180">
    <w:name w:val="三级条标题"/>
    <w:basedOn w:val="102"/>
    <w:next w:val="1"/>
    <w:qFormat/>
    <w:uiPriority w:val="0"/>
    <w:pPr>
      <w:ind w:left="1080"/>
      <w:outlineLvl w:val="4"/>
    </w:pPr>
  </w:style>
  <w:style w:type="paragraph" w:customStyle="1" w:styleId="18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82">
    <w:name w:val=":("/>
    <w:qFormat/>
    <w:uiPriority w:val="0"/>
    <w:pPr>
      <w:overflowPunct w:val="0"/>
      <w:autoSpaceDE w:val="0"/>
      <w:autoSpaceDN w:val="0"/>
      <w:adjustRightInd w:val="0"/>
    </w:pPr>
    <w:rPr>
      <w:rFonts w:ascii="宋体" w:hAnsi="Times New Roman" w:eastAsia="宋体" w:cs="Times New Roman"/>
      <w:lang w:val="en-US" w:eastAsia="zh-CN" w:bidi="ar-SA"/>
    </w:rPr>
  </w:style>
  <w:style w:type="paragraph" w:customStyle="1" w:styleId="183">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8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5">
    <w:name w:val="示例"/>
    <w:next w:val="1"/>
    <w:qFormat/>
    <w:uiPriority w:val="0"/>
    <w:pPr>
      <w:jc w:val="both"/>
    </w:pPr>
    <w:rPr>
      <w:rFonts w:ascii="宋体" w:hAnsi="Times New Roman" w:eastAsia="宋体" w:cs="Times New Roman"/>
      <w:sz w:val="18"/>
      <w:lang w:val="en-US" w:eastAsia="zh-CN" w:bidi="ar-SA"/>
    </w:rPr>
  </w:style>
  <w:style w:type="paragraph" w:customStyle="1" w:styleId="18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87">
    <w:name w:val="条文脚注"/>
    <w:basedOn w:val="31"/>
    <w:qFormat/>
    <w:uiPriority w:val="0"/>
    <w:pPr>
      <w:tabs>
        <w:tab w:val="left" w:pos="1120"/>
      </w:tabs>
      <w:ind w:left="780" w:leftChars="200" w:hanging="360" w:hangingChars="200"/>
      <w:jc w:val="both"/>
    </w:pPr>
    <w:rPr>
      <w:rFonts w:hAnsi="Times New Roman"/>
      <w:kern w:val="2"/>
    </w:rPr>
  </w:style>
  <w:style w:type="paragraph" w:customStyle="1" w:styleId="188">
    <w:name w:val="列项——（一级）"/>
    <w:qFormat/>
    <w:uiPriority w:val="0"/>
    <w:pPr>
      <w:widowControl w:val="0"/>
      <w:tabs>
        <w:tab w:val="left" w:pos="854"/>
        <w:tab w:val="left" w:pos="1200"/>
      </w:tabs>
      <w:ind w:left="1200" w:leftChars="200" w:hanging="720" w:hangingChars="200"/>
      <w:jc w:val="both"/>
    </w:pPr>
    <w:rPr>
      <w:rFonts w:ascii="宋体" w:hAnsi="Times New Roman" w:eastAsia="宋体" w:cs="Times New Roman"/>
      <w:sz w:val="21"/>
      <w:lang w:val="en-US" w:eastAsia="zh-CN" w:bidi="ar-SA"/>
    </w:rPr>
  </w:style>
  <w:style w:type="paragraph" w:customStyle="1" w:styleId="189">
    <w:name w:val="其他标准称谓"/>
    <w:qFormat/>
    <w:uiPriority w:val="0"/>
    <w:pPr>
      <w:tabs>
        <w:tab w:val="left" w:pos="3600"/>
      </w:tabs>
      <w:spacing w:line="0" w:lineRule="atLeast"/>
      <w:ind w:left="3600" w:hanging="360"/>
      <w:jc w:val="distribute"/>
    </w:pPr>
    <w:rPr>
      <w:rFonts w:ascii="黑体" w:hAnsi="宋体" w:eastAsia="黑体" w:cs="Times New Roman"/>
      <w:sz w:val="52"/>
      <w:lang w:val="en-US" w:eastAsia="zh-CN" w:bidi="ar-SA"/>
    </w:rPr>
  </w:style>
  <w:style w:type="paragraph" w:customStyle="1" w:styleId="190">
    <w:name w:val="默认段落字体 Para Char Char Char Char"/>
    <w:basedOn w:val="1"/>
    <w:qFormat/>
    <w:uiPriority w:val="0"/>
    <w:pPr>
      <w:spacing w:line="360" w:lineRule="auto"/>
    </w:pPr>
    <w:rPr>
      <w:rFonts w:ascii="Tahoma" w:hAnsi="Tahoma"/>
      <w:sz w:val="24"/>
      <w:szCs w:val="20"/>
    </w:rPr>
  </w:style>
  <w:style w:type="paragraph" w:customStyle="1" w:styleId="191">
    <w:name w:val="样式8"/>
    <w:basedOn w:val="2"/>
    <w:next w:val="28"/>
    <w:qFormat/>
    <w:uiPriority w:val="0"/>
    <w:rPr>
      <w:bCs w:val="0"/>
      <w:sz w:val="28"/>
      <w:szCs w:val="20"/>
    </w:rPr>
  </w:style>
  <w:style w:type="paragraph" w:customStyle="1" w:styleId="192">
    <w:name w:val="表格"/>
    <w:basedOn w:val="1"/>
    <w:qFormat/>
    <w:uiPriority w:val="0"/>
    <w:pPr>
      <w:adjustRightInd w:val="0"/>
      <w:spacing w:before="60" w:after="60"/>
      <w:jc w:val="center"/>
    </w:pPr>
    <w:rPr>
      <w:rFonts w:ascii="宋体"/>
      <w:kern w:val="0"/>
      <w:sz w:val="24"/>
      <w:szCs w:val="20"/>
    </w:rPr>
  </w:style>
  <w:style w:type="paragraph" w:customStyle="1" w:styleId="193">
    <w:name w:val="Char Char Char Char1"/>
    <w:basedOn w:val="1"/>
    <w:qFormat/>
    <w:uiPriority w:val="0"/>
  </w:style>
  <w:style w:type="paragraph" w:customStyle="1" w:styleId="19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95">
    <w:name w:val="tiao"/>
    <w:basedOn w:val="1"/>
    <w:qFormat/>
    <w:uiPriority w:val="0"/>
    <w:pPr>
      <w:autoSpaceDE w:val="0"/>
      <w:autoSpaceDN w:val="0"/>
      <w:adjustRightInd w:val="0"/>
      <w:spacing w:line="360" w:lineRule="atLeast"/>
      <w:ind w:left="964" w:hanging="964"/>
    </w:pPr>
    <w:rPr>
      <w:rFonts w:ascii="宋体" w:hAnsi="Tms Rmn"/>
      <w:kern w:val="0"/>
      <w:sz w:val="24"/>
      <w:szCs w:val="20"/>
    </w:rPr>
  </w:style>
  <w:style w:type="paragraph" w:customStyle="1" w:styleId="196">
    <w:name w:val="四级条标题"/>
    <w:basedOn w:val="180"/>
    <w:next w:val="101"/>
    <w:qFormat/>
    <w:uiPriority w:val="0"/>
    <w:pPr>
      <w:tabs>
        <w:tab w:val="left" w:pos="360"/>
      </w:tabs>
      <w:ind w:left="360"/>
      <w:outlineLvl w:val="5"/>
    </w:pPr>
  </w:style>
  <w:style w:type="paragraph" w:customStyle="1" w:styleId="197">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19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9">
    <w:name w:val="font6"/>
    <w:basedOn w:val="1"/>
    <w:qFormat/>
    <w:uiPriority w:val="0"/>
    <w:pPr>
      <w:widowControl/>
      <w:spacing w:before="100" w:beforeAutospacing="1" w:after="100" w:afterAutospacing="1"/>
      <w:jc w:val="left"/>
    </w:pPr>
    <w:rPr>
      <w:kern w:val="0"/>
      <w:sz w:val="24"/>
    </w:rPr>
  </w:style>
  <w:style w:type="paragraph" w:customStyle="1" w:styleId="200">
    <w:name w:val="p0"/>
    <w:basedOn w:val="1"/>
    <w:qFormat/>
    <w:uiPriority w:val="0"/>
    <w:pPr>
      <w:widowControl/>
    </w:pPr>
    <w:rPr>
      <w:kern w:val="0"/>
      <w:szCs w:val="21"/>
    </w:rPr>
  </w:style>
  <w:style w:type="paragraph" w:customStyle="1" w:styleId="201">
    <w:name w:val="样式6"/>
    <w:basedOn w:val="3"/>
    <w:next w:val="120"/>
    <w:qFormat/>
    <w:uiPriority w:val="0"/>
    <w:pPr>
      <w:numPr>
        <w:numId w:val="0"/>
      </w:numPr>
    </w:pPr>
    <w:rPr>
      <w:rFonts w:eastAsia="宋体"/>
      <w:bCs/>
      <w:szCs w:val="32"/>
    </w:rPr>
  </w:style>
  <w:style w:type="paragraph" w:customStyle="1" w:styleId="202">
    <w:name w:val="ST20_1"/>
    <w:basedOn w:val="1"/>
    <w:qFormat/>
    <w:uiPriority w:val="0"/>
    <w:pPr>
      <w:autoSpaceDE w:val="0"/>
      <w:autoSpaceDN w:val="0"/>
      <w:adjustRightInd w:val="0"/>
      <w:spacing w:line="400" w:lineRule="atLeast"/>
      <w:ind w:firstLine="567"/>
      <w:jc w:val="center"/>
    </w:pPr>
    <w:rPr>
      <w:rFonts w:ascii="宋体" w:hAnsi="Tms Rmn" w:eastAsia="楷体_GB2312"/>
      <w:kern w:val="0"/>
      <w:sz w:val="24"/>
      <w:szCs w:val="20"/>
    </w:rPr>
  </w:style>
  <w:style w:type="paragraph" w:customStyle="1" w:styleId="203">
    <w:name w:val="日期1"/>
    <w:basedOn w:val="1"/>
    <w:next w:val="1"/>
    <w:qFormat/>
    <w:uiPriority w:val="0"/>
    <w:pPr>
      <w:adjustRightInd w:val="0"/>
    </w:pPr>
    <w:rPr>
      <w:sz w:val="28"/>
      <w:szCs w:val="20"/>
    </w:rPr>
  </w:style>
  <w:style w:type="paragraph" w:customStyle="1" w:styleId="20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205">
    <w:name w:val="目次、标准名称标题"/>
    <w:basedOn w:val="107"/>
    <w:next w:val="101"/>
    <w:qFormat/>
    <w:uiPriority w:val="0"/>
    <w:pPr>
      <w:tabs>
        <w:tab w:val="left" w:pos="1260"/>
      </w:tabs>
      <w:spacing w:line="460" w:lineRule="exact"/>
      <w:ind w:left="1260" w:hanging="420"/>
    </w:pPr>
  </w:style>
  <w:style w:type="paragraph" w:customStyle="1" w:styleId="20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07">
    <w:name w:val="Char Char Char Char Char1"/>
    <w:basedOn w:val="1"/>
    <w:qFormat/>
    <w:uiPriority w:val="0"/>
    <w:rPr>
      <w:sz w:val="24"/>
    </w:rPr>
  </w:style>
  <w:style w:type="paragraph" w:customStyle="1" w:styleId="208">
    <w:name w:val="参考文献、索引标题"/>
    <w:basedOn w:val="107"/>
    <w:next w:val="1"/>
    <w:qFormat/>
    <w:uiPriority w:val="0"/>
    <w:pPr>
      <w:spacing w:after="200"/>
    </w:pPr>
    <w:rPr>
      <w:sz w:val="21"/>
    </w:rPr>
  </w:style>
  <w:style w:type="paragraph" w:customStyle="1" w:styleId="209">
    <w:name w:val="图表脚注"/>
    <w:next w:val="101"/>
    <w:qFormat/>
    <w:uiPriority w:val="0"/>
    <w:pPr>
      <w:tabs>
        <w:tab w:val="left" w:pos="840"/>
        <w:tab w:val="left" w:pos="1140"/>
      </w:tabs>
      <w:ind w:left="300" w:leftChars="200" w:hanging="100" w:hangingChars="100"/>
      <w:jc w:val="both"/>
    </w:pPr>
    <w:rPr>
      <w:rFonts w:ascii="宋体" w:hAnsi="Times New Roman" w:eastAsia="宋体" w:cs="Times New Roman"/>
      <w:sz w:val="18"/>
      <w:lang w:val="en-US" w:eastAsia="zh-CN" w:bidi="ar-SA"/>
    </w:rPr>
  </w:style>
  <w:style w:type="paragraph" w:customStyle="1" w:styleId="210">
    <w:name w:val="列表段落1"/>
    <w:basedOn w:val="1"/>
    <w:qFormat/>
    <w:uiPriority w:val="34"/>
    <w:pPr>
      <w:ind w:firstLine="420" w:firstLineChars="200"/>
    </w:pPr>
    <w:rPr>
      <w:szCs w:val="20"/>
    </w:rPr>
  </w:style>
  <w:style w:type="paragraph" w:customStyle="1" w:styleId="211">
    <w:name w:val="表格居中"/>
    <w:basedOn w:val="1"/>
    <w:qFormat/>
    <w:uiPriority w:val="0"/>
    <w:pPr>
      <w:overflowPunct w:val="0"/>
      <w:autoSpaceDE w:val="0"/>
      <w:autoSpaceDN w:val="0"/>
      <w:adjustRightInd w:val="0"/>
      <w:spacing w:beforeLines="50" w:after="120"/>
      <w:ind w:left="28" w:hanging="14" w:hangingChars="6"/>
    </w:pPr>
    <w:rPr>
      <w:rFonts w:ascii="宋体" w:hAnsi="宋体" w:cs="Arial"/>
      <w:kern w:val="0"/>
      <w:sz w:val="24"/>
    </w:rPr>
  </w:style>
  <w:style w:type="paragraph" w:customStyle="1" w:styleId="212">
    <w:name w:val="编号列项（三级）"/>
    <w:qFormat/>
    <w:uiPriority w:val="0"/>
    <w:pPr>
      <w:tabs>
        <w:tab w:val="left" w:pos="840"/>
        <w:tab w:val="left" w:pos="1120"/>
      </w:tabs>
      <w:ind w:left="800" w:leftChars="600" w:hanging="200" w:hangingChars="200"/>
    </w:pPr>
    <w:rPr>
      <w:rFonts w:ascii="宋体" w:hAnsi="Times New Roman" w:eastAsia="宋体" w:cs="Times New Roman"/>
      <w:sz w:val="21"/>
      <w:lang w:val="en-US" w:eastAsia="zh-CN" w:bidi="ar-SA"/>
    </w:rPr>
  </w:style>
  <w:style w:type="paragraph" w:customStyle="1" w:styleId="213">
    <w:name w:val="中机"/>
    <w:basedOn w:val="1"/>
    <w:qFormat/>
    <w:uiPriority w:val="0"/>
    <w:rPr>
      <w:rFonts w:eastAsia="黑体"/>
      <w:sz w:val="28"/>
      <w:szCs w:val="20"/>
    </w:rPr>
  </w:style>
  <w:style w:type="paragraph" w:customStyle="1" w:styleId="214">
    <w:name w:val="A"/>
    <w:basedOn w:val="1"/>
    <w:qFormat/>
    <w:uiPriority w:val="0"/>
    <w:pPr>
      <w:adjustRightInd w:val="0"/>
      <w:spacing w:line="480" w:lineRule="atLeast"/>
      <w:ind w:firstLine="601"/>
      <w:jc w:val="center"/>
    </w:pPr>
    <w:rPr>
      <w:rFonts w:ascii="宋体"/>
      <w:kern w:val="0"/>
      <w:sz w:val="28"/>
      <w:szCs w:val="20"/>
    </w:rPr>
  </w:style>
  <w:style w:type="paragraph" w:customStyle="1" w:styleId="215">
    <w:name w:val="样式7"/>
    <w:basedOn w:val="3"/>
    <w:next w:val="120"/>
    <w:qFormat/>
    <w:uiPriority w:val="0"/>
    <w:pPr>
      <w:numPr>
        <w:numId w:val="0"/>
      </w:numPr>
    </w:pPr>
    <w:rPr>
      <w:rFonts w:eastAsia="宋体"/>
      <w:bCs/>
      <w:sz w:val="28"/>
      <w:szCs w:val="32"/>
    </w:rPr>
  </w:style>
  <w:style w:type="paragraph" w:customStyle="1" w:styleId="216">
    <w:name w:val="2"/>
    <w:basedOn w:val="1"/>
    <w:qFormat/>
    <w:uiPriority w:val="0"/>
    <w:rPr>
      <w:rFonts w:ascii="Tahoma" w:hAnsi="Tahoma"/>
      <w:sz w:val="24"/>
      <w:szCs w:val="20"/>
    </w:rPr>
  </w:style>
  <w:style w:type="paragraph" w:customStyle="1" w:styleId="217">
    <w:name w:val="样式1"/>
    <w:basedOn w:val="2"/>
    <w:qFormat/>
    <w:uiPriority w:val="0"/>
    <w:pPr>
      <w:jc w:val="center"/>
    </w:pPr>
    <w:rPr>
      <w:sz w:val="32"/>
    </w:rPr>
  </w:style>
  <w:style w:type="paragraph" w:customStyle="1" w:styleId="218">
    <w:name w:val="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219">
    <w:name w:val="样式 标题 2 + 居中"/>
    <w:basedOn w:val="3"/>
    <w:qFormat/>
    <w:uiPriority w:val="0"/>
    <w:pPr>
      <w:widowControl/>
      <w:numPr>
        <w:ilvl w:val="0"/>
        <w:numId w:val="0"/>
      </w:numPr>
      <w:tabs>
        <w:tab w:val="clear" w:pos="840"/>
      </w:tabs>
      <w:adjustRightInd/>
      <w:spacing w:beforeLines="50" w:after="0" w:line="560" w:lineRule="exact"/>
      <w:ind w:left="181" w:leftChars="86" w:firstLine="510" w:firstLineChars="182"/>
    </w:pPr>
    <w:rPr>
      <w:rFonts w:ascii="宋体" w:hAnsi="宋体" w:eastAsia="宋体"/>
      <w:b w:val="0"/>
      <w:bCs/>
      <w:kern w:val="10"/>
      <w:sz w:val="28"/>
      <w:szCs w:val="28"/>
    </w:rPr>
  </w:style>
  <w:style w:type="paragraph" w:customStyle="1" w:styleId="220">
    <w:name w:val="标题1李洪"/>
    <w:basedOn w:val="1"/>
    <w:qFormat/>
    <w:uiPriority w:val="0"/>
    <w:pPr>
      <w:tabs>
        <w:tab w:val="left" w:pos="427"/>
        <w:tab w:val="left" w:pos="567"/>
      </w:tabs>
      <w:spacing w:line="360" w:lineRule="auto"/>
      <w:ind w:left="427" w:hanging="425"/>
    </w:pPr>
  </w:style>
  <w:style w:type="paragraph" w:customStyle="1" w:styleId="221">
    <w:name w:val="文一"/>
    <w:basedOn w:val="1"/>
    <w:link w:val="222"/>
    <w:qFormat/>
    <w:uiPriority w:val="0"/>
    <w:pPr>
      <w:topLinePunct/>
      <w:adjustRightInd w:val="0"/>
      <w:snapToGrid w:val="0"/>
      <w:spacing w:line="360" w:lineRule="auto"/>
      <w:ind w:firstLine="200" w:firstLineChars="200"/>
    </w:pPr>
    <w:rPr>
      <w:snapToGrid w:val="0"/>
      <w:spacing w:val="4"/>
      <w:kern w:val="0"/>
      <w:sz w:val="24"/>
    </w:rPr>
  </w:style>
  <w:style w:type="character" w:customStyle="1" w:styleId="222">
    <w:name w:val="文一 Char Char"/>
    <w:link w:val="221"/>
    <w:qFormat/>
    <w:uiPriority w:val="0"/>
    <w:rPr>
      <w:snapToGrid w:val="0"/>
      <w:spacing w:val="4"/>
      <w:sz w:val="24"/>
      <w:szCs w:val="24"/>
    </w:rPr>
  </w:style>
  <w:style w:type="paragraph" w:customStyle="1" w:styleId="2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4">
    <w:name w:val="发文落款"/>
    <w:basedOn w:val="223"/>
    <w:qFormat/>
    <w:uiPriority w:val="0"/>
    <w:pPr>
      <w:ind w:left="4094" w:right="607" w:firstLine="0"/>
      <w:jc w:val="center"/>
    </w:pPr>
  </w:style>
  <w:style w:type="paragraph" w:customStyle="1" w:styleId="225">
    <w:name w:val="_Style 345"/>
    <w:basedOn w:val="2"/>
    <w:next w:val="1"/>
    <w:qFormat/>
    <w:uiPriority w:val="39"/>
    <w:pPr>
      <w:widowControl/>
      <w:tabs>
        <w:tab w:val="left" w:pos="432"/>
      </w:tabs>
      <w:topLinePunct/>
      <w:adjustRightInd w:val="0"/>
      <w:snapToGrid w:val="0"/>
      <w:spacing w:before="240" w:after="60" w:line="240" w:lineRule="auto"/>
      <w:ind w:left="432" w:firstLine="93"/>
      <w:jc w:val="left"/>
      <w:textAlignment w:val="center"/>
      <w:outlineLvl w:val="9"/>
    </w:pPr>
    <w:rPr>
      <w:rFonts w:ascii="Cambria" w:hAnsi="Cambria"/>
      <w:kern w:val="32"/>
      <w:sz w:val="32"/>
      <w:szCs w:val="32"/>
      <w:lang w:eastAsia="en-US" w:bidi="en-US"/>
    </w:rPr>
  </w:style>
  <w:style w:type="paragraph" w:customStyle="1" w:styleId="226">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27">
    <w:name w:val="列出段落2"/>
    <w:basedOn w:val="1"/>
    <w:qFormat/>
    <w:uiPriority w:val="34"/>
    <w:pPr>
      <w:ind w:firstLine="420" w:firstLineChars="200"/>
    </w:pPr>
    <w:rPr>
      <w:szCs w:val="21"/>
    </w:rPr>
  </w:style>
  <w:style w:type="paragraph" w:customStyle="1" w:styleId="228">
    <w:name w:val="列出段落3"/>
    <w:basedOn w:val="1"/>
    <w:qFormat/>
    <w:uiPriority w:val="34"/>
    <w:pPr>
      <w:ind w:firstLine="420" w:firstLineChars="200"/>
    </w:pPr>
    <w:rPr>
      <w:szCs w:val="21"/>
    </w:rPr>
  </w:style>
  <w:style w:type="character" w:customStyle="1" w:styleId="229">
    <w:name w:val="fontp1"/>
    <w:qFormat/>
    <w:uiPriority w:val="99"/>
    <w:rPr>
      <w:rFonts w:hint="eastAsia" w:ascii="宋体" w:hAnsi="宋体" w:eastAsia="宋体"/>
      <w:sz w:val="18"/>
      <w:szCs w:val="18"/>
    </w:rPr>
  </w:style>
  <w:style w:type="paragraph" w:customStyle="1" w:styleId="230">
    <w:name w:val="列出段落4"/>
    <w:basedOn w:val="1"/>
    <w:qFormat/>
    <w:uiPriority w:val="34"/>
    <w:pPr>
      <w:ind w:firstLine="420" w:firstLineChars="200"/>
    </w:pPr>
    <w:rPr>
      <w:szCs w:val="21"/>
    </w:rPr>
  </w:style>
  <w:style w:type="character" w:customStyle="1" w:styleId="231">
    <w:name w:val="称呼 Char"/>
    <w:basedOn w:val="44"/>
    <w:link w:val="15"/>
    <w:qFormat/>
    <w:uiPriority w:val="99"/>
    <w:rPr>
      <w:rFonts w:ascii="仿宋_GB2312" w:hAnsi="Calibri" w:eastAsia="仿宋_GB2312"/>
      <w:sz w:val="24"/>
      <w:szCs w:val="24"/>
      <w:lang w:eastAsia="en-US"/>
    </w:rPr>
  </w:style>
  <w:style w:type="paragraph" w:customStyle="1" w:styleId="232">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1"/>
    </w:rPr>
  </w:style>
  <w:style w:type="paragraph" w:customStyle="1" w:styleId="233">
    <w:name w:val="标题一"/>
    <w:basedOn w:val="22"/>
    <w:qFormat/>
    <w:uiPriority w:val="0"/>
    <w:pPr>
      <w:widowControl/>
      <w:spacing w:line="295" w:lineRule="auto"/>
      <w:ind w:firstLine="522" w:firstLineChars="100"/>
      <w:jc w:val="center"/>
      <w:outlineLvl w:val="0"/>
    </w:pPr>
    <w:rPr>
      <w:rFonts w:ascii="Times New Roman" w:hAnsi="Times New Roman"/>
      <w:b/>
      <w:bCs/>
      <w:kern w:val="44"/>
      <w:sz w:val="52"/>
      <w:szCs w:val="52"/>
      <w:lang w:eastAsia="en-US"/>
    </w:rPr>
  </w:style>
  <w:style w:type="paragraph" w:customStyle="1" w:styleId="23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5">
    <w:name w:val="列出段落5"/>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7F485-D3F8-4B34-B5DE-4D891CE6F856}">
  <ds:schemaRefs/>
</ds:datastoreItem>
</file>

<file path=docProps/app.xml><?xml version="1.0" encoding="utf-8"?>
<Properties xmlns="http://schemas.openxmlformats.org/officeDocument/2006/extended-properties" xmlns:vt="http://schemas.openxmlformats.org/officeDocument/2006/docPropsVTypes">
  <Template>Normal.dotm</Template>
  <Company>Micosoft</Company>
  <Pages>105</Pages>
  <Words>54553</Words>
  <Characters>13047</Characters>
  <Lines>108</Lines>
  <Paragraphs>134</Paragraphs>
  <TotalTime>47</TotalTime>
  <ScaleCrop>false</ScaleCrop>
  <LinksUpToDate>false</LinksUpToDate>
  <CharactersWithSpaces>67466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2019-09-04T01:05:00Z</dcterms:created>
  <dc:creator>陈李强</dc:creator>
  <cp:lastModifiedBy>中采</cp:lastModifiedBy>
  <cp:lastPrinted>2019-06-21T01:48:00Z</cp:lastPrinted>
  <dcterms:modified xsi:type="dcterms:W3CDTF">2019-10-15T09:24:27Z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