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tabs>
          <w:tab w:val="left" w:pos="540"/>
        </w:tabs>
        <w:adjustRightInd w:val="0"/>
        <w:snapToGrid w:val="0"/>
        <w:spacing w:line="800" w:lineRule="exact"/>
        <w:jc w:val="center"/>
        <w:rPr>
          <w:rFonts w:ascii="黑体" w:hAnsi="黑体" w:eastAsia="黑体"/>
          <w:b/>
          <w:color w:val="auto"/>
          <w:sz w:val="52"/>
          <w:szCs w:val="52"/>
          <w:highlight w:val="none"/>
        </w:rPr>
      </w:pPr>
      <w:r>
        <w:rPr>
          <w:rFonts w:ascii="黑体" w:hAnsi="黑体" w:eastAsia="黑体"/>
          <w:b/>
          <w:color w:val="auto"/>
          <w:sz w:val="52"/>
          <w:szCs w:val="52"/>
          <w:highlight w:val="none"/>
        </w:rPr>
        <w:t>佛山市恒益环保建材有限公司</w:t>
      </w:r>
    </w:p>
    <w:p>
      <w:pPr>
        <w:tabs>
          <w:tab w:val="left" w:pos="540"/>
        </w:tabs>
        <w:adjustRightInd w:val="0"/>
        <w:snapToGrid w:val="0"/>
        <w:spacing w:line="800" w:lineRule="exact"/>
        <w:jc w:val="center"/>
        <w:rPr>
          <w:rFonts w:ascii="黑体" w:hAnsi="黑体" w:eastAsia="黑体"/>
          <w:b/>
          <w:color w:val="auto"/>
          <w:sz w:val="52"/>
          <w:szCs w:val="52"/>
          <w:highlight w:val="none"/>
        </w:rPr>
      </w:pPr>
      <w:r>
        <w:rPr>
          <w:rFonts w:ascii="黑体" w:hAnsi="黑体" w:eastAsia="黑体"/>
          <w:b/>
          <w:color w:val="auto"/>
          <w:sz w:val="52"/>
          <w:szCs w:val="52"/>
          <w:highlight w:val="none"/>
        </w:rPr>
        <w:t>脱硫石膏销售项目</w:t>
      </w:r>
    </w:p>
    <w:p>
      <w:pPr>
        <w:spacing w:beforeLines="50"/>
        <w:jc w:val="center"/>
        <w:rPr>
          <w:rFonts w:ascii="宋体" w:hAnsi="宋体"/>
          <w:b/>
          <w:color w:val="auto"/>
          <w:sz w:val="44"/>
          <w:szCs w:val="44"/>
          <w:highlight w:val="none"/>
        </w:rPr>
      </w:pPr>
    </w:p>
    <w:p>
      <w:pPr>
        <w:spacing w:beforeLines="50"/>
        <w:jc w:val="center"/>
        <w:rPr>
          <w:rFonts w:ascii="宋体" w:hAnsi="宋体"/>
          <w:b/>
          <w:color w:val="auto"/>
          <w:sz w:val="44"/>
          <w:szCs w:val="44"/>
          <w:highlight w:val="none"/>
        </w:rPr>
      </w:pPr>
    </w:p>
    <w:p>
      <w:pPr>
        <w:rPr>
          <w:rFonts w:ascii="宋体" w:hAnsi="宋体"/>
          <w:b/>
          <w:color w:val="auto"/>
          <w:sz w:val="44"/>
          <w:szCs w:val="44"/>
          <w:highlight w:val="none"/>
        </w:rPr>
      </w:pPr>
    </w:p>
    <w:p>
      <w:pPr>
        <w:jc w:val="center"/>
        <w:rPr>
          <w:rFonts w:ascii="宋体" w:hAnsi="宋体"/>
          <w:b/>
          <w:color w:val="auto"/>
          <w:sz w:val="84"/>
          <w:szCs w:val="84"/>
          <w:highlight w:val="none"/>
        </w:rPr>
      </w:pPr>
      <w:r>
        <w:rPr>
          <w:rFonts w:hint="eastAsia" w:ascii="宋体" w:hAnsi="宋体"/>
          <w:b/>
          <w:color w:val="auto"/>
          <w:sz w:val="84"/>
          <w:szCs w:val="84"/>
          <w:highlight w:val="none"/>
        </w:rPr>
        <w:t>公开</w:t>
      </w:r>
      <w:r>
        <w:rPr>
          <w:rFonts w:ascii="宋体" w:hAnsi="宋体"/>
          <w:b/>
          <w:color w:val="auto"/>
          <w:sz w:val="84"/>
          <w:szCs w:val="84"/>
          <w:highlight w:val="none"/>
        </w:rPr>
        <w:t>竞争性谈判文件</w:t>
      </w:r>
    </w:p>
    <w:p>
      <w:pPr>
        <w:jc w:val="center"/>
        <w:rPr>
          <w:rFonts w:ascii="宋体" w:hAnsi="宋体"/>
          <w:b/>
          <w:color w:val="auto"/>
          <w:sz w:val="72"/>
          <w:szCs w:val="72"/>
          <w:highlight w:val="none"/>
        </w:rPr>
      </w:pPr>
    </w:p>
    <w:p>
      <w:pPr>
        <w:jc w:val="center"/>
        <w:rPr>
          <w:rFonts w:ascii="宋体" w:hAnsi="宋体"/>
          <w:b/>
          <w:color w:val="auto"/>
          <w:sz w:val="44"/>
          <w:szCs w:val="44"/>
          <w:highlight w:val="none"/>
        </w:rPr>
      </w:pPr>
      <w:r>
        <w:rPr>
          <w:rFonts w:hint="eastAsia" w:ascii="宋体" w:hAnsi="宋体"/>
          <w:b/>
          <w:color w:val="auto"/>
          <w:sz w:val="44"/>
          <w:szCs w:val="44"/>
          <w:highlight w:val="none"/>
        </w:rPr>
        <w:t>项目编号：GDZC-19JT261</w:t>
      </w:r>
    </w:p>
    <w:p>
      <w:pPr>
        <w:jc w:val="center"/>
        <w:rPr>
          <w:rFonts w:ascii="宋体" w:hAnsi="宋体"/>
          <w:b/>
          <w:color w:val="auto"/>
          <w:sz w:val="30"/>
          <w:szCs w:val="30"/>
          <w:highlight w:val="none"/>
        </w:rPr>
      </w:pPr>
    </w:p>
    <w:p>
      <w:pPr>
        <w:jc w:val="center"/>
        <w:rPr>
          <w:rFonts w:ascii="宋体" w:hAnsi="宋体"/>
          <w:b/>
          <w:color w:val="auto"/>
          <w:sz w:val="30"/>
          <w:szCs w:val="30"/>
          <w:highlight w:val="none"/>
        </w:rPr>
      </w:pPr>
    </w:p>
    <w:p>
      <w:pPr>
        <w:jc w:val="center"/>
        <w:rPr>
          <w:rFonts w:ascii="宋体" w:hAnsi="宋体"/>
          <w:b/>
          <w:color w:val="auto"/>
          <w:sz w:val="30"/>
          <w:szCs w:val="30"/>
          <w:highlight w:val="none"/>
        </w:rPr>
      </w:pPr>
    </w:p>
    <w:p>
      <w:pPr>
        <w:jc w:val="center"/>
        <w:rPr>
          <w:rFonts w:ascii="宋体" w:hAnsi="宋体"/>
          <w:b/>
          <w:color w:val="auto"/>
          <w:sz w:val="30"/>
          <w:szCs w:val="30"/>
          <w:highlight w:val="none"/>
        </w:rPr>
      </w:pPr>
    </w:p>
    <w:p>
      <w:pPr>
        <w:jc w:val="center"/>
        <w:rPr>
          <w:rFonts w:ascii="宋体" w:hAnsi="宋体"/>
          <w:b/>
          <w:color w:val="auto"/>
          <w:sz w:val="30"/>
          <w:szCs w:val="30"/>
          <w:highlight w:val="none"/>
        </w:rPr>
      </w:pPr>
    </w:p>
    <w:p>
      <w:pPr>
        <w:jc w:val="center"/>
        <w:rPr>
          <w:rFonts w:ascii="宋体" w:hAnsi="宋体"/>
          <w:b/>
          <w:color w:val="auto"/>
          <w:sz w:val="30"/>
          <w:szCs w:val="30"/>
          <w:highlight w:val="none"/>
        </w:rPr>
      </w:pPr>
      <w:r>
        <w:rPr>
          <w:rFonts w:hint="eastAsia" w:ascii="宋体" w:hAnsi="宋体"/>
          <w:b/>
          <w:color w:val="auto"/>
          <w:sz w:val="32"/>
          <w:szCs w:val="32"/>
          <w:highlight w:val="none"/>
        </w:rPr>
        <w:t>发包人:佛山市恒益环保建材有限公司</w:t>
      </w:r>
    </w:p>
    <w:p>
      <w:pPr>
        <w:rPr>
          <w:rFonts w:ascii="宋体" w:hAnsi="宋体"/>
          <w:b/>
          <w:color w:val="auto"/>
          <w:sz w:val="30"/>
          <w:szCs w:val="30"/>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招标代理机构: </w:t>
      </w:r>
      <w:r>
        <w:rPr>
          <w:rFonts w:hint="eastAsia" w:ascii="宋体" w:hAnsi="宋体"/>
          <w:b/>
          <w:color w:val="auto"/>
          <w:sz w:val="30"/>
          <w:szCs w:val="30"/>
          <w:highlight w:val="none"/>
        </w:rPr>
        <w:t>广东中采招标有限公司</w:t>
      </w:r>
    </w:p>
    <w:p>
      <w:pPr>
        <w:spacing w:line="360" w:lineRule="auto"/>
        <w:jc w:val="center"/>
        <w:rPr>
          <w:rFonts w:ascii="宋体" w:hAnsi="宋体"/>
          <w:b/>
          <w:color w:val="auto"/>
          <w:sz w:val="32"/>
          <w:szCs w:val="32"/>
          <w:highlight w:val="none"/>
        </w:rPr>
      </w:pPr>
      <w:r>
        <w:rPr>
          <w:rFonts w:ascii="宋体" w:hAnsi="宋体"/>
          <w:b/>
          <w:color w:val="auto"/>
          <w:sz w:val="32"/>
          <w:szCs w:val="32"/>
          <w:highlight w:val="none"/>
        </w:rPr>
        <w:t>日  期：二○一</w:t>
      </w:r>
      <w:r>
        <w:rPr>
          <w:rFonts w:hint="eastAsia" w:ascii="宋体" w:hAnsi="宋体"/>
          <w:b/>
          <w:color w:val="auto"/>
          <w:sz w:val="32"/>
          <w:szCs w:val="32"/>
          <w:highlight w:val="none"/>
        </w:rPr>
        <w:t>九</w:t>
      </w:r>
      <w:r>
        <w:rPr>
          <w:rFonts w:ascii="宋体" w:hAnsi="宋体"/>
          <w:b/>
          <w:color w:val="auto"/>
          <w:sz w:val="32"/>
          <w:szCs w:val="32"/>
          <w:highlight w:val="none"/>
        </w:rPr>
        <w:t>年</w:t>
      </w:r>
      <w:r>
        <w:rPr>
          <w:rFonts w:hint="eastAsia" w:ascii="宋体" w:hAnsi="宋体"/>
          <w:b/>
          <w:color w:val="auto"/>
          <w:sz w:val="32"/>
          <w:szCs w:val="32"/>
          <w:highlight w:val="none"/>
        </w:rPr>
        <w:t>十</w:t>
      </w:r>
      <w:r>
        <w:rPr>
          <w:rFonts w:ascii="宋体" w:hAnsi="宋体"/>
          <w:b/>
          <w:color w:val="auto"/>
          <w:sz w:val="32"/>
          <w:szCs w:val="32"/>
          <w:highlight w:val="none"/>
        </w:rPr>
        <w:t>月</w:t>
      </w:r>
    </w:p>
    <w:p>
      <w:pPr>
        <w:autoSpaceDE w:val="0"/>
        <w:autoSpaceDN w:val="0"/>
        <w:adjustRightInd w:val="0"/>
        <w:spacing w:line="500" w:lineRule="exact"/>
        <w:jc w:val="center"/>
        <w:rPr>
          <w:rFonts w:ascii="宋体" w:hAnsi="宋体" w:cs="宋体"/>
          <w:b/>
          <w:color w:val="auto"/>
          <w:kern w:val="0"/>
          <w:sz w:val="44"/>
          <w:szCs w:val="44"/>
          <w:highlight w:val="none"/>
          <w:lang w:val="zh-CN"/>
        </w:rPr>
      </w:pPr>
      <w:r>
        <w:rPr>
          <w:rFonts w:ascii="宋体" w:hAnsi="宋体"/>
          <w:b/>
          <w:color w:val="auto"/>
          <w:sz w:val="32"/>
          <w:szCs w:val="32"/>
          <w:highlight w:val="none"/>
        </w:rPr>
        <w:br w:type="page"/>
      </w:r>
      <w:r>
        <w:rPr>
          <w:rFonts w:hint="eastAsia" w:ascii="宋体" w:hAnsi="宋体" w:cs="宋体"/>
          <w:b/>
          <w:color w:val="auto"/>
          <w:kern w:val="0"/>
          <w:sz w:val="44"/>
          <w:szCs w:val="44"/>
          <w:highlight w:val="none"/>
          <w:lang w:val="zh-CN"/>
        </w:rPr>
        <w:t>目    录</w:t>
      </w:r>
    </w:p>
    <w:p>
      <w:pPr>
        <w:autoSpaceDE w:val="0"/>
        <w:autoSpaceDN w:val="0"/>
        <w:adjustRightInd w:val="0"/>
        <w:spacing w:line="500" w:lineRule="exact"/>
        <w:jc w:val="center"/>
        <w:rPr>
          <w:rFonts w:ascii="宋体" w:hAnsi="宋体" w:cs="宋体"/>
          <w:b/>
          <w:color w:val="auto"/>
          <w:kern w:val="0"/>
          <w:sz w:val="36"/>
          <w:szCs w:val="36"/>
          <w:highlight w:val="none"/>
          <w:lang w:val="zh-CN"/>
        </w:rPr>
      </w:pPr>
    </w:p>
    <w:p>
      <w:pPr>
        <w:pStyle w:val="21"/>
        <w:tabs>
          <w:tab w:val="right" w:leader="dot" w:pos="9062"/>
        </w:tabs>
        <w:rPr>
          <w:rFonts w:ascii="宋体" w:hAnsi="宋体"/>
          <w:color w:val="auto"/>
          <w:kern w:val="2"/>
          <w:sz w:val="24"/>
          <w:szCs w:val="24"/>
          <w:highlight w:val="none"/>
        </w:rPr>
      </w:pPr>
      <w:r>
        <w:rPr>
          <w:rFonts w:hint="eastAsia" w:ascii="宋体" w:hAnsi="宋体"/>
          <w:color w:val="auto"/>
          <w:kern w:val="2"/>
          <w:sz w:val="24"/>
          <w:szCs w:val="24"/>
          <w:highlight w:val="none"/>
        </w:rPr>
        <w:fldChar w:fldCharType="begin"/>
      </w:r>
      <w:r>
        <w:rPr>
          <w:rFonts w:hint="eastAsia" w:ascii="宋体" w:hAnsi="宋体"/>
          <w:color w:val="auto"/>
          <w:kern w:val="2"/>
          <w:sz w:val="24"/>
          <w:szCs w:val="24"/>
          <w:highlight w:val="none"/>
        </w:rPr>
        <w:instrText xml:space="preserve"> TOC \o "1-2" \u </w:instrText>
      </w:r>
      <w:r>
        <w:rPr>
          <w:rFonts w:hint="eastAsia" w:ascii="宋体" w:hAnsi="宋体"/>
          <w:color w:val="auto"/>
          <w:kern w:val="2"/>
          <w:sz w:val="24"/>
          <w:szCs w:val="24"/>
          <w:highlight w:val="none"/>
        </w:rPr>
        <w:fldChar w:fldCharType="separate"/>
      </w:r>
      <w:r>
        <w:rPr>
          <w:rFonts w:hint="eastAsia" w:ascii="宋体" w:hAnsi="宋体" w:cs="黑体"/>
          <w:color w:val="auto"/>
          <w:sz w:val="24"/>
          <w:szCs w:val="24"/>
          <w:highlight w:val="none"/>
          <w:lang w:val="zh-CN"/>
        </w:rPr>
        <w:t>第一章</w:t>
      </w:r>
      <w:r>
        <w:rPr>
          <w:rFonts w:ascii="宋体" w:hAnsi="宋体"/>
          <w:color w:val="auto"/>
          <w:sz w:val="24"/>
          <w:szCs w:val="24"/>
          <w:highlight w:val="none"/>
        </w:rPr>
        <w:t xml:space="preserve">  </w:t>
      </w:r>
      <w:r>
        <w:rPr>
          <w:rFonts w:hint="eastAsia" w:ascii="宋体" w:hAnsi="宋体" w:cs="黑体"/>
          <w:color w:val="auto"/>
          <w:sz w:val="24"/>
          <w:szCs w:val="24"/>
          <w:highlight w:val="none"/>
          <w:lang w:val="zh-CN"/>
        </w:rPr>
        <w:t>公开竞争性谈判公告</w:t>
      </w:r>
      <w:r>
        <w:rPr>
          <w:rFonts w:ascii="宋体" w:hAnsi="宋体"/>
          <w:color w:val="auto"/>
          <w:sz w:val="24"/>
          <w:szCs w:val="24"/>
          <w:highlight w:val="none"/>
        </w:rPr>
        <w:tab/>
      </w:r>
      <w:r>
        <w:rPr>
          <w:rFonts w:hint="eastAsia" w:ascii="宋体" w:hAnsi="宋体"/>
          <w:color w:val="auto"/>
          <w:sz w:val="24"/>
          <w:szCs w:val="24"/>
          <w:highlight w:val="none"/>
        </w:rPr>
        <w:t>3</w:t>
      </w:r>
    </w:p>
    <w:p>
      <w:pPr>
        <w:pStyle w:val="21"/>
        <w:tabs>
          <w:tab w:val="right" w:leader="dot" w:pos="9062"/>
        </w:tabs>
        <w:rPr>
          <w:rFonts w:ascii="宋体" w:hAnsi="宋体"/>
          <w:color w:val="auto"/>
          <w:kern w:val="2"/>
          <w:sz w:val="24"/>
          <w:szCs w:val="24"/>
          <w:highlight w:val="none"/>
        </w:rPr>
      </w:pPr>
      <w:r>
        <w:rPr>
          <w:rFonts w:hint="eastAsia" w:ascii="宋体" w:hAnsi="宋体" w:cs="黑体"/>
          <w:color w:val="auto"/>
          <w:sz w:val="24"/>
          <w:szCs w:val="24"/>
          <w:highlight w:val="none"/>
          <w:lang w:val="zh-CN"/>
        </w:rPr>
        <w:t>第二章</w:t>
      </w:r>
      <w:r>
        <w:rPr>
          <w:rFonts w:ascii="宋体" w:hAnsi="宋体" w:cs="黑体"/>
          <w:color w:val="auto"/>
          <w:sz w:val="24"/>
          <w:szCs w:val="24"/>
          <w:highlight w:val="none"/>
          <w:lang w:val="zh-CN"/>
        </w:rPr>
        <w:t xml:space="preserve">  </w:t>
      </w:r>
      <w:r>
        <w:rPr>
          <w:rFonts w:hint="eastAsia" w:ascii="宋体" w:hAnsi="宋体" w:cs="黑体"/>
          <w:color w:val="auto"/>
          <w:sz w:val="24"/>
          <w:szCs w:val="24"/>
          <w:highlight w:val="none"/>
          <w:lang w:val="zh-CN"/>
        </w:rPr>
        <w:t>公开竞争性谈判须知</w:t>
      </w:r>
      <w:r>
        <w:rPr>
          <w:rFonts w:ascii="宋体" w:hAnsi="宋体"/>
          <w:color w:val="auto"/>
          <w:sz w:val="24"/>
          <w:szCs w:val="24"/>
          <w:highlight w:val="none"/>
        </w:rPr>
        <w:tab/>
      </w:r>
      <w:r>
        <w:rPr>
          <w:rFonts w:hint="eastAsia" w:ascii="宋体" w:hAnsi="宋体"/>
          <w:color w:val="auto"/>
          <w:sz w:val="24"/>
          <w:szCs w:val="24"/>
          <w:highlight w:val="none"/>
        </w:rPr>
        <w:t>6</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一、公开竞争性谈判文件的澄清、补充和修改</w:t>
      </w:r>
      <w:r>
        <w:rPr>
          <w:rFonts w:ascii="宋体" w:hAnsi="宋体"/>
          <w:color w:val="auto"/>
          <w:sz w:val="24"/>
          <w:szCs w:val="24"/>
          <w:highlight w:val="none"/>
        </w:rPr>
        <w:tab/>
      </w:r>
      <w:r>
        <w:rPr>
          <w:rFonts w:hint="eastAsia" w:ascii="宋体" w:hAnsi="宋体"/>
          <w:color w:val="auto"/>
          <w:sz w:val="24"/>
          <w:szCs w:val="24"/>
          <w:highlight w:val="none"/>
        </w:rPr>
        <w:t>6</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二、响应人响应文件</w:t>
      </w:r>
      <w:r>
        <w:rPr>
          <w:rFonts w:ascii="宋体" w:hAnsi="宋体"/>
          <w:color w:val="auto"/>
          <w:sz w:val="24"/>
          <w:szCs w:val="24"/>
          <w:highlight w:val="none"/>
        </w:rPr>
        <w:tab/>
      </w:r>
      <w:r>
        <w:rPr>
          <w:rFonts w:hint="eastAsia" w:ascii="宋体" w:hAnsi="宋体"/>
          <w:color w:val="auto"/>
          <w:sz w:val="24"/>
          <w:szCs w:val="24"/>
          <w:highlight w:val="none"/>
        </w:rPr>
        <w:t>6</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三、公开竞争性谈判评审</w:t>
      </w:r>
      <w:r>
        <w:rPr>
          <w:rFonts w:ascii="宋体" w:hAnsi="宋体"/>
          <w:color w:val="auto"/>
          <w:sz w:val="24"/>
          <w:szCs w:val="24"/>
          <w:highlight w:val="none"/>
        </w:rPr>
        <w:tab/>
      </w:r>
      <w:r>
        <w:rPr>
          <w:rFonts w:hint="eastAsia" w:ascii="宋体" w:hAnsi="宋体"/>
          <w:color w:val="auto"/>
          <w:sz w:val="24"/>
          <w:szCs w:val="24"/>
          <w:highlight w:val="none"/>
        </w:rPr>
        <w:t>8</w:t>
      </w:r>
    </w:p>
    <w:p>
      <w:pPr>
        <w:pStyle w:val="24"/>
        <w:tabs>
          <w:tab w:val="right" w:leader="dot" w:pos="9062"/>
        </w:tabs>
        <w:spacing w:line="360" w:lineRule="auto"/>
        <w:rPr>
          <w:rFonts w:ascii="宋体" w:hAnsi="宋体"/>
          <w:color w:val="auto"/>
          <w:sz w:val="24"/>
          <w:szCs w:val="24"/>
          <w:highlight w:val="none"/>
          <w:lang w:val="zh-CN"/>
        </w:rPr>
      </w:pPr>
      <w:r>
        <w:rPr>
          <w:rFonts w:hint="eastAsia" w:ascii="宋体" w:hAnsi="宋体"/>
          <w:color w:val="auto"/>
          <w:sz w:val="24"/>
          <w:szCs w:val="24"/>
          <w:highlight w:val="none"/>
          <w:lang w:val="zh-CN"/>
        </w:rPr>
        <w:t>四、谈判结果公告</w:t>
      </w:r>
      <w:r>
        <w:rPr>
          <w:rFonts w:ascii="宋体" w:hAnsi="宋体"/>
          <w:color w:val="auto"/>
          <w:sz w:val="24"/>
          <w:szCs w:val="24"/>
          <w:highlight w:val="none"/>
        </w:rPr>
        <w:tab/>
      </w:r>
      <w:r>
        <w:rPr>
          <w:rFonts w:hint="eastAsia" w:ascii="宋体" w:hAnsi="宋体"/>
          <w:color w:val="auto"/>
          <w:sz w:val="24"/>
          <w:szCs w:val="24"/>
          <w:highlight w:val="none"/>
        </w:rPr>
        <w:t>11</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五、谈判结果通知及合同谈判</w:t>
      </w:r>
      <w:r>
        <w:rPr>
          <w:rFonts w:ascii="宋体" w:hAnsi="宋体"/>
          <w:color w:val="auto"/>
          <w:sz w:val="24"/>
          <w:szCs w:val="24"/>
          <w:highlight w:val="none"/>
        </w:rPr>
        <w:tab/>
      </w:r>
      <w:r>
        <w:rPr>
          <w:rFonts w:hint="eastAsia" w:ascii="宋体" w:hAnsi="宋体"/>
          <w:color w:val="auto"/>
          <w:sz w:val="24"/>
          <w:szCs w:val="24"/>
          <w:highlight w:val="none"/>
        </w:rPr>
        <w:t>11</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附件</w:t>
      </w:r>
      <w:r>
        <w:rPr>
          <w:rFonts w:ascii="宋体" w:hAnsi="宋体"/>
          <w:color w:val="auto"/>
          <w:sz w:val="24"/>
          <w:szCs w:val="24"/>
          <w:highlight w:val="none"/>
        </w:rPr>
        <w:t>1</w:t>
      </w:r>
      <w:r>
        <w:rPr>
          <w:rFonts w:hint="eastAsia" w:ascii="宋体" w:hAnsi="宋体"/>
          <w:color w:val="auto"/>
          <w:sz w:val="24"/>
          <w:szCs w:val="24"/>
          <w:highlight w:val="none"/>
        </w:rPr>
        <w:t>：响应人关于谈判资格的声明函</w:t>
      </w:r>
      <w:r>
        <w:rPr>
          <w:rFonts w:ascii="宋体" w:hAnsi="宋体"/>
          <w:color w:val="auto"/>
          <w:sz w:val="24"/>
          <w:szCs w:val="24"/>
          <w:highlight w:val="none"/>
        </w:rPr>
        <w:tab/>
      </w:r>
      <w:r>
        <w:rPr>
          <w:rFonts w:hint="eastAsia" w:ascii="宋体" w:hAnsi="宋体"/>
          <w:color w:val="auto"/>
          <w:sz w:val="24"/>
          <w:szCs w:val="24"/>
          <w:highlight w:val="none"/>
        </w:rPr>
        <w:t>12</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附件</w:t>
      </w:r>
      <w:r>
        <w:rPr>
          <w:rFonts w:ascii="宋体" w:hAnsi="宋体"/>
          <w:color w:val="auto"/>
          <w:sz w:val="24"/>
          <w:szCs w:val="24"/>
          <w:highlight w:val="none"/>
        </w:rPr>
        <w:t>2</w:t>
      </w:r>
      <w:r>
        <w:rPr>
          <w:rFonts w:hint="eastAsia" w:ascii="宋体" w:hAnsi="宋体"/>
          <w:color w:val="auto"/>
          <w:sz w:val="24"/>
          <w:szCs w:val="24"/>
          <w:highlight w:val="none"/>
        </w:rPr>
        <w:t>：响应人法定代表人证明书</w:t>
      </w:r>
      <w:r>
        <w:rPr>
          <w:rFonts w:ascii="宋体" w:hAnsi="宋体"/>
          <w:color w:val="auto"/>
          <w:sz w:val="24"/>
          <w:szCs w:val="24"/>
          <w:highlight w:val="none"/>
        </w:rPr>
        <w:tab/>
      </w:r>
      <w:r>
        <w:rPr>
          <w:rFonts w:hint="eastAsia" w:ascii="宋体" w:hAnsi="宋体"/>
          <w:color w:val="auto"/>
          <w:sz w:val="24"/>
          <w:szCs w:val="24"/>
          <w:highlight w:val="none"/>
        </w:rPr>
        <w:t>13</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rPr>
        <w:t>附件</w:t>
      </w:r>
      <w:r>
        <w:rPr>
          <w:rFonts w:ascii="宋体" w:hAnsi="宋体"/>
          <w:color w:val="auto"/>
          <w:sz w:val="24"/>
          <w:szCs w:val="24"/>
          <w:highlight w:val="none"/>
        </w:rPr>
        <w:t>3</w:t>
      </w:r>
      <w:r>
        <w:rPr>
          <w:rFonts w:hint="eastAsia" w:ascii="宋体" w:hAnsi="宋体"/>
          <w:color w:val="auto"/>
          <w:sz w:val="24"/>
          <w:szCs w:val="24"/>
          <w:highlight w:val="none"/>
        </w:rPr>
        <w:t>：响应人法定代表授权书</w:t>
      </w:r>
      <w:r>
        <w:rPr>
          <w:rFonts w:ascii="宋体" w:hAnsi="宋体"/>
          <w:color w:val="auto"/>
          <w:sz w:val="24"/>
          <w:szCs w:val="24"/>
          <w:highlight w:val="none"/>
        </w:rPr>
        <w:tab/>
      </w:r>
      <w:r>
        <w:rPr>
          <w:rFonts w:hint="eastAsia" w:ascii="宋体" w:hAnsi="宋体"/>
          <w:color w:val="auto"/>
          <w:sz w:val="24"/>
          <w:szCs w:val="24"/>
          <w:highlight w:val="none"/>
        </w:rPr>
        <w:t>14</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附件</w:t>
      </w:r>
      <w:r>
        <w:rPr>
          <w:rFonts w:ascii="宋体" w:hAnsi="宋体"/>
          <w:color w:val="auto"/>
          <w:sz w:val="24"/>
          <w:szCs w:val="24"/>
          <w:highlight w:val="none"/>
        </w:rPr>
        <w:t>4</w:t>
      </w:r>
      <w:r>
        <w:rPr>
          <w:rFonts w:hint="eastAsia" w:ascii="宋体" w:hAnsi="宋体"/>
          <w:color w:val="auto"/>
          <w:sz w:val="24"/>
          <w:szCs w:val="24"/>
          <w:highlight w:val="none"/>
        </w:rPr>
        <w:t>：响应人简介</w:t>
      </w:r>
      <w:r>
        <w:rPr>
          <w:rFonts w:ascii="宋体" w:hAnsi="宋体"/>
          <w:color w:val="auto"/>
          <w:sz w:val="24"/>
          <w:szCs w:val="24"/>
          <w:highlight w:val="none"/>
        </w:rPr>
        <w:tab/>
      </w:r>
      <w:r>
        <w:rPr>
          <w:rFonts w:hint="eastAsia" w:ascii="宋体" w:hAnsi="宋体"/>
          <w:color w:val="auto"/>
          <w:sz w:val="24"/>
          <w:szCs w:val="24"/>
          <w:highlight w:val="none"/>
        </w:rPr>
        <w:t>15</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附件</w:t>
      </w:r>
      <w:r>
        <w:rPr>
          <w:rFonts w:ascii="宋体" w:hAnsi="宋体"/>
          <w:color w:val="auto"/>
          <w:sz w:val="24"/>
          <w:szCs w:val="24"/>
          <w:highlight w:val="none"/>
        </w:rPr>
        <w:t>5</w:t>
      </w:r>
      <w:r>
        <w:rPr>
          <w:rFonts w:hint="eastAsia" w:ascii="宋体" w:hAnsi="宋体"/>
          <w:color w:val="auto"/>
          <w:sz w:val="24"/>
          <w:szCs w:val="24"/>
          <w:highlight w:val="none"/>
        </w:rPr>
        <w:t>：承诺书</w:t>
      </w:r>
      <w:r>
        <w:rPr>
          <w:rFonts w:ascii="宋体" w:hAnsi="宋体"/>
          <w:color w:val="auto"/>
          <w:sz w:val="24"/>
          <w:szCs w:val="24"/>
          <w:highlight w:val="none"/>
        </w:rPr>
        <w:tab/>
      </w:r>
      <w:r>
        <w:rPr>
          <w:rFonts w:hint="eastAsia" w:ascii="宋体" w:hAnsi="宋体"/>
          <w:color w:val="auto"/>
          <w:sz w:val="24"/>
          <w:szCs w:val="24"/>
          <w:highlight w:val="none"/>
        </w:rPr>
        <w:t>16</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附件</w:t>
      </w:r>
      <w:r>
        <w:rPr>
          <w:rFonts w:ascii="宋体" w:hAnsi="宋体"/>
          <w:color w:val="auto"/>
          <w:sz w:val="24"/>
          <w:szCs w:val="24"/>
          <w:highlight w:val="none"/>
        </w:rPr>
        <w:t>6</w:t>
      </w:r>
      <w:r>
        <w:rPr>
          <w:rFonts w:hint="eastAsia" w:ascii="宋体" w:hAnsi="宋体"/>
          <w:color w:val="auto"/>
          <w:sz w:val="24"/>
          <w:szCs w:val="24"/>
          <w:highlight w:val="none"/>
        </w:rPr>
        <w:t>：</w:t>
      </w:r>
      <w:r>
        <w:rPr>
          <w:rFonts w:hint="eastAsia" w:ascii="宋体" w:hAnsi="宋体"/>
          <w:color w:val="auto"/>
          <w:sz w:val="24"/>
          <w:szCs w:val="24"/>
          <w:highlight w:val="none"/>
          <w:lang w:val="zh-CN"/>
        </w:rPr>
        <w:t>差异表</w:t>
      </w:r>
      <w:r>
        <w:rPr>
          <w:rFonts w:ascii="宋体" w:hAnsi="宋体"/>
          <w:color w:val="auto"/>
          <w:sz w:val="24"/>
          <w:szCs w:val="24"/>
          <w:highlight w:val="none"/>
        </w:rPr>
        <w:tab/>
      </w:r>
      <w:r>
        <w:rPr>
          <w:rFonts w:hint="eastAsia" w:ascii="宋体" w:hAnsi="宋体"/>
          <w:color w:val="auto"/>
          <w:sz w:val="24"/>
          <w:szCs w:val="24"/>
          <w:highlight w:val="none"/>
        </w:rPr>
        <w:t>17</w:t>
      </w:r>
    </w:p>
    <w:p>
      <w:pPr>
        <w:pStyle w:val="24"/>
        <w:tabs>
          <w:tab w:val="right" w:leader="dot" w:pos="9062"/>
        </w:tabs>
        <w:spacing w:line="360" w:lineRule="auto"/>
        <w:rPr>
          <w:rFonts w:ascii="宋体" w:hAnsi="宋体"/>
          <w:color w:val="auto"/>
          <w:sz w:val="24"/>
          <w:szCs w:val="24"/>
          <w:highlight w:val="none"/>
          <w:lang w:val="zh-CN"/>
        </w:rPr>
      </w:pPr>
      <w:r>
        <w:rPr>
          <w:rFonts w:hint="eastAsia" w:ascii="宋体" w:hAnsi="宋体"/>
          <w:color w:val="auto"/>
          <w:sz w:val="24"/>
          <w:szCs w:val="24"/>
          <w:highlight w:val="none"/>
          <w:lang w:val="zh-CN"/>
        </w:rPr>
        <w:t>附件</w:t>
      </w:r>
      <w:r>
        <w:rPr>
          <w:rFonts w:ascii="宋体" w:hAnsi="宋体"/>
          <w:color w:val="auto"/>
          <w:sz w:val="24"/>
          <w:szCs w:val="24"/>
          <w:highlight w:val="none"/>
          <w:lang w:val="zh-CN"/>
        </w:rPr>
        <w:t>7</w:t>
      </w:r>
      <w:r>
        <w:rPr>
          <w:rFonts w:hint="eastAsia" w:ascii="宋体" w:hAnsi="宋体"/>
          <w:color w:val="auto"/>
          <w:sz w:val="24"/>
          <w:szCs w:val="24"/>
          <w:highlight w:val="none"/>
          <w:lang w:val="zh-CN"/>
        </w:rPr>
        <w:t>：报价单</w:t>
      </w:r>
      <w:r>
        <w:rPr>
          <w:rFonts w:ascii="宋体" w:hAnsi="宋体"/>
          <w:color w:val="auto"/>
          <w:sz w:val="24"/>
          <w:szCs w:val="24"/>
          <w:highlight w:val="none"/>
        </w:rPr>
        <w:tab/>
      </w:r>
      <w:r>
        <w:rPr>
          <w:rFonts w:hint="eastAsia" w:ascii="宋体" w:hAnsi="宋体"/>
          <w:color w:val="auto"/>
          <w:sz w:val="24"/>
          <w:szCs w:val="24"/>
          <w:highlight w:val="none"/>
        </w:rPr>
        <w:t>18</w:t>
      </w:r>
    </w:p>
    <w:p>
      <w:pPr>
        <w:pStyle w:val="24"/>
        <w:tabs>
          <w:tab w:val="right" w:leader="dot" w:pos="9062"/>
        </w:tabs>
        <w:spacing w:line="360" w:lineRule="auto"/>
        <w:rPr>
          <w:rFonts w:ascii="宋体" w:hAnsi="宋体"/>
          <w:color w:val="auto"/>
          <w:sz w:val="24"/>
          <w:szCs w:val="24"/>
          <w:highlight w:val="none"/>
        </w:rPr>
      </w:pPr>
      <w:r>
        <w:rPr>
          <w:rFonts w:hint="eastAsia" w:ascii="宋体" w:hAnsi="宋体"/>
          <w:color w:val="auto"/>
          <w:sz w:val="24"/>
          <w:szCs w:val="24"/>
          <w:highlight w:val="none"/>
          <w:lang w:val="zh-CN"/>
        </w:rPr>
        <w:t>附件8：响应人资格性及符合性审查表</w:t>
      </w:r>
      <w:r>
        <w:rPr>
          <w:rFonts w:ascii="宋体" w:hAnsi="宋体"/>
          <w:color w:val="auto"/>
          <w:sz w:val="24"/>
          <w:szCs w:val="24"/>
          <w:highlight w:val="none"/>
        </w:rPr>
        <w:tab/>
      </w:r>
      <w:r>
        <w:rPr>
          <w:rFonts w:hint="eastAsia" w:ascii="宋体" w:hAnsi="宋体"/>
          <w:color w:val="auto"/>
          <w:sz w:val="24"/>
          <w:szCs w:val="24"/>
          <w:highlight w:val="none"/>
        </w:rPr>
        <w:t>19</w:t>
      </w:r>
    </w:p>
    <w:p>
      <w:pPr>
        <w:pStyle w:val="21"/>
        <w:tabs>
          <w:tab w:val="right" w:leader="dot" w:pos="9062"/>
        </w:tabs>
        <w:rPr>
          <w:rFonts w:ascii="宋体" w:hAnsi="宋体"/>
          <w:color w:val="auto"/>
          <w:kern w:val="2"/>
          <w:sz w:val="24"/>
          <w:szCs w:val="24"/>
          <w:highlight w:val="none"/>
        </w:rPr>
      </w:pPr>
      <w:r>
        <w:rPr>
          <w:rFonts w:hint="eastAsia" w:ascii="宋体" w:hAnsi="宋体" w:cs="黑体"/>
          <w:color w:val="auto"/>
          <w:sz w:val="24"/>
          <w:szCs w:val="24"/>
          <w:highlight w:val="none"/>
          <w:lang w:val="zh-CN"/>
        </w:rPr>
        <w:t>第三章</w:t>
      </w:r>
      <w:r>
        <w:rPr>
          <w:rFonts w:ascii="宋体" w:hAnsi="宋体" w:cs="黑体"/>
          <w:color w:val="auto"/>
          <w:sz w:val="24"/>
          <w:szCs w:val="24"/>
          <w:highlight w:val="none"/>
          <w:lang w:val="zh-CN"/>
        </w:rPr>
        <w:t xml:space="preserve">  </w:t>
      </w:r>
      <w:r>
        <w:rPr>
          <w:rFonts w:hint="eastAsia" w:ascii="宋体" w:hAnsi="宋体" w:cs="黑体"/>
          <w:color w:val="auto"/>
          <w:sz w:val="24"/>
          <w:szCs w:val="24"/>
          <w:highlight w:val="none"/>
          <w:lang w:val="zh-CN"/>
        </w:rPr>
        <w:t>合同文本</w:t>
      </w:r>
      <w:r>
        <w:rPr>
          <w:rFonts w:ascii="宋体" w:hAnsi="宋体"/>
          <w:color w:val="auto"/>
          <w:sz w:val="24"/>
          <w:szCs w:val="24"/>
          <w:highlight w:val="none"/>
        </w:rPr>
        <w:tab/>
      </w:r>
      <w:r>
        <w:rPr>
          <w:rFonts w:hint="eastAsia" w:ascii="宋体" w:hAnsi="宋体"/>
          <w:color w:val="auto"/>
          <w:sz w:val="24"/>
          <w:szCs w:val="24"/>
          <w:highlight w:val="none"/>
        </w:rPr>
        <w:t>20</w:t>
      </w:r>
    </w:p>
    <w:p>
      <w:pPr>
        <w:pStyle w:val="24"/>
        <w:tabs>
          <w:tab w:val="right" w:leader="dot" w:pos="9062"/>
        </w:tabs>
        <w:spacing w:line="360" w:lineRule="auto"/>
        <w:rPr>
          <w:rFonts w:ascii="Calibri" w:hAnsi="Calibri"/>
          <w:color w:val="auto"/>
          <w:szCs w:val="22"/>
          <w:highlight w:val="none"/>
        </w:rPr>
      </w:pPr>
    </w:p>
    <w:p>
      <w:pPr>
        <w:autoSpaceDE w:val="0"/>
        <w:autoSpaceDN w:val="0"/>
        <w:adjustRightInd w:val="0"/>
        <w:spacing w:line="500" w:lineRule="exact"/>
        <w:jc w:val="center"/>
        <w:rPr>
          <w:rFonts w:ascii="宋体" w:hAnsi="宋体"/>
          <w:color w:val="auto"/>
          <w:sz w:val="24"/>
          <w:highlight w:val="none"/>
        </w:rPr>
      </w:pPr>
      <w:r>
        <w:rPr>
          <w:rFonts w:hint="eastAsia" w:ascii="宋体" w:hAnsi="宋体"/>
          <w:color w:val="auto"/>
          <w:sz w:val="24"/>
          <w:highlight w:val="none"/>
        </w:rPr>
        <w:fldChar w:fldCharType="end"/>
      </w:r>
    </w:p>
    <w:p>
      <w:pPr>
        <w:autoSpaceDE w:val="0"/>
        <w:autoSpaceDN w:val="0"/>
        <w:adjustRightInd w:val="0"/>
        <w:spacing w:line="500" w:lineRule="exact"/>
        <w:jc w:val="center"/>
        <w:rPr>
          <w:rFonts w:ascii="宋体" w:hAnsi="宋体"/>
          <w:color w:val="auto"/>
          <w:sz w:val="24"/>
          <w:highlight w:val="none"/>
        </w:rPr>
      </w:pPr>
    </w:p>
    <w:p>
      <w:pPr>
        <w:autoSpaceDE w:val="0"/>
        <w:autoSpaceDN w:val="0"/>
        <w:adjustRightInd w:val="0"/>
        <w:spacing w:line="500" w:lineRule="exact"/>
        <w:jc w:val="center"/>
        <w:rPr>
          <w:rFonts w:ascii="宋体" w:hAnsi="宋体"/>
          <w:color w:val="auto"/>
          <w:sz w:val="24"/>
          <w:highlight w:val="none"/>
        </w:rPr>
      </w:pPr>
    </w:p>
    <w:p>
      <w:pPr>
        <w:autoSpaceDE w:val="0"/>
        <w:autoSpaceDN w:val="0"/>
        <w:adjustRightInd w:val="0"/>
        <w:spacing w:line="500" w:lineRule="exact"/>
        <w:jc w:val="center"/>
        <w:rPr>
          <w:rFonts w:ascii="宋体" w:hAnsi="宋体"/>
          <w:color w:val="auto"/>
          <w:sz w:val="24"/>
          <w:highlight w:val="none"/>
        </w:rPr>
      </w:pPr>
    </w:p>
    <w:p>
      <w:pPr>
        <w:autoSpaceDE w:val="0"/>
        <w:autoSpaceDN w:val="0"/>
        <w:adjustRightInd w:val="0"/>
        <w:spacing w:line="500" w:lineRule="exact"/>
        <w:jc w:val="center"/>
        <w:rPr>
          <w:rFonts w:ascii="宋体" w:hAnsi="宋体"/>
          <w:color w:val="auto"/>
          <w:sz w:val="24"/>
          <w:highlight w:val="none"/>
        </w:rPr>
      </w:pPr>
    </w:p>
    <w:p>
      <w:pPr>
        <w:autoSpaceDE w:val="0"/>
        <w:autoSpaceDN w:val="0"/>
        <w:adjustRightInd w:val="0"/>
        <w:spacing w:line="500" w:lineRule="exact"/>
        <w:jc w:val="center"/>
        <w:rPr>
          <w:rFonts w:ascii="宋体" w:hAnsi="宋体"/>
          <w:color w:val="auto"/>
          <w:sz w:val="24"/>
          <w:highlight w:val="none"/>
        </w:rPr>
      </w:pPr>
    </w:p>
    <w:p>
      <w:pPr>
        <w:autoSpaceDE w:val="0"/>
        <w:autoSpaceDN w:val="0"/>
        <w:adjustRightInd w:val="0"/>
        <w:spacing w:line="500" w:lineRule="exact"/>
        <w:jc w:val="center"/>
        <w:rPr>
          <w:rFonts w:ascii="宋体" w:hAnsi="宋体"/>
          <w:color w:val="auto"/>
          <w:sz w:val="24"/>
          <w:highlight w:val="none"/>
        </w:rPr>
      </w:pPr>
    </w:p>
    <w:p>
      <w:pPr>
        <w:autoSpaceDE w:val="0"/>
        <w:autoSpaceDN w:val="0"/>
        <w:adjustRightInd w:val="0"/>
        <w:spacing w:line="500" w:lineRule="exact"/>
        <w:jc w:val="center"/>
        <w:rPr>
          <w:rFonts w:ascii="宋体" w:hAnsi="宋体"/>
          <w:color w:val="auto"/>
          <w:sz w:val="24"/>
          <w:highlight w:val="none"/>
        </w:rPr>
      </w:pPr>
    </w:p>
    <w:p>
      <w:pPr>
        <w:autoSpaceDE w:val="0"/>
        <w:autoSpaceDN w:val="0"/>
        <w:adjustRightInd w:val="0"/>
        <w:spacing w:line="500" w:lineRule="exact"/>
        <w:jc w:val="center"/>
        <w:rPr>
          <w:rFonts w:ascii="宋体" w:hAnsi="宋体"/>
          <w:color w:val="auto"/>
          <w:sz w:val="24"/>
          <w:highlight w:val="none"/>
        </w:rPr>
      </w:pPr>
    </w:p>
    <w:p>
      <w:pPr>
        <w:autoSpaceDE w:val="0"/>
        <w:autoSpaceDN w:val="0"/>
        <w:adjustRightInd w:val="0"/>
        <w:spacing w:line="500" w:lineRule="exact"/>
        <w:jc w:val="center"/>
        <w:rPr>
          <w:rFonts w:ascii="宋体" w:hAnsi="宋体"/>
          <w:color w:val="auto"/>
          <w:sz w:val="24"/>
          <w:highlight w:val="none"/>
        </w:rPr>
      </w:pPr>
    </w:p>
    <w:p>
      <w:pPr>
        <w:autoSpaceDE w:val="0"/>
        <w:autoSpaceDN w:val="0"/>
        <w:adjustRightInd w:val="0"/>
        <w:spacing w:line="500" w:lineRule="exact"/>
        <w:jc w:val="center"/>
        <w:rPr>
          <w:rFonts w:ascii="宋体" w:hAnsi="宋体"/>
          <w:b/>
          <w:color w:val="auto"/>
          <w:sz w:val="36"/>
          <w:highlight w:val="none"/>
          <w:lang w:val="zh-CN"/>
        </w:rPr>
      </w:pPr>
      <w:bookmarkStart w:id="0" w:name="_Toc223777432"/>
      <w:r>
        <w:rPr>
          <w:rFonts w:ascii="宋体" w:hAnsi="宋体"/>
          <w:color w:val="auto"/>
          <w:sz w:val="36"/>
          <w:highlight w:val="none"/>
          <w:lang w:val="zh-CN"/>
        </w:rPr>
        <w:t xml:space="preserve">第一章   </w:t>
      </w:r>
      <w:bookmarkEnd w:id="0"/>
      <w:r>
        <w:rPr>
          <w:rFonts w:hint="eastAsia" w:ascii="宋体" w:hAnsi="宋体" w:cs="黑体"/>
          <w:b/>
          <w:color w:val="auto"/>
          <w:sz w:val="36"/>
          <w:szCs w:val="36"/>
          <w:highlight w:val="none"/>
          <w:lang w:val="zh-CN"/>
        </w:rPr>
        <w:t>公开竞争性谈判公告</w:t>
      </w:r>
    </w:p>
    <w:p>
      <w:pPr>
        <w:autoSpaceDE w:val="0"/>
        <w:autoSpaceDN w:val="0"/>
        <w:adjustRightInd w:val="0"/>
        <w:spacing w:line="276" w:lineRule="auto"/>
        <w:ind w:right="480"/>
        <w:jc w:val="center"/>
        <w:rPr>
          <w:rFonts w:ascii="宋体" w:hAnsi="宋体"/>
          <w:color w:val="auto"/>
          <w:sz w:val="24"/>
          <w:highlight w:val="none"/>
          <w:lang w:val="zh-CN"/>
        </w:rPr>
      </w:pPr>
      <w:r>
        <w:rPr>
          <w:rFonts w:hint="eastAsia" w:ascii="宋体" w:hAnsi="宋体"/>
          <w:color w:val="auto"/>
          <w:sz w:val="24"/>
          <w:highlight w:val="none"/>
          <w:lang w:val="zh-CN"/>
        </w:rPr>
        <w:t xml:space="preserve">                                                  </w:t>
      </w:r>
    </w:p>
    <w:p>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lang w:val="zh-CN"/>
        </w:rPr>
        <w:t xml:space="preserve">                                                    </w:t>
      </w:r>
      <w:r>
        <w:rPr>
          <w:rFonts w:ascii="宋体" w:hAnsi="宋体"/>
          <w:color w:val="auto"/>
          <w:sz w:val="24"/>
          <w:highlight w:val="none"/>
          <w:lang w:val="zh-CN"/>
        </w:rPr>
        <w:t>日期</w:t>
      </w:r>
      <w:r>
        <w:rPr>
          <w:rFonts w:ascii="宋体" w:hAnsi="宋体"/>
          <w:color w:val="auto"/>
          <w:sz w:val="24"/>
          <w:highlight w:val="none"/>
        </w:rPr>
        <w:t>：201</w:t>
      </w:r>
      <w:r>
        <w:rPr>
          <w:rFonts w:hint="eastAsia" w:ascii="宋体" w:hAnsi="宋体"/>
          <w:color w:val="auto"/>
          <w:sz w:val="24"/>
          <w:highlight w:val="none"/>
        </w:rPr>
        <w:t>9</w:t>
      </w:r>
      <w:r>
        <w:rPr>
          <w:rFonts w:ascii="宋体" w:hAnsi="宋体"/>
          <w:color w:val="auto"/>
          <w:sz w:val="24"/>
          <w:highlight w:val="none"/>
          <w:lang w:val="zh-CN"/>
        </w:rPr>
        <w:t>年</w:t>
      </w:r>
      <w:r>
        <w:rPr>
          <w:rFonts w:hint="eastAsia" w:ascii="宋体" w:hAnsi="宋体"/>
          <w:color w:val="auto"/>
          <w:sz w:val="24"/>
          <w:highlight w:val="none"/>
        </w:rPr>
        <w:t>10</w:t>
      </w:r>
      <w:r>
        <w:rPr>
          <w:rFonts w:ascii="宋体" w:hAnsi="宋体"/>
          <w:color w:val="auto"/>
          <w:sz w:val="24"/>
          <w:highlight w:val="none"/>
          <w:lang w:val="zh-CN"/>
        </w:rPr>
        <w:t>月</w:t>
      </w:r>
      <w:r>
        <w:rPr>
          <w:rFonts w:hint="eastAsia" w:ascii="宋体" w:hAnsi="宋体"/>
          <w:color w:val="auto"/>
          <w:sz w:val="24"/>
          <w:highlight w:val="none"/>
        </w:rPr>
        <w:t>28</w:t>
      </w:r>
      <w:r>
        <w:rPr>
          <w:rFonts w:ascii="宋体" w:hAnsi="宋体"/>
          <w:color w:val="auto"/>
          <w:sz w:val="24"/>
          <w:highlight w:val="none"/>
          <w:lang w:val="zh-CN"/>
        </w:rPr>
        <w:t>日</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根据发包人的工作计划安排，现邀请满足本项目资格条件的潜在响应单位参加本项目的公开竞争性谈判。</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1、项目名称：佛山市恒益环保建材有限公司脱硫石膏销售项目</w:t>
      </w:r>
    </w:p>
    <w:p>
      <w:pPr>
        <w:tabs>
          <w:tab w:val="left" w:pos="0"/>
          <w:tab w:val="left" w:pos="1260"/>
        </w:tabs>
        <w:autoSpaceDE w:val="0"/>
        <w:autoSpaceDN w:val="0"/>
        <w:adjustRightInd w:val="0"/>
        <w:spacing w:line="360" w:lineRule="auto"/>
        <w:jc w:val="left"/>
        <w:rPr>
          <w:rFonts w:ascii="宋体" w:hAnsi="宋体"/>
          <w:color w:val="auto"/>
          <w:sz w:val="24"/>
          <w:highlight w:val="none"/>
          <w:lang w:val="zh-CN"/>
        </w:rPr>
      </w:pPr>
      <w:r>
        <w:rPr>
          <w:rFonts w:hint="eastAsia" w:ascii="宋体" w:hAnsi="宋体" w:cs="仿宋_GB2312"/>
          <w:color w:val="auto"/>
          <w:sz w:val="24"/>
          <w:highlight w:val="none"/>
          <w:lang w:val="zh-CN"/>
        </w:rPr>
        <w:t xml:space="preserve">    2、公开竞争性谈判内容</w:t>
      </w:r>
      <w:r>
        <w:rPr>
          <w:rFonts w:hint="eastAsia" w:ascii="宋体" w:hAnsi="宋体"/>
          <w:color w:val="auto"/>
          <w:sz w:val="24"/>
          <w:highlight w:val="none"/>
          <w:lang w:val="zh-CN"/>
        </w:rPr>
        <w:t>：除发包人内部使用外的佛山恒益热电有限公司脱硫系统产出的所有脱硫石膏（</w:t>
      </w:r>
      <w:r>
        <w:rPr>
          <w:rFonts w:ascii="宋体" w:hAnsi="宋体"/>
          <w:color w:val="auto"/>
          <w:sz w:val="24"/>
          <w:highlight w:val="none"/>
          <w:lang w:val="zh-CN"/>
        </w:rPr>
        <w:t>约</w:t>
      </w:r>
      <w:r>
        <w:rPr>
          <w:rFonts w:hint="eastAsia" w:ascii="宋体" w:hAnsi="宋体"/>
          <w:color w:val="auto"/>
          <w:sz w:val="24"/>
          <w:highlight w:val="none"/>
          <w:lang w:val="zh-CN"/>
        </w:rPr>
        <w:t>4.65</w:t>
      </w:r>
      <w:r>
        <w:rPr>
          <w:rFonts w:ascii="宋体" w:hAnsi="宋体"/>
          <w:color w:val="auto"/>
          <w:sz w:val="24"/>
          <w:highlight w:val="none"/>
          <w:lang w:val="zh-CN"/>
        </w:rPr>
        <w:t>万吨/年</w:t>
      </w:r>
      <w:r>
        <w:rPr>
          <w:rFonts w:hint="eastAsia" w:ascii="宋体" w:hAnsi="宋体"/>
          <w:color w:val="auto"/>
          <w:sz w:val="24"/>
          <w:highlight w:val="none"/>
          <w:lang w:val="zh-CN"/>
        </w:rPr>
        <w:t>）</w:t>
      </w:r>
      <w:r>
        <w:rPr>
          <w:rFonts w:ascii="宋体" w:hAnsi="宋体"/>
          <w:color w:val="auto"/>
          <w:sz w:val="24"/>
          <w:highlight w:val="none"/>
          <w:lang w:val="zh-CN"/>
        </w:rPr>
        <w:t>。</w:t>
      </w:r>
    </w:p>
    <w:p>
      <w:pPr>
        <w:tabs>
          <w:tab w:val="left" w:pos="0"/>
          <w:tab w:val="left" w:pos="1260"/>
        </w:tabs>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3、项目地点：佛山市三水区白坭镇临江工业城恒益电厂内。</w:t>
      </w:r>
    </w:p>
    <w:p>
      <w:pPr>
        <w:tabs>
          <w:tab w:val="left" w:pos="0"/>
          <w:tab w:val="left" w:pos="1260"/>
        </w:tabs>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4、承包期限：2年，自</w:t>
      </w:r>
      <w:r>
        <w:rPr>
          <w:rFonts w:ascii="宋体" w:hAnsi="宋体"/>
          <w:color w:val="auto"/>
          <w:sz w:val="24"/>
          <w:highlight w:val="none"/>
          <w:lang w:val="zh-CN"/>
        </w:rPr>
        <w:t>20</w:t>
      </w:r>
      <w:r>
        <w:rPr>
          <w:rFonts w:hint="eastAsia" w:ascii="宋体" w:hAnsi="宋体"/>
          <w:color w:val="auto"/>
          <w:sz w:val="24"/>
          <w:highlight w:val="none"/>
          <w:lang w:val="zh-CN"/>
        </w:rPr>
        <w:t>20年1月1日至</w:t>
      </w:r>
      <w:r>
        <w:rPr>
          <w:rFonts w:ascii="宋体" w:hAnsi="宋体"/>
          <w:color w:val="auto"/>
          <w:sz w:val="24"/>
          <w:highlight w:val="none"/>
          <w:lang w:val="zh-CN"/>
        </w:rPr>
        <w:t>20</w:t>
      </w:r>
      <w:r>
        <w:rPr>
          <w:rFonts w:hint="eastAsia" w:ascii="宋体" w:hAnsi="宋体"/>
          <w:color w:val="auto"/>
          <w:sz w:val="24"/>
          <w:highlight w:val="none"/>
          <w:lang w:val="zh-CN"/>
        </w:rPr>
        <w:t>21年12月31日。</w:t>
      </w:r>
    </w:p>
    <w:p>
      <w:pPr>
        <w:tabs>
          <w:tab w:val="left" w:pos="0"/>
          <w:tab w:val="left" w:pos="851"/>
          <w:tab w:val="left" w:pos="1260"/>
        </w:tabs>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5、</w:t>
      </w:r>
      <w:r>
        <w:rPr>
          <w:rFonts w:ascii="宋体" w:hAnsi="宋体"/>
          <w:color w:val="auto"/>
          <w:sz w:val="24"/>
          <w:highlight w:val="none"/>
          <w:lang w:val="zh-CN"/>
        </w:rPr>
        <w:t>响应人资质要求：</w:t>
      </w:r>
    </w:p>
    <w:p>
      <w:pPr>
        <w:tabs>
          <w:tab w:val="left" w:pos="0"/>
          <w:tab w:val="left" w:pos="851"/>
          <w:tab w:val="left" w:pos="1260"/>
        </w:tabs>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1）响应人必须是在中华人民共和国范围内注册的独立法人，持有工商行政管理部门核发的有效营业执照，持有有效的组织机构代码证和税务登记证（含国税和地税），若响应人持有工商行政管理部门颁发的“一照一码”版本营业执照，则无需提交组织机构代码证及税务登记证；法定代表人为同一人的两个或两个以上法人，母公司、全资子公司及其控股公司，都不得在本项目招标中同时投标；</w:t>
      </w:r>
    </w:p>
    <w:p>
      <w:pPr>
        <w:tabs>
          <w:tab w:val="left" w:pos="0"/>
          <w:tab w:val="left" w:pos="851"/>
          <w:tab w:val="left" w:pos="1260"/>
        </w:tabs>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2）</w:t>
      </w:r>
      <w:r>
        <w:rPr>
          <w:rFonts w:ascii="宋体" w:hAnsi="宋体"/>
          <w:color w:val="auto"/>
          <w:sz w:val="24"/>
          <w:highlight w:val="none"/>
          <w:lang w:val="zh-CN"/>
        </w:rPr>
        <w:t>201</w:t>
      </w:r>
      <w:r>
        <w:rPr>
          <w:rFonts w:hint="eastAsia" w:ascii="宋体" w:hAnsi="宋体"/>
          <w:color w:val="auto"/>
          <w:sz w:val="24"/>
          <w:highlight w:val="none"/>
          <w:lang w:val="zh-CN"/>
        </w:rPr>
        <w:t>6年</w:t>
      </w:r>
      <w:r>
        <w:rPr>
          <w:rFonts w:ascii="宋体" w:hAnsi="宋体"/>
          <w:color w:val="auto"/>
          <w:sz w:val="24"/>
          <w:highlight w:val="none"/>
          <w:lang w:val="zh-CN"/>
        </w:rPr>
        <w:t>1月1日</w:t>
      </w:r>
      <w:r>
        <w:rPr>
          <w:rFonts w:hint="eastAsia" w:ascii="宋体" w:hAnsi="宋体"/>
          <w:color w:val="auto"/>
          <w:sz w:val="24"/>
          <w:highlight w:val="none"/>
          <w:lang w:val="zh-CN"/>
        </w:rPr>
        <w:t>至今具有一个或以上脱硫石膏采购或销售的业绩（以采购或销售合同等有效证明文件为准）；</w:t>
      </w:r>
    </w:p>
    <w:p>
      <w:pPr>
        <w:tabs>
          <w:tab w:val="left" w:pos="0"/>
          <w:tab w:val="left" w:pos="851"/>
          <w:tab w:val="left" w:pos="1260"/>
        </w:tabs>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3）响应人没有处于被责令停业或破产等限制行为能力或丧失法人资格之状态，且资产未被重组、接管和冻结；</w:t>
      </w:r>
    </w:p>
    <w:p>
      <w:pPr>
        <w:pStyle w:val="45"/>
        <w:tabs>
          <w:tab w:val="left" w:pos="0"/>
          <w:tab w:val="left" w:pos="851"/>
          <w:tab w:val="left" w:pos="1260"/>
        </w:tabs>
        <w:autoSpaceDE w:val="0"/>
        <w:autoSpaceDN w:val="0"/>
        <w:adjustRightInd w:val="0"/>
        <w:spacing w:line="360" w:lineRule="auto"/>
        <w:ind w:firstLine="120" w:firstLineChars="50"/>
        <w:jc w:val="left"/>
        <w:rPr>
          <w:rFonts w:ascii="宋体" w:hAnsi="宋体"/>
          <w:color w:val="auto"/>
          <w:sz w:val="24"/>
          <w:highlight w:val="none"/>
          <w:lang w:val="zh-CN"/>
        </w:rPr>
      </w:pPr>
      <w:r>
        <w:rPr>
          <w:rFonts w:hint="eastAsia" w:ascii="宋体" w:hAnsi="宋体"/>
          <w:color w:val="auto"/>
          <w:sz w:val="24"/>
          <w:highlight w:val="none"/>
          <w:lang w:val="zh-CN"/>
        </w:rPr>
        <w:t xml:space="preserve">   4）本项目不接受联合响应。</w:t>
      </w:r>
    </w:p>
    <w:p>
      <w:pPr>
        <w:tabs>
          <w:tab w:val="left" w:pos="0"/>
          <w:tab w:val="left" w:pos="851"/>
          <w:tab w:val="left" w:pos="1260"/>
        </w:tabs>
        <w:autoSpaceDE w:val="0"/>
        <w:autoSpaceDN w:val="0"/>
        <w:adjustRightIn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6、领取公开竞争性谈判文件时间：2019年10月28日至2019年11月8日</w:t>
      </w:r>
      <w:r>
        <w:rPr>
          <w:rFonts w:ascii="宋体" w:hAnsi="宋体"/>
          <w:color w:val="auto"/>
          <w:sz w:val="24"/>
          <w:highlight w:val="none"/>
        </w:rPr>
        <w:t xml:space="preserve"> </w:t>
      </w:r>
      <w:r>
        <w:rPr>
          <w:rFonts w:hint="eastAsia" w:ascii="宋体" w:hAnsi="宋体"/>
          <w:color w:val="auto"/>
          <w:sz w:val="24"/>
          <w:highlight w:val="none"/>
        </w:rPr>
        <w:t>上午8:30至11:30，下午2：00至5：</w:t>
      </w:r>
      <w:r>
        <w:rPr>
          <w:rFonts w:ascii="宋体" w:hAnsi="宋体"/>
          <w:color w:val="auto"/>
          <w:sz w:val="24"/>
          <w:highlight w:val="none"/>
        </w:rPr>
        <w:t>30</w:t>
      </w:r>
      <w:r>
        <w:rPr>
          <w:rFonts w:hint="eastAsia" w:ascii="宋体" w:hAnsi="宋体"/>
          <w:color w:val="auto"/>
          <w:sz w:val="24"/>
          <w:highlight w:val="none"/>
        </w:rPr>
        <w:t>（法定节假日除外）。</w:t>
      </w:r>
    </w:p>
    <w:p>
      <w:pPr>
        <w:tabs>
          <w:tab w:val="left" w:pos="0"/>
          <w:tab w:val="left" w:pos="851"/>
          <w:tab w:val="left" w:pos="1260"/>
        </w:tabs>
        <w:autoSpaceDE w:val="0"/>
        <w:autoSpaceDN w:val="0"/>
        <w:adjustRightInd w:val="0"/>
        <w:spacing w:line="360" w:lineRule="auto"/>
        <w:ind w:firstLine="480" w:firstLineChars="200"/>
        <w:jc w:val="left"/>
        <w:rPr>
          <w:color w:val="auto"/>
          <w:highlight w:val="none"/>
        </w:rPr>
      </w:pPr>
      <w:r>
        <w:rPr>
          <w:rFonts w:hint="eastAsia" w:ascii="宋体" w:hAnsi="宋体"/>
          <w:color w:val="auto"/>
          <w:sz w:val="24"/>
          <w:highlight w:val="none"/>
        </w:rPr>
        <w:t>7、领取公开竞争性谈判文件地址：佛山市禅城区文华北路223号文华荟产业园1号楼5层广东中采招标有限公司</w:t>
      </w:r>
      <w:r>
        <w:rPr>
          <w:rFonts w:hint="eastAsia" w:ascii="宋体" w:hAnsi="宋体" w:cs="宋体"/>
          <w:b/>
          <w:bCs/>
          <w:color w:val="auto"/>
          <w:kern w:val="0"/>
          <w:sz w:val="24"/>
          <w:highlight w:val="none"/>
        </w:rPr>
        <w:t>或可进行网上报名（具体请联系采购代理机构0757-81993027）</w:t>
      </w:r>
      <w:r>
        <w:rPr>
          <w:rFonts w:hint="eastAsia" w:ascii="宋体" w:hAnsi="宋体"/>
          <w:color w:val="auto"/>
          <w:sz w:val="24"/>
          <w:highlight w:val="none"/>
          <w:lang w:val="zh-CN"/>
        </w:rPr>
        <w:t>。</w:t>
      </w:r>
      <w:r>
        <w:rPr>
          <w:rFonts w:hint="eastAsia"/>
          <w:color w:val="auto"/>
          <w:sz w:val="24"/>
          <w:highlight w:val="none"/>
        </w:rPr>
        <w:t>购买竞争性谈判文件时须带齐以下资料（复印件须加盖公章）：</w:t>
      </w:r>
    </w:p>
    <w:p>
      <w:pPr>
        <w:tabs>
          <w:tab w:val="left" w:pos="1260"/>
          <w:tab w:val="left" w:pos="2100"/>
        </w:tabs>
        <w:autoSpaceDE w:val="0"/>
        <w:autoSpaceDN w:val="0"/>
        <w:adjustRightIn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企业法人营业执照、组织机构代码证及税务登记证</w:t>
      </w:r>
      <w:r>
        <w:rPr>
          <w:rFonts w:hint="eastAsia" w:ascii="宋体" w:hAnsi="宋体"/>
          <w:color w:val="auto"/>
          <w:sz w:val="24"/>
          <w:highlight w:val="none"/>
        </w:rPr>
        <w:t>复印件；</w:t>
      </w:r>
    </w:p>
    <w:p>
      <w:pPr>
        <w:tabs>
          <w:tab w:val="left" w:pos="1260"/>
          <w:tab w:val="left" w:pos="2100"/>
        </w:tabs>
        <w:autoSpaceDE w:val="0"/>
        <w:autoSpaceDN w:val="0"/>
        <w:adjustRightIn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2）法定代表人证明书原件及身份证复印件；</w:t>
      </w:r>
    </w:p>
    <w:p>
      <w:pPr>
        <w:tabs>
          <w:tab w:val="left" w:pos="1260"/>
          <w:tab w:val="left" w:pos="2100"/>
        </w:tabs>
        <w:autoSpaceDE w:val="0"/>
        <w:autoSpaceDN w:val="0"/>
        <w:adjustRightIn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3）法定代表人授权委托书原件及响应人授权代表身份证复印件【非法定代表人报名时提供】；</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olor w:val="auto"/>
          <w:sz w:val="24"/>
          <w:highlight w:val="none"/>
        </w:rPr>
        <w:t>8</w:t>
      </w:r>
      <w:r>
        <w:rPr>
          <w:rFonts w:hint="eastAsia" w:ascii="宋体" w:hAnsi="宋体" w:cs="仿宋_GB2312"/>
          <w:color w:val="auto"/>
          <w:sz w:val="24"/>
          <w:highlight w:val="none"/>
          <w:lang w:val="zh-CN"/>
        </w:rPr>
        <w:t>、</w:t>
      </w:r>
      <w:r>
        <w:rPr>
          <w:rFonts w:ascii="宋体" w:hAnsi="宋体"/>
          <w:color w:val="auto"/>
          <w:sz w:val="24"/>
          <w:highlight w:val="none"/>
        </w:rPr>
        <w:t>响应人</w:t>
      </w:r>
      <w:r>
        <w:rPr>
          <w:rFonts w:hint="eastAsia" w:ascii="宋体" w:hAnsi="宋体" w:cs="仿宋_GB2312"/>
          <w:color w:val="auto"/>
          <w:sz w:val="24"/>
          <w:highlight w:val="none"/>
          <w:lang w:val="zh-CN"/>
        </w:rPr>
        <w:t>投标文件递交时间：</w:t>
      </w:r>
      <w:r>
        <w:rPr>
          <w:rFonts w:ascii="宋体" w:hAnsi="宋体"/>
          <w:color w:val="auto"/>
          <w:sz w:val="24"/>
          <w:highlight w:val="none"/>
        </w:rPr>
        <w:t>201</w:t>
      </w:r>
      <w:r>
        <w:rPr>
          <w:rFonts w:hint="eastAsia" w:ascii="宋体" w:hAnsi="宋体"/>
          <w:color w:val="auto"/>
          <w:sz w:val="24"/>
          <w:highlight w:val="none"/>
        </w:rPr>
        <w:t>9年11月19日</w:t>
      </w:r>
      <w:r>
        <w:rPr>
          <w:rFonts w:hint="eastAsia" w:ascii="宋体" w:hAnsi="宋体"/>
          <w:color w:val="auto"/>
          <w:sz w:val="24"/>
          <w:highlight w:val="none"/>
          <w:lang w:val="en-US" w:eastAsia="zh-CN"/>
        </w:rPr>
        <w:t>9</w:t>
      </w:r>
      <w:r>
        <w:rPr>
          <w:rFonts w:ascii="宋体" w:hAnsi="宋体"/>
          <w:color w:val="auto"/>
          <w:sz w:val="24"/>
          <w:highlight w:val="none"/>
        </w:rPr>
        <w:t>时</w:t>
      </w:r>
      <w:r>
        <w:rPr>
          <w:rFonts w:hint="eastAsia" w:ascii="宋体" w:hAnsi="宋体"/>
          <w:color w:val="auto"/>
          <w:sz w:val="24"/>
          <w:highlight w:val="none"/>
          <w:lang w:val="en-US" w:eastAsia="zh-CN"/>
        </w:rPr>
        <w:t>00</w:t>
      </w:r>
      <w:r>
        <w:rPr>
          <w:rFonts w:ascii="宋体" w:hAnsi="宋体"/>
          <w:color w:val="auto"/>
          <w:sz w:val="24"/>
          <w:highlight w:val="none"/>
        </w:rPr>
        <w:t>分至</w:t>
      </w:r>
      <w:r>
        <w:rPr>
          <w:rFonts w:hint="eastAsia" w:ascii="宋体" w:hAnsi="宋体"/>
          <w:color w:val="auto"/>
          <w:sz w:val="24"/>
          <w:highlight w:val="none"/>
          <w:lang w:val="en-US" w:eastAsia="zh-CN"/>
        </w:rPr>
        <w:t>9</w:t>
      </w:r>
      <w:r>
        <w:rPr>
          <w:rFonts w:ascii="宋体" w:hAnsi="宋体"/>
          <w:color w:val="auto"/>
          <w:sz w:val="24"/>
          <w:highlight w:val="none"/>
        </w:rPr>
        <w:t>时</w:t>
      </w:r>
      <w:r>
        <w:rPr>
          <w:rFonts w:hint="eastAsia" w:ascii="宋体" w:hAnsi="宋体"/>
          <w:color w:val="auto"/>
          <w:sz w:val="24"/>
          <w:highlight w:val="none"/>
          <w:lang w:val="en-US" w:eastAsia="zh-CN"/>
        </w:rPr>
        <w:t>30</w:t>
      </w:r>
      <w:r>
        <w:rPr>
          <w:rFonts w:ascii="宋体" w:hAnsi="宋体"/>
          <w:color w:val="auto"/>
          <w:sz w:val="24"/>
          <w:highlight w:val="none"/>
        </w:rPr>
        <w:t>分止（北京时间）</w:t>
      </w:r>
      <w:r>
        <w:rPr>
          <w:rFonts w:hint="eastAsia" w:ascii="宋体" w:hAnsi="宋体" w:cs="仿宋_GB2312"/>
          <w:color w:val="auto"/>
          <w:sz w:val="24"/>
          <w:highlight w:val="none"/>
          <w:lang w:val="zh-CN"/>
        </w:rPr>
        <w:t>，逾期拒收。投标文件一经送达，不得撤回。</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9、公开竞争性谈判文件的费用：每套500元人民币，售后不退。</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olor w:val="auto"/>
          <w:sz w:val="24"/>
          <w:highlight w:val="none"/>
        </w:rPr>
        <w:t>10、</w:t>
      </w:r>
      <w:r>
        <w:rPr>
          <w:rFonts w:ascii="宋体" w:hAnsi="宋体"/>
          <w:color w:val="auto"/>
          <w:sz w:val="24"/>
          <w:highlight w:val="none"/>
        </w:rPr>
        <w:t>响应人</w:t>
      </w:r>
      <w:r>
        <w:rPr>
          <w:rFonts w:hint="eastAsia" w:ascii="宋体" w:hAnsi="宋体" w:cs="仿宋_GB2312"/>
          <w:color w:val="auto"/>
          <w:sz w:val="24"/>
          <w:highlight w:val="none"/>
          <w:lang w:val="zh-CN"/>
        </w:rPr>
        <w:t>投标文件有效期：自投标文件递交截止时间起90天内有效，</w:t>
      </w:r>
      <w:r>
        <w:rPr>
          <w:rFonts w:hint="eastAsia" w:ascii="宋体" w:hAnsi="宋体" w:cs="仿宋_GB2312"/>
          <w:color w:val="auto"/>
          <w:sz w:val="24"/>
          <w:highlight w:val="none"/>
          <w:u w:val="wave"/>
          <w:lang w:val="zh-CN"/>
        </w:rPr>
        <w:t>响应人在投标文件应予以注明</w:t>
      </w:r>
      <w:r>
        <w:rPr>
          <w:rFonts w:hint="eastAsia" w:ascii="宋体" w:hAnsi="宋体" w:cs="仿宋_GB2312"/>
          <w:color w:val="auto"/>
          <w:sz w:val="24"/>
          <w:highlight w:val="none"/>
          <w:lang w:val="zh-CN"/>
        </w:rPr>
        <w:t>。</w:t>
      </w:r>
    </w:p>
    <w:p>
      <w:pPr>
        <w:autoSpaceDE w:val="0"/>
        <w:autoSpaceDN w:val="0"/>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11、</w:t>
      </w:r>
      <w:r>
        <w:rPr>
          <w:rFonts w:ascii="宋体" w:hAnsi="宋体"/>
          <w:color w:val="auto"/>
          <w:sz w:val="24"/>
          <w:highlight w:val="none"/>
        </w:rPr>
        <w:t>响应人</w:t>
      </w:r>
      <w:r>
        <w:rPr>
          <w:rFonts w:hint="eastAsia" w:ascii="宋体" w:hAnsi="宋体" w:cs="仿宋_GB2312"/>
          <w:color w:val="auto"/>
          <w:sz w:val="24"/>
          <w:highlight w:val="none"/>
          <w:lang w:val="zh-CN"/>
        </w:rPr>
        <w:t>投标文件递交地址：</w:t>
      </w:r>
      <w:r>
        <w:rPr>
          <w:rFonts w:hint="eastAsia" w:ascii="宋体" w:hAnsi="宋体"/>
          <w:color w:val="auto"/>
          <w:sz w:val="24"/>
          <w:highlight w:val="none"/>
        </w:rPr>
        <w:t>佛山市禅城区文华北路223号文华荟产业园1号楼5层广东中采招标有限公司</w:t>
      </w:r>
      <w:r>
        <w:rPr>
          <w:rFonts w:hint="eastAsia" w:ascii="宋体" w:hAnsi="宋体"/>
          <w:color w:val="auto"/>
          <w:sz w:val="24"/>
          <w:highlight w:val="none"/>
          <w:lang w:val="zh-CN"/>
        </w:rPr>
        <w:t>。</w:t>
      </w:r>
    </w:p>
    <w:p>
      <w:pPr>
        <w:autoSpaceDE w:val="0"/>
        <w:autoSpaceDN w:val="0"/>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12、</w:t>
      </w:r>
      <w:r>
        <w:rPr>
          <w:rFonts w:ascii="宋体" w:hAnsi="宋体"/>
          <w:color w:val="auto"/>
          <w:sz w:val="24"/>
          <w:highlight w:val="none"/>
        </w:rPr>
        <w:t>响应人</w:t>
      </w:r>
      <w:r>
        <w:rPr>
          <w:rFonts w:hint="eastAsia" w:ascii="宋体" w:hAnsi="宋体"/>
          <w:color w:val="auto"/>
          <w:sz w:val="24"/>
          <w:highlight w:val="none"/>
          <w:lang w:val="zh-CN"/>
        </w:rPr>
        <w:t>响应要求：本项目不接受分包或联合响应</w:t>
      </w:r>
      <w:r>
        <w:rPr>
          <w:rFonts w:hint="eastAsia" w:ascii="宋体" w:hAnsi="宋体"/>
          <w:color w:val="auto"/>
          <w:sz w:val="24"/>
          <w:highlight w:val="none"/>
        </w:rPr>
        <w:t>,</w:t>
      </w:r>
      <w:r>
        <w:rPr>
          <w:rFonts w:ascii="宋体" w:hAnsi="宋体"/>
          <w:color w:val="auto"/>
          <w:sz w:val="24"/>
          <w:highlight w:val="none"/>
        </w:rPr>
        <w:t>响应人</w:t>
      </w:r>
      <w:r>
        <w:rPr>
          <w:rFonts w:hint="eastAsia" w:ascii="宋体" w:hAnsi="宋体"/>
          <w:color w:val="auto"/>
          <w:sz w:val="24"/>
          <w:highlight w:val="none"/>
          <w:lang w:val="zh-CN"/>
        </w:rPr>
        <w:t>为准备和进行响应所发生的费用一概自理，</w:t>
      </w:r>
      <w:r>
        <w:rPr>
          <w:rFonts w:hint="eastAsia" w:ascii="宋体" w:hAnsi="宋体"/>
          <w:color w:val="auto"/>
          <w:sz w:val="24"/>
          <w:highlight w:val="none"/>
        </w:rPr>
        <w:t>发包人</w:t>
      </w:r>
      <w:r>
        <w:rPr>
          <w:rFonts w:hint="eastAsia" w:ascii="宋体" w:hAnsi="宋体"/>
          <w:color w:val="auto"/>
          <w:sz w:val="24"/>
          <w:highlight w:val="none"/>
          <w:lang w:val="zh-CN"/>
        </w:rPr>
        <w:t>对上述费用不负任何责任。</w:t>
      </w:r>
    </w:p>
    <w:p>
      <w:pPr>
        <w:autoSpaceDE w:val="0"/>
        <w:autoSpaceDN w:val="0"/>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13、公开竞争性谈判时间及地址：</w:t>
      </w:r>
      <w:r>
        <w:rPr>
          <w:rFonts w:ascii="宋体" w:hAnsi="宋体"/>
          <w:color w:val="auto"/>
          <w:sz w:val="24"/>
          <w:highlight w:val="none"/>
        </w:rPr>
        <w:t>2019年11月19日</w:t>
      </w:r>
      <w:r>
        <w:rPr>
          <w:rFonts w:hint="eastAsia" w:ascii="宋体" w:hAnsi="宋体"/>
          <w:color w:val="auto"/>
          <w:sz w:val="24"/>
          <w:highlight w:val="none"/>
          <w:lang w:eastAsia="zh-CN"/>
        </w:rPr>
        <w:t>上</w:t>
      </w:r>
      <w:r>
        <w:rPr>
          <w:rFonts w:hint="eastAsia" w:ascii="宋体" w:hAnsi="宋体"/>
          <w:color w:val="auto"/>
          <w:sz w:val="24"/>
          <w:highlight w:val="none"/>
        </w:rPr>
        <w:t>午</w:t>
      </w:r>
      <w:r>
        <w:rPr>
          <w:rFonts w:hint="eastAsia" w:ascii="宋体" w:hAnsi="宋体"/>
          <w:color w:val="auto"/>
          <w:sz w:val="24"/>
          <w:highlight w:val="none"/>
          <w:lang w:val="en-US" w:eastAsia="zh-CN"/>
        </w:rPr>
        <w:t>9</w:t>
      </w:r>
      <w:r>
        <w:rPr>
          <w:rFonts w:ascii="宋体" w:hAnsi="宋体"/>
          <w:color w:val="auto"/>
          <w:sz w:val="24"/>
          <w:highlight w:val="none"/>
        </w:rPr>
        <w:t>时</w:t>
      </w:r>
      <w:r>
        <w:rPr>
          <w:rFonts w:hint="eastAsia" w:ascii="宋体" w:hAnsi="宋体"/>
          <w:color w:val="auto"/>
          <w:sz w:val="24"/>
          <w:highlight w:val="none"/>
          <w:lang w:val="en-US" w:eastAsia="zh-CN"/>
        </w:rPr>
        <w:t>30</w:t>
      </w:r>
      <w:r>
        <w:rPr>
          <w:rFonts w:ascii="宋体" w:hAnsi="宋体"/>
          <w:color w:val="auto"/>
          <w:sz w:val="24"/>
          <w:highlight w:val="none"/>
        </w:rPr>
        <w:t>分</w:t>
      </w:r>
      <w:r>
        <w:rPr>
          <w:rFonts w:hint="eastAsia" w:ascii="宋体" w:hAnsi="宋体"/>
          <w:color w:val="auto"/>
          <w:sz w:val="24"/>
          <w:highlight w:val="none"/>
        </w:rPr>
        <w:t>开始，佛山市禅城区文华北路223号文华荟产业园1号楼5层广东中采招标有限公司</w:t>
      </w:r>
      <w:r>
        <w:rPr>
          <w:rFonts w:hint="eastAsia" w:ascii="宋体" w:hAnsi="宋体"/>
          <w:color w:val="auto"/>
          <w:sz w:val="24"/>
          <w:highlight w:val="none"/>
          <w:lang w:val="zh-CN"/>
        </w:rPr>
        <w:t>。</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14、</w:t>
      </w:r>
      <w:r>
        <w:rPr>
          <w:rFonts w:hint="eastAsia" w:ascii="宋体" w:hAnsi="宋体"/>
          <w:color w:val="auto"/>
          <w:sz w:val="24"/>
          <w:highlight w:val="none"/>
        </w:rPr>
        <w:t>本项目设有标底，标底在开标前不公布</w:t>
      </w:r>
      <w:r>
        <w:rPr>
          <w:rFonts w:hint="eastAsia" w:ascii="宋体" w:hAnsi="宋体" w:cs="仿宋_GB2312"/>
          <w:color w:val="auto"/>
          <w:sz w:val="24"/>
          <w:highlight w:val="none"/>
          <w:lang w:val="zh-CN"/>
        </w:rPr>
        <w:t>。</w:t>
      </w:r>
    </w:p>
    <w:p>
      <w:pPr>
        <w:autoSpaceDE w:val="0"/>
        <w:autoSpaceDN w:val="0"/>
        <w:adjustRightIn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15、公开竞争性谈判保证金：</w:t>
      </w:r>
      <w:r>
        <w:rPr>
          <w:rFonts w:hint="eastAsia" w:ascii="宋体" w:hAnsi="宋体"/>
          <w:color w:val="auto"/>
          <w:sz w:val="24"/>
          <w:highlight w:val="none"/>
        </w:rPr>
        <w:t>本项目投标保证金为人民币10万元，</w:t>
      </w:r>
      <w:r>
        <w:rPr>
          <w:rFonts w:hint="eastAsia" w:ascii="宋体" w:hAnsi="宋体" w:cs="Arial"/>
          <w:color w:val="auto"/>
          <w:sz w:val="24"/>
          <w:highlight w:val="none"/>
        </w:rPr>
        <w:t>于投标截止日前3个工作日以电汇方式存入</w:t>
      </w:r>
      <w:r>
        <w:rPr>
          <w:rFonts w:hint="eastAsia" w:ascii="宋体" w:hAnsi="宋体"/>
          <w:color w:val="auto"/>
          <w:sz w:val="24"/>
          <w:highlight w:val="none"/>
        </w:rPr>
        <w:t>发包人</w:t>
      </w:r>
      <w:r>
        <w:rPr>
          <w:rFonts w:hint="eastAsia" w:ascii="宋体" w:hAnsi="宋体" w:cs="Arial"/>
          <w:color w:val="auto"/>
          <w:sz w:val="24"/>
          <w:highlight w:val="none"/>
        </w:rPr>
        <w:t>指定的账户</w:t>
      </w:r>
      <w:r>
        <w:rPr>
          <w:rFonts w:hint="eastAsia" w:ascii="宋体" w:hAnsi="宋体"/>
          <w:color w:val="auto"/>
          <w:sz w:val="24"/>
          <w:highlight w:val="none"/>
        </w:rPr>
        <w:t>，其账单在递交投标文件时一并提交（详细内容见招标文件要求）</w:t>
      </w:r>
      <w:r>
        <w:rPr>
          <w:rFonts w:hint="eastAsia" w:ascii="宋体" w:hAnsi="宋体" w:cs="仿宋_GB2312"/>
          <w:color w:val="auto"/>
          <w:sz w:val="24"/>
          <w:highlight w:val="none"/>
        </w:rPr>
        <w:t>。</w:t>
      </w:r>
    </w:p>
    <w:p>
      <w:pPr>
        <w:adjustRightInd w:val="0"/>
        <w:spacing w:line="360" w:lineRule="auto"/>
        <w:ind w:firstLine="480" w:firstLineChars="200"/>
        <w:rPr>
          <w:rFonts w:ascii="宋体" w:hAnsi="宋体"/>
          <w:color w:val="auto"/>
          <w:sz w:val="24"/>
          <w:highlight w:val="none"/>
        </w:rPr>
      </w:pPr>
      <w:r>
        <w:rPr>
          <w:rFonts w:hint="eastAsia" w:ascii="宋体" w:hAnsi="宋体" w:cs="仿宋_GB2312"/>
          <w:color w:val="auto"/>
          <w:sz w:val="24"/>
          <w:highlight w:val="none"/>
        </w:rPr>
        <w:t>16、</w:t>
      </w:r>
      <w:r>
        <w:rPr>
          <w:rFonts w:hint="eastAsia" w:ascii="宋体" w:hAnsi="宋体"/>
          <w:color w:val="auto"/>
          <w:sz w:val="24"/>
          <w:highlight w:val="none"/>
        </w:rPr>
        <w:t>招标信息公告网址：</w:t>
      </w:r>
    </w:p>
    <w:p>
      <w:pPr>
        <w:adjustRightIn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佛山市公共资源交易网（http://www.fsggzy.cn/）</w:t>
      </w:r>
    </w:p>
    <w:p>
      <w:pPr>
        <w:adjustRightIn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中国采购与招标网（https://www.chinabidding.com.cn/index.html）</w:t>
      </w:r>
    </w:p>
    <w:p>
      <w:pPr>
        <w:adjustRightIn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招标代理机构网站（http://www.gdzczb.com/</w:t>
      </w:r>
      <w:r>
        <w:rPr>
          <w:rFonts w:hint="eastAsia" w:ascii="宋体" w:hAnsi="宋体" w:cs="宋体"/>
          <w:bCs/>
          <w:color w:val="auto"/>
          <w:sz w:val="24"/>
          <w:highlight w:val="none"/>
        </w:rPr>
        <w:t>）</w:t>
      </w:r>
    </w:p>
    <w:p>
      <w:pPr>
        <w:adjustRightInd w:val="0"/>
        <w:spacing w:line="360" w:lineRule="auto"/>
        <w:ind w:firstLine="480" w:firstLineChars="200"/>
        <w:rPr>
          <w:rFonts w:ascii="宋体" w:hAnsi="宋体"/>
          <w:color w:val="auto"/>
          <w:sz w:val="24"/>
          <w:highlight w:val="none"/>
        </w:rPr>
      </w:pPr>
    </w:p>
    <w:tbl>
      <w:tblPr>
        <w:tblStyle w:val="28"/>
        <w:tblW w:w="9278" w:type="dxa"/>
        <w:tblInd w:w="8" w:type="dxa"/>
        <w:tblLayout w:type="fixed"/>
        <w:tblCellMar>
          <w:top w:w="0" w:type="dxa"/>
          <w:left w:w="108" w:type="dxa"/>
          <w:bottom w:w="0" w:type="dxa"/>
          <w:right w:w="108" w:type="dxa"/>
        </w:tblCellMar>
      </w:tblPr>
      <w:tblGrid>
        <w:gridCol w:w="4639"/>
        <w:gridCol w:w="4639"/>
      </w:tblGrid>
      <w:tr>
        <w:tblPrEx>
          <w:tblLayout w:type="fixed"/>
          <w:tblCellMar>
            <w:top w:w="0" w:type="dxa"/>
            <w:left w:w="108" w:type="dxa"/>
            <w:bottom w:w="0" w:type="dxa"/>
            <w:right w:w="108" w:type="dxa"/>
          </w:tblCellMar>
        </w:tblPrEx>
        <w:tc>
          <w:tcPr>
            <w:tcW w:w="4639" w:type="dxa"/>
          </w:tcPr>
          <w:p>
            <w:pPr>
              <w:adjustRightInd w:val="0"/>
              <w:spacing w:line="360" w:lineRule="auto"/>
              <w:jc w:val="left"/>
              <w:rPr>
                <w:rFonts w:ascii="宋体" w:hAnsi="宋体"/>
                <w:color w:val="auto"/>
                <w:sz w:val="24"/>
                <w:highlight w:val="none"/>
              </w:rPr>
            </w:pPr>
            <w:r>
              <w:rPr>
                <w:rFonts w:hint="eastAsia" w:ascii="宋体" w:hAnsi="宋体"/>
                <w:color w:val="auto"/>
                <w:sz w:val="24"/>
                <w:highlight w:val="none"/>
              </w:rPr>
              <w:t xml:space="preserve">发包人：佛山市恒益环保建材有限公司         </w:t>
            </w:r>
          </w:p>
        </w:tc>
        <w:tc>
          <w:tcPr>
            <w:tcW w:w="4639" w:type="dxa"/>
          </w:tcPr>
          <w:p>
            <w:pPr>
              <w:adjustRightInd w:val="0"/>
              <w:spacing w:line="360" w:lineRule="auto"/>
              <w:ind w:left="1680" w:hanging="1680" w:hangingChars="700"/>
              <w:jc w:val="left"/>
              <w:rPr>
                <w:rFonts w:ascii="宋体" w:hAnsi="宋体"/>
                <w:color w:val="auto"/>
                <w:sz w:val="24"/>
                <w:highlight w:val="none"/>
              </w:rPr>
            </w:pPr>
            <w:r>
              <w:rPr>
                <w:rFonts w:hint="eastAsia" w:ascii="宋体" w:hAnsi="宋体"/>
                <w:color w:val="auto"/>
                <w:sz w:val="24"/>
                <w:highlight w:val="none"/>
              </w:rPr>
              <w:t xml:space="preserve">招标代理机构：广东中采招标有限公司           </w:t>
            </w:r>
          </w:p>
        </w:tc>
      </w:tr>
      <w:tr>
        <w:tblPrEx>
          <w:tblLayout w:type="fixed"/>
          <w:tblCellMar>
            <w:top w:w="0" w:type="dxa"/>
            <w:left w:w="108" w:type="dxa"/>
            <w:bottom w:w="0" w:type="dxa"/>
            <w:right w:w="108" w:type="dxa"/>
          </w:tblCellMar>
        </w:tblPrEx>
        <w:tc>
          <w:tcPr>
            <w:tcW w:w="4639" w:type="dxa"/>
          </w:tcPr>
          <w:p>
            <w:pPr>
              <w:adjustRightInd w:val="0"/>
              <w:spacing w:line="360" w:lineRule="auto"/>
              <w:jc w:val="left"/>
              <w:rPr>
                <w:rFonts w:ascii="宋体" w:hAnsi="宋体"/>
                <w:color w:val="auto"/>
                <w:sz w:val="24"/>
                <w:highlight w:val="none"/>
              </w:rPr>
            </w:pPr>
            <w:r>
              <w:rPr>
                <w:rFonts w:hint="eastAsia" w:ascii="宋体" w:hAnsi="宋体"/>
                <w:color w:val="auto"/>
                <w:sz w:val="24"/>
                <w:highlight w:val="none"/>
              </w:rPr>
              <w:t>联系人：唐小姐</w:t>
            </w:r>
          </w:p>
        </w:tc>
        <w:tc>
          <w:tcPr>
            <w:tcW w:w="4639" w:type="dxa"/>
          </w:tcPr>
          <w:p>
            <w:pPr>
              <w:adjustRightInd w:val="0"/>
              <w:spacing w:line="360" w:lineRule="auto"/>
              <w:jc w:val="left"/>
              <w:rPr>
                <w:rFonts w:ascii="宋体" w:hAnsi="宋体"/>
                <w:color w:val="auto"/>
                <w:sz w:val="24"/>
                <w:highlight w:val="none"/>
              </w:rPr>
            </w:pPr>
            <w:r>
              <w:rPr>
                <w:rFonts w:hint="eastAsia" w:ascii="宋体" w:hAnsi="宋体"/>
                <w:color w:val="auto"/>
                <w:sz w:val="24"/>
                <w:highlight w:val="none"/>
              </w:rPr>
              <w:t>联系人：吴小姐</w:t>
            </w:r>
          </w:p>
        </w:tc>
      </w:tr>
      <w:tr>
        <w:tblPrEx>
          <w:tblLayout w:type="fixed"/>
          <w:tblCellMar>
            <w:top w:w="0" w:type="dxa"/>
            <w:left w:w="108" w:type="dxa"/>
            <w:bottom w:w="0" w:type="dxa"/>
            <w:right w:w="108" w:type="dxa"/>
          </w:tblCellMar>
        </w:tblPrEx>
        <w:tc>
          <w:tcPr>
            <w:tcW w:w="4639" w:type="dxa"/>
          </w:tcPr>
          <w:p>
            <w:pPr>
              <w:adjustRightInd w:val="0"/>
              <w:spacing w:line="360" w:lineRule="auto"/>
              <w:jc w:val="left"/>
              <w:rPr>
                <w:rFonts w:ascii="宋体" w:hAnsi="宋体"/>
                <w:color w:val="auto"/>
                <w:sz w:val="24"/>
                <w:highlight w:val="none"/>
              </w:rPr>
            </w:pPr>
            <w:r>
              <w:rPr>
                <w:rFonts w:hint="eastAsia" w:ascii="宋体" w:hAnsi="宋体"/>
                <w:color w:val="auto"/>
                <w:sz w:val="24"/>
                <w:highlight w:val="none"/>
              </w:rPr>
              <w:t>联系电话：0757-87655532</w:t>
            </w:r>
          </w:p>
        </w:tc>
        <w:tc>
          <w:tcPr>
            <w:tcW w:w="4639" w:type="dxa"/>
          </w:tcPr>
          <w:p>
            <w:pPr>
              <w:adjustRightInd w:val="0"/>
              <w:spacing w:line="360" w:lineRule="auto"/>
              <w:jc w:val="left"/>
              <w:rPr>
                <w:rFonts w:ascii="宋体" w:hAnsi="宋体"/>
                <w:color w:val="auto"/>
                <w:sz w:val="24"/>
                <w:highlight w:val="none"/>
              </w:rPr>
            </w:pPr>
            <w:r>
              <w:rPr>
                <w:rFonts w:hint="eastAsia" w:ascii="宋体" w:hAnsi="宋体"/>
                <w:color w:val="auto"/>
                <w:sz w:val="24"/>
                <w:highlight w:val="none"/>
              </w:rPr>
              <w:t>电话/传真：0757-81993027</w:t>
            </w:r>
          </w:p>
        </w:tc>
      </w:tr>
      <w:tr>
        <w:tblPrEx>
          <w:tblLayout w:type="fixed"/>
          <w:tblCellMar>
            <w:top w:w="0" w:type="dxa"/>
            <w:left w:w="108" w:type="dxa"/>
            <w:bottom w:w="0" w:type="dxa"/>
            <w:right w:w="108" w:type="dxa"/>
          </w:tblCellMar>
        </w:tblPrEx>
        <w:tc>
          <w:tcPr>
            <w:tcW w:w="4639" w:type="dxa"/>
          </w:tcPr>
          <w:p>
            <w:pPr>
              <w:adjustRightInd w:val="0"/>
              <w:spacing w:line="360" w:lineRule="auto"/>
              <w:jc w:val="left"/>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bCs/>
                <w:color w:val="auto"/>
                <w:sz w:val="24"/>
                <w:highlight w:val="none"/>
              </w:rPr>
              <w:t>佛山市三水区白坭镇临江工业城2号</w:t>
            </w:r>
          </w:p>
        </w:tc>
        <w:tc>
          <w:tcPr>
            <w:tcW w:w="4639" w:type="dxa"/>
          </w:tcPr>
          <w:p>
            <w:pPr>
              <w:adjustRightInd w:val="0"/>
              <w:spacing w:line="360" w:lineRule="auto"/>
              <w:jc w:val="left"/>
              <w:rPr>
                <w:rFonts w:ascii="宋体" w:hAnsi="宋体"/>
                <w:color w:val="auto"/>
                <w:sz w:val="24"/>
                <w:highlight w:val="none"/>
              </w:rPr>
            </w:pPr>
            <w:r>
              <w:rPr>
                <w:rFonts w:hint="eastAsia" w:ascii="宋体" w:hAnsi="宋体"/>
                <w:color w:val="auto"/>
                <w:sz w:val="24"/>
                <w:highlight w:val="none"/>
              </w:rPr>
              <w:t>联系地址：佛山市禅城区文华北路223号文华荟产业园1号楼5层广东中采招标有限公司</w:t>
            </w:r>
          </w:p>
        </w:tc>
      </w:tr>
    </w:tbl>
    <w:p>
      <w:pPr>
        <w:autoSpaceDE w:val="0"/>
        <w:autoSpaceDN w:val="0"/>
        <w:adjustRightInd w:val="0"/>
        <w:spacing w:line="360" w:lineRule="auto"/>
        <w:rPr>
          <w:rFonts w:ascii="宋体" w:hAnsi="宋体" w:cs="仿宋_GB2312"/>
          <w:color w:val="auto"/>
          <w:sz w:val="24"/>
          <w:highlight w:val="none"/>
        </w:rPr>
      </w:pPr>
    </w:p>
    <w:p>
      <w:pPr>
        <w:tabs>
          <w:tab w:val="left" w:pos="0"/>
          <w:tab w:val="left" w:pos="851"/>
          <w:tab w:val="left" w:pos="1260"/>
        </w:tabs>
        <w:autoSpaceDE w:val="0"/>
        <w:autoSpaceDN w:val="0"/>
        <w:adjustRightInd w:val="0"/>
        <w:spacing w:line="360" w:lineRule="auto"/>
        <w:jc w:val="left"/>
        <w:rPr>
          <w:rFonts w:ascii="宋体" w:hAnsi="宋体"/>
          <w:color w:val="auto"/>
          <w:sz w:val="24"/>
          <w:highlight w:val="none"/>
        </w:rPr>
        <w:sectPr>
          <w:headerReference r:id="rId4" w:type="first"/>
          <w:footerReference r:id="rId6" w:type="first"/>
          <w:headerReference r:id="rId3" w:type="default"/>
          <w:footerReference r:id="rId5" w:type="default"/>
          <w:pgSz w:w="11906" w:h="16838"/>
          <w:pgMar w:top="1418" w:right="1418" w:bottom="1418" w:left="1418" w:header="851" w:footer="851" w:gutter="0"/>
          <w:cols w:space="425" w:num="1"/>
          <w:titlePg/>
          <w:docGrid w:linePitch="312" w:charSpace="0"/>
        </w:sectPr>
      </w:pPr>
      <w:r>
        <w:rPr>
          <w:rFonts w:hint="eastAsia" w:ascii="宋体" w:hAnsi="宋体"/>
          <w:color w:val="auto"/>
          <w:sz w:val="24"/>
          <w:highlight w:val="none"/>
        </w:rPr>
        <w:t xml:space="preserve">        </w:t>
      </w:r>
    </w:p>
    <w:p>
      <w:pPr>
        <w:pStyle w:val="2"/>
        <w:keepNext w:val="0"/>
        <w:keepLines w:val="0"/>
        <w:spacing w:line="360" w:lineRule="auto"/>
        <w:ind w:firstLine="0" w:firstLineChars="0"/>
        <w:jc w:val="center"/>
        <w:rPr>
          <w:rFonts w:ascii="宋体" w:hAnsi="宋体" w:eastAsia="宋体"/>
          <w:b w:val="0"/>
          <w:color w:val="auto"/>
          <w:sz w:val="36"/>
          <w:highlight w:val="none"/>
          <w:lang w:val="zh-CN"/>
        </w:rPr>
      </w:pPr>
      <w:bookmarkStart w:id="1" w:name="_Toc223777433"/>
      <w:r>
        <w:rPr>
          <w:rFonts w:ascii="宋体" w:hAnsi="宋体" w:eastAsia="宋体"/>
          <w:b w:val="0"/>
          <w:color w:val="auto"/>
          <w:sz w:val="36"/>
          <w:highlight w:val="none"/>
          <w:lang w:val="zh-CN"/>
        </w:rPr>
        <w:t>第二章  竞争性谈判须知</w:t>
      </w:r>
      <w:bookmarkEnd w:id="1"/>
    </w:p>
    <w:p>
      <w:pPr>
        <w:pStyle w:val="3"/>
        <w:keepNext w:val="0"/>
        <w:keepLines w:val="0"/>
        <w:widowControl w:val="0"/>
        <w:spacing w:before="0" w:after="0" w:line="360" w:lineRule="auto"/>
        <w:ind w:firstLine="470" w:firstLineChars="196"/>
        <w:rPr>
          <w:rFonts w:ascii="宋体" w:hAnsi="宋体" w:eastAsia="宋体"/>
          <w:b w:val="0"/>
          <w:color w:val="auto"/>
          <w:sz w:val="24"/>
          <w:szCs w:val="24"/>
          <w:highlight w:val="none"/>
          <w:lang w:val="zh-CN"/>
        </w:rPr>
      </w:pPr>
      <w:bookmarkStart w:id="2" w:name="_Toc223777434"/>
      <w:r>
        <w:rPr>
          <w:rFonts w:ascii="宋体" w:hAnsi="宋体" w:eastAsia="宋体"/>
          <w:b w:val="0"/>
          <w:color w:val="auto"/>
          <w:sz w:val="24"/>
          <w:szCs w:val="24"/>
          <w:highlight w:val="none"/>
          <w:lang w:val="zh-CN"/>
        </w:rPr>
        <w:t>一、竞争性谈判文件的澄清、补充和修改</w:t>
      </w:r>
      <w:bookmarkEnd w:id="2"/>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1、响应人需发包人解释和澄清的问题必须在</w:t>
      </w:r>
      <w:r>
        <w:rPr>
          <w:rFonts w:hint="eastAsia" w:ascii="宋体" w:hAnsi="宋体" w:cs="仿宋_GB2312"/>
          <w:color w:val="auto"/>
          <w:sz w:val="24"/>
          <w:highlight w:val="none"/>
        </w:rPr>
        <w:t>2019</w:t>
      </w:r>
      <w:r>
        <w:rPr>
          <w:rFonts w:hint="eastAsia" w:ascii="宋体" w:hAnsi="宋体" w:cs="仿宋_GB2312"/>
          <w:color w:val="auto"/>
          <w:sz w:val="24"/>
          <w:highlight w:val="none"/>
          <w:lang w:val="zh-CN"/>
        </w:rPr>
        <w:t>年</w:t>
      </w:r>
      <w:r>
        <w:rPr>
          <w:rFonts w:hint="eastAsia" w:ascii="宋体" w:hAnsi="宋体" w:cs="仿宋_GB2312"/>
          <w:color w:val="auto"/>
          <w:sz w:val="24"/>
          <w:highlight w:val="none"/>
        </w:rPr>
        <w:t>11</w:t>
      </w:r>
      <w:r>
        <w:rPr>
          <w:rFonts w:hint="eastAsia" w:ascii="宋体" w:hAnsi="宋体" w:cs="仿宋_GB2312"/>
          <w:color w:val="auto"/>
          <w:sz w:val="24"/>
          <w:highlight w:val="none"/>
          <w:lang w:val="zh-CN"/>
        </w:rPr>
        <w:t>月</w:t>
      </w:r>
      <w:r>
        <w:rPr>
          <w:rFonts w:hint="eastAsia" w:ascii="宋体" w:hAnsi="宋体" w:cs="仿宋_GB2312"/>
          <w:color w:val="auto"/>
          <w:sz w:val="24"/>
          <w:highlight w:val="none"/>
        </w:rPr>
        <w:t>15</w:t>
      </w:r>
      <w:r>
        <w:rPr>
          <w:rFonts w:hint="eastAsia" w:ascii="宋体" w:hAnsi="宋体" w:cs="仿宋_GB2312"/>
          <w:color w:val="auto"/>
          <w:sz w:val="24"/>
          <w:highlight w:val="none"/>
          <w:lang w:val="zh-CN"/>
        </w:rPr>
        <w:t>日之前以书面或传真的形式提出，发包人将以书面或传真的形式向所有获得同一公开竞争性谈判文件的响应人予以解答。</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bCs/>
          <w:color w:val="auto"/>
          <w:sz w:val="24"/>
          <w:highlight w:val="none"/>
          <w:lang w:val="zh-CN"/>
        </w:rPr>
        <w:t>2、</w:t>
      </w:r>
      <w:r>
        <w:rPr>
          <w:rFonts w:hint="eastAsia" w:ascii="宋体" w:hAnsi="宋体" w:cs="仿宋_GB2312"/>
          <w:color w:val="auto"/>
          <w:sz w:val="24"/>
          <w:highlight w:val="none"/>
          <w:lang w:val="zh-CN"/>
        </w:rPr>
        <w:t>发包人可以用书面补充通知的方式对公开竞争性谈判文件进行补充和修改，补充修改通知将于响应文件递交截止时间48小时前发往响应人，该补充通知作为公开竞争性谈判文件的一部分。响应人在收到该通知后须在24小时内予以签收确认。考虑到补充通知的影响，发包人可决定推迟响应文件递交截止时间。</w:t>
      </w:r>
    </w:p>
    <w:p>
      <w:pPr>
        <w:pStyle w:val="3"/>
        <w:keepNext w:val="0"/>
        <w:keepLines w:val="0"/>
        <w:widowControl w:val="0"/>
        <w:spacing w:before="0" w:after="0" w:line="360" w:lineRule="auto"/>
        <w:ind w:firstLine="470" w:firstLineChars="196"/>
        <w:rPr>
          <w:rFonts w:ascii="宋体" w:hAnsi="宋体" w:eastAsia="宋体"/>
          <w:b w:val="0"/>
          <w:color w:val="auto"/>
          <w:sz w:val="24"/>
          <w:szCs w:val="24"/>
          <w:highlight w:val="none"/>
          <w:lang w:val="zh-CN"/>
        </w:rPr>
      </w:pPr>
      <w:bookmarkStart w:id="3" w:name="_Toc463892034"/>
      <w:r>
        <w:rPr>
          <w:rFonts w:hint="eastAsia" w:ascii="宋体" w:hAnsi="宋体" w:eastAsia="宋体"/>
          <w:b w:val="0"/>
          <w:color w:val="auto"/>
          <w:sz w:val="24"/>
          <w:szCs w:val="24"/>
          <w:highlight w:val="none"/>
          <w:lang w:val="zh-CN"/>
        </w:rPr>
        <w:t>二、响应人响应文件</w:t>
      </w:r>
      <w:bookmarkEnd w:id="3"/>
    </w:p>
    <w:p>
      <w:pPr>
        <w:pStyle w:val="45"/>
        <w:numPr>
          <w:ilvl w:val="0"/>
          <w:numId w:val="1"/>
        </w:numPr>
        <w:tabs>
          <w:tab w:val="left" w:pos="851"/>
        </w:tabs>
        <w:autoSpaceDE w:val="0"/>
        <w:autoSpaceDN w:val="0"/>
        <w:adjustRightInd w:val="0"/>
        <w:spacing w:line="360" w:lineRule="auto"/>
        <w:ind w:left="0" w:firstLine="567" w:firstLineChars="0"/>
        <w:rPr>
          <w:rFonts w:ascii="宋体" w:hAnsi="宋体"/>
          <w:color w:val="auto"/>
          <w:sz w:val="24"/>
          <w:highlight w:val="none"/>
          <w:lang w:val="zh-CN"/>
        </w:rPr>
      </w:pPr>
      <w:r>
        <w:rPr>
          <w:rFonts w:ascii="宋体" w:hAnsi="宋体"/>
          <w:color w:val="auto"/>
          <w:sz w:val="24"/>
          <w:highlight w:val="none"/>
          <w:lang w:val="zh-CN"/>
        </w:rPr>
        <w:t>响应文件编制要求</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响应文件分为商务文件和价格文件，要求各提交一份正本，</w:t>
      </w:r>
      <w:r>
        <w:rPr>
          <w:rFonts w:hint="eastAsia" w:ascii="宋体" w:hAnsi="宋体"/>
          <w:color w:val="auto"/>
          <w:sz w:val="24"/>
          <w:highlight w:val="none"/>
          <w:lang w:val="zh-CN"/>
        </w:rPr>
        <w:t>四</w:t>
      </w:r>
      <w:r>
        <w:rPr>
          <w:rFonts w:ascii="宋体" w:hAnsi="宋体"/>
          <w:color w:val="auto"/>
          <w:sz w:val="24"/>
          <w:highlight w:val="none"/>
          <w:lang w:val="zh-CN"/>
        </w:rPr>
        <w:t>份副本，共一式</w:t>
      </w:r>
      <w:r>
        <w:rPr>
          <w:rFonts w:hint="eastAsia" w:ascii="宋体" w:hAnsi="宋体"/>
          <w:color w:val="auto"/>
          <w:sz w:val="24"/>
          <w:highlight w:val="none"/>
          <w:lang w:val="zh-CN"/>
        </w:rPr>
        <w:t>五</w:t>
      </w:r>
      <w:r>
        <w:rPr>
          <w:rFonts w:ascii="宋体" w:hAnsi="宋体"/>
          <w:color w:val="auto"/>
          <w:sz w:val="24"/>
          <w:highlight w:val="none"/>
          <w:lang w:val="zh-CN"/>
        </w:rPr>
        <w:t>份，标明“正本”和“副本”字样，如正本和副本有不一致之处，以正本为准。请参照惯例的响应文件制作方法制作商务文件和价格文件，并连续编注页码（可在装袋密封前手写）。</w:t>
      </w:r>
      <w:r>
        <w:rPr>
          <w:rFonts w:ascii="宋体" w:hAnsi="宋体"/>
          <w:b/>
          <w:color w:val="auto"/>
          <w:sz w:val="24"/>
          <w:highlight w:val="none"/>
          <w:u w:val="single"/>
          <w:lang w:val="zh-CN"/>
        </w:rPr>
        <w:t>商务文件和价格文件要分开密封，商务文件中不得有报价的信息</w:t>
      </w:r>
      <w:r>
        <w:rPr>
          <w:rFonts w:ascii="宋体" w:hAnsi="宋体"/>
          <w:color w:val="auto"/>
          <w:sz w:val="24"/>
          <w:highlight w:val="none"/>
          <w:lang w:val="zh-CN"/>
        </w:rPr>
        <w:t>。响应人所作的一切有效补充、修改文件，均视为响应文件不可分割的部分。</w:t>
      </w:r>
    </w:p>
    <w:p>
      <w:pPr>
        <w:pStyle w:val="45"/>
        <w:numPr>
          <w:ilvl w:val="0"/>
          <w:numId w:val="1"/>
        </w:numPr>
        <w:tabs>
          <w:tab w:val="left" w:pos="851"/>
        </w:tabs>
        <w:autoSpaceDE w:val="0"/>
        <w:autoSpaceDN w:val="0"/>
        <w:adjustRightInd w:val="0"/>
        <w:spacing w:line="360" w:lineRule="auto"/>
        <w:ind w:left="0" w:firstLine="567" w:firstLineChars="0"/>
        <w:rPr>
          <w:rFonts w:ascii="宋体" w:hAnsi="宋体"/>
          <w:color w:val="auto"/>
          <w:sz w:val="24"/>
          <w:highlight w:val="none"/>
          <w:lang w:val="zh-CN"/>
        </w:rPr>
      </w:pPr>
      <w:r>
        <w:rPr>
          <w:rFonts w:ascii="宋体" w:hAnsi="宋体"/>
          <w:color w:val="auto"/>
          <w:sz w:val="24"/>
          <w:highlight w:val="none"/>
          <w:lang w:val="zh-CN"/>
        </w:rPr>
        <w:t>响应文件内容要求：</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以下所述所有资料必须盖响应人的公章。</w:t>
      </w:r>
    </w:p>
    <w:p>
      <w:pPr>
        <w:autoSpaceDE w:val="0"/>
        <w:autoSpaceDN w:val="0"/>
        <w:adjustRightInd w:val="0"/>
        <w:spacing w:line="360" w:lineRule="auto"/>
        <w:ind w:firstLine="482" w:firstLineChars="200"/>
        <w:rPr>
          <w:rFonts w:ascii="宋体" w:hAnsi="宋体"/>
          <w:color w:val="auto"/>
          <w:sz w:val="24"/>
          <w:highlight w:val="none"/>
          <w:lang w:val="zh-CN"/>
        </w:rPr>
      </w:pPr>
      <w:r>
        <w:rPr>
          <w:rFonts w:hint="eastAsia" w:ascii="宋体" w:hAnsi="宋体"/>
          <w:b/>
          <w:color w:val="auto"/>
          <w:sz w:val="24"/>
          <w:highlight w:val="none"/>
          <w:lang w:val="zh-CN"/>
        </w:rPr>
        <w:t>1）</w:t>
      </w:r>
      <w:r>
        <w:rPr>
          <w:rFonts w:ascii="宋体" w:hAnsi="宋体"/>
          <w:b/>
          <w:color w:val="auto"/>
          <w:sz w:val="24"/>
          <w:highlight w:val="none"/>
          <w:lang w:val="zh-CN"/>
        </w:rPr>
        <w:t xml:space="preserve"> 商务文件（单独装订密封）</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①</w:t>
      </w:r>
      <w:r>
        <w:rPr>
          <w:rFonts w:hint="eastAsia" w:ascii="宋体" w:hAnsi="宋体"/>
          <w:color w:val="auto"/>
          <w:sz w:val="24"/>
          <w:highlight w:val="none"/>
          <w:lang w:val="zh-CN"/>
        </w:rPr>
        <w:t xml:space="preserve"> </w:t>
      </w:r>
      <w:r>
        <w:rPr>
          <w:rFonts w:ascii="宋体" w:hAnsi="宋体"/>
          <w:color w:val="auto"/>
          <w:sz w:val="24"/>
          <w:highlight w:val="none"/>
          <w:lang w:val="zh-CN"/>
        </w:rPr>
        <w:t>企业法人营业执照副本复印件。</w:t>
      </w:r>
    </w:p>
    <w:p>
      <w:pPr>
        <w:autoSpaceDE w:val="0"/>
        <w:autoSpaceDN w:val="0"/>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② 有效的组织机构代码证及税务登记证复印件</w:t>
      </w:r>
      <w:r>
        <w:rPr>
          <w:rFonts w:hint="eastAsia" w:ascii="宋体" w:hAnsi="宋体" w:cs="仿宋_GB2312"/>
          <w:color w:val="auto"/>
          <w:sz w:val="24"/>
          <w:highlight w:val="none"/>
          <w:lang w:val="zh-CN"/>
        </w:rPr>
        <w:t>（已取得“三证合一”或“五证合一”营业执照的无需提供该项）</w:t>
      </w:r>
      <w:r>
        <w:rPr>
          <w:rFonts w:hint="eastAsia" w:ascii="宋体" w:hAnsi="宋体"/>
          <w:color w:val="auto"/>
          <w:sz w:val="24"/>
          <w:highlight w:val="none"/>
          <w:lang w:val="zh-CN"/>
        </w:rPr>
        <w:t>。</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③</w:t>
      </w:r>
      <w:r>
        <w:rPr>
          <w:rFonts w:hint="eastAsia" w:ascii="宋体" w:hAnsi="宋体"/>
          <w:color w:val="auto"/>
          <w:sz w:val="24"/>
          <w:highlight w:val="none"/>
          <w:lang w:val="zh-CN"/>
        </w:rPr>
        <w:t xml:space="preserve"> </w:t>
      </w:r>
      <w:r>
        <w:rPr>
          <w:rFonts w:hint="eastAsia" w:ascii="宋体" w:hAnsi="宋体" w:cs="仿宋_GB2312"/>
          <w:color w:val="auto"/>
          <w:sz w:val="24"/>
          <w:highlight w:val="none"/>
          <w:lang w:val="zh-CN"/>
        </w:rPr>
        <w:t>公开竞争性谈判保证金缴纳凭证复印件</w:t>
      </w:r>
      <w:r>
        <w:rPr>
          <w:rFonts w:ascii="宋体" w:hAnsi="宋体"/>
          <w:color w:val="auto"/>
          <w:sz w:val="24"/>
          <w:highlight w:val="none"/>
          <w:lang w:val="zh-CN"/>
        </w:rPr>
        <w:t>。</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④</w:t>
      </w:r>
      <w:r>
        <w:rPr>
          <w:rFonts w:hint="eastAsia" w:ascii="宋体" w:hAnsi="宋体"/>
          <w:color w:val="auto"/>
          <w:sz w:val="24"/>
          <w:highlight w:val="none"/>
          <w:lang w:val="zh-CN"/>
        </w:rPr>
        <w:t xml:space="preserve"> </w:t>
      </w:r>
      <w:r>
        <w:rPr>
          <w:rFonts w:hint="eastAsia" w:ascii="宋体" w:hAnsi="宋体" w:cs="仿宋_GB2312"/>
          <w:color w:val="auto"/>
          <w:sz w:val="24"/>
          <w:highlight w:val="none"/>
          <w:lang w:val="zh-CN"/>
        </w:rPr>
        <w:t>响应人关于公开竞争性谈判资格的声明函（格式见本章附件1）</w:t>
      </w:r>
      <w:r>
        <w:rPr>
          <w:rFonts w:ascii="宋体" w:hAnsi="宋体"/>
          <w:color w:val="auto"/>
          <w:sz w:val="24"/>
          <w:highlight w:val="none"/>
          <w:lang w:val="zh-CN"/>
        </w:rPr>
        <w:t>。</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⑤</w:t>
      </w:r>
      <w:r>
        <w:rPr>
          <w:rFonts w:hint="eastAsia" w:ascii="宋体" w:hAnsi="宋体"/>
          <w:color w:val="auto"/>
          <w:sz w:val="24"/>
          <w:highlight w:val="none"/>
          <w:lang w:val="zh-CN"/>
        </w:rPr>
        <w:t xml:space="preserve"> </w:t>
      </w:r>
      <w:r>
        <w:rPr>
          <w:rFonts w:hint="eastAsia" w:ascii="宋体" w:hAnsi="宋体" w:cs="仿宋_GB2312"/>
          <w:color w:val="auto"/>
          <w:sz w:val="24"/>
          <w:highlight w:val="none"/>
          <w:lang w:val="zh-CN"/>
        </w:rPr>
        <w:t>响应人法定代表人证明书（如法定代表人授权则附授权委托书）（法定代表人或被授权人谈判时须出示身份证查验，格式见本章附件2和附件3）。</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⑥</w:t>
      </w:r>
      <w:r>
        <w:rPr>
          <w:rFonts w:hint="eastAsia" w:ascii="宋体" w:hAnsi="宋体"/>
          <w:color w:val="auto"/>
          <w:sz w:val="24"/>
          <w:highlight w:val="none"/>
          <w:lang w:val="zh-CN"/>
        </w:rPr>
        <w:t xml:space="preserve"> </w:t>
      </w:r>
      <w:r>
        <w:rPr>
          <w:rFonts w:hint="eastAsia" w:ascii="宋体" w:hAnsi="宋体" w:cs="仿宋_GB2312"/>
          <w:color w:val="auto"/>
          <w:sz w:val="24"/>
          <w:highlight w:val="none"/>
          <w:lang w:val="zh-CN"/>
        </w:rPr>
        <w:t>响应人简介（格式见本章附件4，可附其他简介资料）。</w:t>
      </w:r>
    </w:p>
    <w:p>
      <w:pPr>
        <w:autoSpaceDE w:val="0"/>
        <w:autoSpaceDN w:val="0"/>
        <w:adjustRightInd w:val="0"/>
        <w:spacing w:line="360" w:lineRule="auto"/>
        <w:ind w:left="1133" w:leftChars="229" w:hanging="652" w:hangingChars="272"/>
        <w:rPr>
          <w:rFonts w:ascii="宋体" w:hAnsi="宋体"/>
          <w:color w:val="auto"/>
          <w:sz w:val="24"/>
          <w:highlight w:val="none"/>
          <w:lang w:val="zh-CN"/>
        </w:rPr>
      </w:pPr>
      <w:r>
        <w:rPr>
          <w:rFonts w:ascii="宋体" w:hAnsi="宋体"/>
          <w:color w:val="auto"/>
          <w:sz w:val="24"/>
          <w:highlight w:val="none"/>
          <w:lang w:val="zh-CN"/>
        </w:rPr>
        <w:t>⑦</w:t>
      </w:r>
      <w:r>
        <w:rPr>
          <w:rFonts w:hint="eastAsia" w:ascii="宋体" w:hAnsi="宋体"/>
          <w:color w:val="auto"/>
          <w:sz w:val="24"/>
          <w:highlight w:val="none"/>
          <w:lang w:val="zh-CN"/>
        </w:rPr>
        <w:t xml:space="preserve"> </w:t>
      </w:r>
      <w:r>
        <w:rPr>
          <w:rFonts w:hint="eastAsia" w:ascii="宋体" w:hAnsi="宋体" w:cs="仿宋_GB2312"/>
          <w:color w:val="auto"/>
          <w:sz w:val="24"/>
          <w:highlight w:val="none"/>
          <w:lang w:val="zh-CN"/>
        </w:rPr>
        <w:t>响应人对本次响应的承诺书（格式见本章附件5）</w:t>
      </w:r>
      <w:r>
        <w:rPr>
          <w:rFonts w:ascii="宋体" w:hAnsi="宋体"/>
          <w:color w:val="auto"/>
          <w:sz w:val="24"/>
          <w:highlight w:val="none"/>
          <w:lang w:val="zh-CN"/>
        </w:rPr>
        <w:t>。</w:t>
      </w:r>
    </w:p>
    <w:p>
      <w:pPr>
        <w:autoSpaceDE w:val="0"/>
        <w:autoSpaceDN w:val="0"/>
        <w:adjustRightInd w:val="0"/>
        <w:spacing w:line="360" w:lineRule="auto"/>
        <w:ind w:firstLine="480" w:firstLineChars="200"/>
        <w:rPr>
          <w:rFonts w:ascii="宋体" w:hAnsi="宋体"/>
          <w:color w:val="auto"/>
          <w:sz w:val="24"/>
          <w:highlight w:val="none"/>
          <w:lang w:val="zh-CN"/>
        </w:rPr>
      </w:pPr>
      <w:r>
        <w:rPr>
          <w:rFonts w:hint="eastAsia" w:ascii="宋体" w:hAnsi="宋体" w:cs="仿宋_GB2312"/>
          <w:color w:val="auto"/>
          <w:sz w:val="24"/>
          <w:highlight w:val="none"/>
          <w:lang w:val="zh-CN"/>
        </w:rPr>
        <w:t>⑧ 响应人将响应文件与公开竞争性谈判文件的差异之处汇集成差异表（格式见本章附件6）。</w:t>
      </w:r>
    </w:p>
    <w:p>
      <w:pPr>
        <w:autoSpaceDE w:val="0"/>
        <w:autoSpaceDN w:val="0"/>
        <w:adjustRightInd w:val="0"/>
        <w:spacing w:line="360" w:lineRule="auto"/>
        <w:ind w:left="1133" w:leftChars="229" w:hanging="652" w:hangingChars="272"/>
        <w:rPr>
          <w:rFonts w:ascii="宋体" w:hAnsi="宋体"/>
          <w:color w:val="auto"/>
          <w:sz w:val="24"/>
          <w:highlight w:val="none"/>
          <w:lang w:val="zh-CN"/>
        </w:rPr>
      </w:pPr>
      <w:r>
        <w:rPr>
          <w:rFonts w:hint="eastAsia" w:ascii="宋体" w:hAnsi="宋体"/>
          <w:color w:val="auto"/>
          <w:sz w:val="24"/>
          <w:highlight w:val="none"/>
          <w:lang w:val="zh-CN"/>
        </w:rPr>
        <w:t xml:space="preserve">⑨ </w:t>
      </w:r>
      <w:r>
        <w:rPr>
          <w:rFonts w:ascii="宋体" w:hAnsi="宋体"/>
          <w:color w:val="auto"/>
          <w:sz w:val="24"/>
          <w:highlight w:val="none"/>
        </w:rPr>
        <w:t>脱硫石膏</w:t>
      </w:r>
      <w:r>
        <w:rPr>
          <w:rFonts w:hint="eastAsia" w:ascii="宋体" w:hAnsi="宋体"/>
          <w:color w:val="auto"/>
          <w:sz w:val="24"/>
          <w:highlight w:val="none"/>
        </w:rPr>
        <w:t>采购或</w:t>
      </w:r>
      <w:r>
        <w:rPr>
          <w:rFonts w:ascii="宋体" w:hAnsi="宋体"/>
          <w:color w:val="auto"/>
          <w:sz w:val="24"/>
          <w:highlight w:val="none"/>
        </w:rPr>
        <w:t>销售</w:t>
      </w:r>
      <w:r>
        <w:rPr>
          <w:rFonts w:hint="eastAsia" w:ascii="宋体" w:hAnsi="宋体"/>
          <w:color w:val="auto"/>
          <w:sz w:val="24"/>
          <w:highlight w:val="none"/>
        </w:rPr>
        <w:t>的业绩（提供采购或销售合同复印件）</w:t>
      </w:r>
    </w:p>
    <w:p>
      <w:pPr>
        <w:autoSpaceDE w:val="0"/>
        <w:autoSpaceDN w:val="0"/>
        <w:adjustRightInd w:val="0"/>
        <w:spacing w:line="360" w:lineRule="auto"/>
        <w:ind w:firstLine="482" w:firstLineChars="200"/>
        <w:rPr>
          <w:rFonts w:ascii="宋体" w:hAnsi="宋体"/>
          <w:b/>
          <w:color w:val="auto"/>
          <w:sz w:val="24"/>
          <w:highlight w:val="none"/>
          <w:lang w:val="zh-CN"/>
        </w:rPr>
      </w:pPr>
      <w:r>
        <w:rPr>
          <w:rFonts w:hint="eastAsia" w:ascii="宋体" w:hAnsi="宋体"/>
          <w:b/>
          <w:color w:val="auto"/>
          <w:sz w:val="24"/>
          <w:highlight w:val="none"/>
          <w:lang w:val="zh-CN"/>
        </w:rPr>
        <w:t>2）</w:t>
      </w:r>
      <w:r>
        <w:rPr>
          <w:rFonts w:ascii="宋体" w:hAnsi="宋体"/>
          <w:b/>
          <w:color w:val="auto"/>
          <w:sz w:val="24"/>
          <w:highlight w:val="none"/>
          <w:lang w:val="zh-CN"/>
        </w:rPr>
        <w:t>价格文件（单独装订密封）</w:t>
      </w:r>
    </w:p>
    <w:p>
      <w:pPr>
        <w:autoSpaceDE w:val="0"/>
        <w:autoSpaceDN w:val="0"/>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 xml:space="preserve">① </w:t>
      </w:r>
      <w:r>
        <w:rPr>
          <w:rFonts w:ascii="宋体" w:hAnsi="宋体"/>
          <w:color w:val="auto"/>
          <w:sz w:val="24"/>
          <w:highlight w:val="none"/>
          <w:lang w:val="zh-CN"/>
        </w:rPr>
        <w:t>响应人按报价单（格式见本章附件7）对脱硫石膏报价。</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② 项目内容和要求：详见本文件第三章整个合同文本的相关内容。</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3. 公开竞争性谈判保证金</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1）响应人必须按照本文件的规定提交足额公开竞争性谈判保证金，凡没有根据本文件须知的规定提交公开竞争性谈判保证金的响应文件，发包人有权将被视为非实质响应而被予以拒绝。</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2）公开竞争性谈判保证金是为了保护发包人免遭因响应人的行为所造成的损失。发包人在因响应人的行为而受到损害时，可以根据本文件的规定没收响应人的公开竞争性谈判保证金。</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3）公开竞争性谈判保证金采用银行转账形式存到以下账户，必须在响应文件递交截止时间24小时前将银行收据提交给发包人并换取收据。付款户名必须与响应人名称一致，各响应人应充分考虑汇款到账时间。</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收款人：佛山市恒益环保建材有限公司</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开户行：工行佛山南海丹灶支行</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帐  号： 2013024409200036018</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4）</w:t>
      </w:r>
      <w:r>
        <w:rPr>
          <w:rFonts w:hint="eastAsia" w:ascii="宋体" w:hAnsi="宋体" w:cs="Arial"/>
          <w:color w:val="auto"/>
          <w:sz w:val="24"/>
          <w:highlight w:val="none"/>
        </w:rPr>
        <w:t>投标保证金为10万元人民币，并于投标截止日3天前以电汇方式存入发包人指定的账户。中标人的投标保证金将在其与发包人签订合同并按要求提交履约保证金后5个工作日内无息全额退还，未中标响应人的投标保证金将在发包人与中标人签订合同后5日内原额返还，均不计利息。</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5）下列任何一种情况发生时，发包人有权没收公开竞争性谈判保证金：</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① 响应人在公开竞争性谈判文件规定的响应文件有效期内撤回其响应文件；</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② 响应人提交响应文件后降低报价；</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③ 响应人成为合同谈判候选人后不按公开竞争性谈判文件规定在规定的期限内签订合同；</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④ 响应人签订合同后在规定期限内未提交足额履约保证金。</w:t>
      </w:r>
    </w:p>
    <w:p>
      <w:pPr>
        <w:pStyle w:val="3"/>
        <w:keepNext w:val="0"/>
        <w:keepLines w:val="0"/>
        <w:widowControl w:val="0"/>
        <w:spacing w:before="0" w:after="0" w:line="360" w:lineRule="auto"/>
        <w:ind w:firstLine="470" w:firstLineChars="196"/>
        <w:rPr>
          <w:rFonts w:ascii="宋体" w:hAnsi="宋体" w:eastAsia="宋体"/>
          <w:b w:val="0"/>
          <w:color w:val="auto"/>
          <w:sz w:val="24"/>
          <w:szCs w:val="24"/>
          <w:highlight w:val="none"/>
          <w:lang w:val="zh-CN"/>
        </w:rPr>
      </w:pPr>
      <w:bookmarkStart w:id="4" w:name="_Toc223777436"/>
      <w:r>
        <w:rPr>
          <w:rFonts w:ascii="宋体" w:hAnsi="宋体" w:eastAsia="宋体"/>
          <w:b w:val="0"/>
          <w:color w:val="auto"/>
          <w:sz w:val="24"/>
          <w:szCs w:val="24"/>
          <w:highlight w:val="none"/>
          <w:lang w:val="zh-CN"/>
        </w:rPr>
        <w:t>三、竞争性谈判评审</w:t>
      </w:r>
      <w:bookmarkEnd w:id="4"/>
    </w:p>
    <w:p>
      <w:pPr>
        <w:pStyle w:val="45"/>
        <w:numPr>
          <w:ilvl w:val="0"/>
          <w:numId w:val="2"/>
        </w:numPr>
        <w:tabs>
          <w:tab w:val="left" w:pos="709"/>
        </w:tabs>
        <w:autoSpaceDE w:val="0"/>
        <w:autoSpaceDN w:val="0"/>
        <w:adjustRightInd w:val="0"/>
        <w:spacing w:line="360" w:lineRule="auto"/>
        <w:ind w:firstLine="6" w:firstLineChars="0"/>
        <w:rPr>
          <w:rFonts w:ascii="宋体" w:hAnsi="宋体"/>
          <w:color w:val="auto"/>
          <w:sz w:val="24"/>
          <w:highlight w:val="none"/>
          <w:lang w:val="zh-CN"/>
        </w:rPr>
      </w:pPr>
      <w:r>
        <w:rPr>
          <w:rFonts w:ascii="宋体" w:hAnsi="宋体"/>
          <w:color w:val="auto"/>
          <w:sz w:val="24"/>
          <w:highlight w:val="none"/>
          <w:lang w:val="zh-CN"/>
        </w:rPr>
        <w:t>谈判评审原则</w:t>
      </w:r>
    </w:p>
    <w:p>
      <w:pPr>
        <w:autoSpaceDE w:val="0"/>
        <w:autoSpaceDN w:val="0"/>
        <w:adjustRightInd w:val="0"/>
        <w:spacing w:line="360" w:lineRule="auto"/>
        <w:ind w:left="1" w:firstLine="424" w:firstLineChars="177"/>
        <w:rPr>
          <w:rFonts w:ascii="宋体" w:hAnsi="宋体"/>
          <w:color w:val="auto"/>
          <w:sz w:val="24"/>
          <w:highlight w:val="none"/>
          <w:lang w:val="zh-CN"/>
        </w:rPr>
      </w:pPr>
      <w:r>
        <w:rPr>
          <w:rFonts w:hint="eastAsia" w:ascii="宋体" w:hAnsi="宋体"/>
          <w:color w:val="auto"/>
          <w:sz w:val="24"/>
          <w:highlight w:val="none"/>
          <w:lang w:val="zh-CN"/>
        </w:rPr>
        <w:t>1）</w:t>
      </w:r>
      <w:r>
        <w:rPr>
          <w:rFonts w:hint="eastAsia" w:ascii="宋体" w:hAnsi="宋体" w:cs="仿宋_GB2312"/>
          <w:color w:val="auto"/>
          <w:sz w:val="24"/>
          <w:highlight w:val="none"/>
          <w:lang w:val="zh-CN"/>
        </w:rPr>
        <w:t>本次谈判评审由招标代理组建谈判小组负责完成，小组成员5人（其中业主评委一人）。评审工作遵循“公平、公正、诚实信用”的原则。</w:t>
      </w:r>
    </w:p>
    <w:p>
      <w:pPr>
        <w:autoSpaceDE w:val="0"/>
        <w:autoSpaceDN w:val="0"/>
        <w:adjustRightInd w:val="0"/>
        <w:spacing w:line="360" w:lineRule="auto"/>
        <w:ind w:left="1" w:firstLine="424" w:firstLineChars="177"/>
        <w:rPr>
          <w:rFonts w:ascii="宋体" w:hAnsi="宋体" w:cs="仿宋_GB2312"/>
          <w:color w:val="auto"/>
          <w:sz w:val="24"/>
          <w:highlight w:val="none"/>
          <w:lang w:val="zh-CN"/>
        </w:rPr>
      </w:pPr>
      <w:r>
        <w:rPr>
          <w:rFonts w:hint="eastAsia" w:ascii="宋体" w:hAnsi="宋体"/>
          <w:color w:val="auto"/>
          <w:sz w:val="24"/>
          <w:highlight w:val="none"/>
          <w:lang w:val="zh-CN"/>
        </w:rPr>
        <w:t>2）</w:t>
      </w:r>
      <w:r>
        <w:rPr>
          <w:rFonts w:hint="eastAsia" w:ascii="宋体" w:hAnsi="宋体" w:cs="仿宋_GB2312"/>
          <w:color w:val="auto"/>
          <w:sz w:val="24"/>
          <w:highlight w:val="none"/>
          <w:lang w:val="zh-CN"/>
        </w:rPr>
        <w:t>谈判小组将只对经谈判确定为实质上响应公开竞争性谈判文件要求的响应文件进行评审</w:t>
      </w:r>
      <w:r>
        <w:rPr>
          <w:rFonts w:hint="eastAsia" w:ascii="宋体" w:hAnsi="宋体" w:cs="仿宋_GB2312"/>
          <w:color w:val="auto"/>
          <w:sz w:val="24"/>
          <w:highlight w:val="none"/>
        </w:rPr>
        <w:t>,</w:t>
      </w:r>
      <w:r>
        <w:rPr>
          <w:rFonts w:hint="eastAsia" w:ascii="宋体" w:hAnsi="宋体" w:cs="仿宋_GB2312"/>
          <w:color w:val="auto"/>
          <w:sz w:val="24"/>
          <w:highlight w:val="none"/>
          <w:lang w:val="zh-CN"/>
        </w:rPr>
        <w:t>谈判小组在谈判及评审过程中出现意见不一致时，遵循少数服从多数原则。若经谈判后的响应文件发生下列情况之一者，则视为无效响应而被拒绝：</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①响应人不满足本项目对响应人资格要求；</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 xml:space="preserve">②响应文件未加盖响应人公章或未经法定代表人或授权委托人签署；或没有提交法定代表人身份证明书或法定代表人授权书，法定代表人授权书没有法定代表人、授权代理人的签章或响应人公章； </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③响应人相互串通报价现象；</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④存在弄虚作假情形的；</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⑤响应人没按要求递交公开竞争性谈判保证金的；</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⑥响应人不接受公开竞争性谈判文件关于价格调整的规定的；</w:t>
      </w:r>
    </w:p>
    <w:p>
      <w:pPr>
        <w:autoSpaceDE w:val="0"/>
        <w:autoSpaceDN w:val="0"/>
        <w:adjustRightInd w:val="0"/>
        <w:spacing w:line="360" w:lineRule="auto"/>
        <w:ind w:firstLine="480" w:firstLineChars="200"/>
        <w:rPr>
          <w:rFonts w:ascii="宋体" w:hAnsi="宋体"/>
          <w:color w:val="auto"/>
          <w:sz w:val="24"/>
          <w:highlight w:val="none"/>
          <w:lang w:val="zh-CN"/>
        </w:rPr>
      </w:pPr>
      <w:r>
        <w:rPr>
          <w:rFonts w:hint="eastAsia" w:ascii="宋体" w:hAnsi="宋体" w:cs="仿宋_GB2312"/>
          <w:color w:val="auto"/>
          <w:sz w:val="24"/>
          <w:highlight w:val="none"/>
          <w:lang w:val="zh-CN"/>
        </w:rPr>
        <w:t>⑦</w:t>
      </w:r>
      <w:bookmarkStart w:id="5" w:name="_Hlk463891921"/>
      <w:r>
        <w:rPr>
          <w:rFonts w:hint="eastAsia" w:ascii="宋体" w:hAnsi="宋体" w:cs="仿宋_GB2312"/>
          <w:color w:val="auto"/>
          <w:sz w:val="24"/>
          <w:highlight w:val="none"/>
          <w:lang w:val="zh-CN"/>
        </w:rPr>
        <w:t>响应文件存在其他实质性不响应公开竞争性谈判文件的要求的</w:t>
      </w:r>
      <w:bookmarkEnd w:id="5"/>
      <w:r>
        <w:rPr>
          <w:rFonts w:hint="eastAsia" w:ascii="宋体" w:hAnsi="宋体" w:cs="仿宋_GB2312"/>
          <w:color w:val="auto"/>
          <w:sz w:val="24"/>
          <w:highlight w:val="none"/>
          <w:lang w:val="zh-CN"/>
        </w:rPr>
        <w:t>。</w:t>
      </w:r>
    </w:p>
    <w:p>
      <w:pPr>
        <w:autoSpaceDE w:val="0"/>
        <w:autoSpaceDN w:val="0"/>
        <w:adjustRightInd w:val="0"/>
        <w:spacing w:line="360" w:lineRule="auto"/>
        <w:ind w:firstLine="480" w:firstLineChars="200"/>
        <w:rPr>
          <w:rFonts w:ascii="宋体" w:hAnsi="宋体" w:cs="仿宋_GB2312"/>
          <w:color w:val="auto"/>
          <w:sz w:val="24"/>
          <w:highlight w:val="none"/>
          <w:lang w:val="zh-CN"/>
        </w:rPr>
      </w:pPr>
      <w:r>
        <w:rPr>
          <w:rFonts w:hint="eastAsia" w:ascii="宋体" w:hAnsi="宋体" w:cs="仿宋_GB2312"/>
          <w:color w:val="auto"/>
          <w:sz w:val="24"/>
          <w:highlight w:val="none"/>
          <w:lang w:val="zh-CN"/>
        </w:rPr>
        <w:t>3）评审以响应人的响应文件、澄清文件、承诺文件和最终报价为依据，并据此推荐脱硫石膏销售项目成交候选人。</w:t>
      </w:r>
    </w:p>
    <w:p>
      <w:pPr>
        <w:autoSpaceDE w:val="0"/>
        <w:autoSpaceDN w:val="0"/>
        <w:adjustRightInd w:val="0"/>
        <w:spacing w:line="360" w:lineRule="auto"/>
        <w:ind w:firstLine="424" w:firstLineChars="177"/>
        <w:rPr>
          <w:rFonts w:ascii="宋体" w:hAnsi="宋体"/>
          <w:color w:val="auto"/>
          <w:sz w:val="24"/>
          <w:highlight w:val="none"/>
          <w:lang w:val="zh-CN"/>
        </w:rPr>
      </w:pPr>
      <w:r>
        <w:rPr>
          <w:rFonts w:hint="eastAsia" w:ascii="宋体" w:hAnsi="宋体" w:cs="仿宋_GB2312"/>
          <w:color w:val="auto"/>
          <w:sz w:val="24"/>
          <w:highlight w:val="none"/>
          <w:lang w:val="zh-CN"/>
        </w:rPr>
        <w:t>4）参加谈判评审工作的所有人员应遵守有关法规的规定，严格保密，确保谈判评审工作公平、公正，任何单位和个人不得无理干预谈判小组的正常工作。公开竞争性谈判开始后</w:t>
      </w:r>
      <w:r>
        <w:rPr>
          <w:rFonts w:ascii="宋体" w:hAnsi="宋体" w:cs="仿宋_GB2312"/>
          <w:color w:val="auto"/>
          <w:sz w:val="24"/>
          <w:highlight w:val="none"/>
          <w:lang w:val="zh-CN"/>
        </w:rPr>
        <w:t>，直到宣布</w:t>
      </w:r>
      <w:r>
        <w:rPr>
          <w:rFonts w:hint="eastAsia" w:ascii="宋体" w:hAnsi="宋体" w:cs="仿宋_GB2312"/>
          <w:color w:val="auto"/>
          <w:sz w:val="24"/>
          <w:highlight w:val="none"/>
          <w:lang w:val="zh-CN"/>
        </w:rPr>
        <w:t>公开竞争性谈判结果</w:t>
      </w:r>
      <w:r>
        <w:rPr>
          <w:rFonts w:ascii="宋体" w:hAnsi="宋体" w:cs="仿宋_GB2312"/>
          <w:color w:val="auto"/>
          <w:sz w:val="24"/>
          <w:highlight w:val="none"/>
          <w:lang w:val="zh-CN"/>
        </w:rPr>
        <w:t>为止，凡与</w:t>
      </w:r>
      <w:r>
        <w:rPr>
          <w:rFonts w:hint="eastAsia" w:ascii="宋体" w:hAnsi="宋体" w:cs="仿宋_GB2312"/>
          <w:color w:val="auto"/>
          <w:sz w:val="24"/>
          <w:highlight w:val="none"/>
          <w:lang w:val="zh-CN"/>
        </w:rPr>
        <w:t>审查、澄清、比较及推荐脱硫石膏销售</w:t>
      </w:r>
      <w:r>
        <w:rPr>
          <w:rFonts w:ascii="宋体" w:hAnsi="宋体" w:cs="仿宋_GB2312"/>
          <w:color w:val="auto"/>
          <w:sz w:val="24"/>
          <w:highlight w:val="none"/>
          <w:lang w:val="zh-CN"/>
        </w:rPr>
        <w:t>有关的资料，以及有关授予合同的信息均不应向</w:t>
      </w:r>
      <w:r>
        <w:rPr>
          <w:rFonts w:hint="eastAsia" w:ascii="宋体" w:hAnsi="宋体" w:cs="仿宋_GB2312"/>
          <w:color w:val="auto"/>
          <w:sz w:val="24"/>
          <w:highlight w:val="none"/>
          <w:lang w:val="zh-CN"/>
        </w:rPr>
        <w:t>响应人</w:t>
      </w:r>
      <w:r>
        <w:rPr>
          <w:rFonts w:ascii="宋体" w:hAnsi="宋体" w:cs="仿宋_GB2312"/>
          <w:color w:val="auto"/>
          <w:sz w:val="24"/>
          <w:highlight w:val="none"/>
          <w:lang w:val="zh-CN"/>
        </w:rPr>
        <w:t>或其他无关的第三人泄露。</w:t>
      </w:r>
      <w:r>
        <w:rPr>
          <w:rFonts w:hint="eastAsia" w:ascii="宋体" w:hAnsi="宋体" w:cs="仿宋_GB2312"/>
          <w:color w:val="auto"/>
          <w:sz w:val="24"/>
          <w:highlight w:val="none"/>
          <w:lang w:val="zh-CN"/>
        </w:rPr>
        <w:t>在评审过程中，如果响应人试图在响应文件审查、澄清、比较及推荐脱硫石膏销售方面向参与评审的有关人员和发包人施加任何影响，其响应文件将被拒绝。</w:t>
      </w:r>
      <w:r>
        <w:rPr>
          <w:rFonts w:ascii="宋体" w:hAnsi="宋体" w:cs="仿宋_GB2312"/>
          <w:color w:val="auto"/>
          <w:sz w:val="24"/>
          <w:highlight w:val="none"/>
          <w:lang w:val="zh-CN"/>
        </w:rPr>
        <w:t>如果在</w:t>
      </w:r>
      <w:r>
        <w:rPr>
          <w:rFonts w:hint="eastAsia" w:ascii="宋体" w:hAnsi="宋体" w:cs="仿宋_GB2312"/>
          <w:color w:val="auto"/>
          <w:sz w:val="24"/>
          <w:highlight w:val="none"/>
          <w:lang w:val="zh-CN"/>
        </w:rPr>
        <w:t>公开竞争性谈判</w:t>
      </w:r>
      <w:r>
        <w:rPr>
          <w:rFonts w:ascii="宋体" w:hAnsi="宋体" w:cs="仿宋_GB2312"/>
          <w:color w:val="auto"/>
          <w:sz w:val="24"/>
          <w:highlight w:val="none"/>
          <w:lang w:val="zh-CN"/>
        </w:rPr>
        <w:t>过程中发现</w:t>
      </w:r>
      <w:r>
        <w:rPr>
          <w:rFonts w:hint="eastAsia" w:ascii="宋体" w:hAnsi="宋体" w:cs="仿宋_GB2312"/>
          <w:color w:val="auto"/>
          <w:sz w:val="24"/>
          <w:highlight w:val="none"/>
          <w:lang w:val="zh-CN"/>
        </w:rPr>
        <w:t>响应人</w:t>
      </w:r>
      <w:r>
        <w:rPr>
          <w:rFonts w:ascii="宋体" w:hAnsi="宋体" w:cs="仿宋_GB2312"/>
          <w:color w:val="auto"/>
          <w:sz w:val="24"/>
          <w:highlight w:val="none"/>
          <w:lang w:val="zh-CN"/>
        </w:rPr>
        <w:t>采用任何手段进行串标、贿赂和违反招投标纪律的行为，</w:t>
      </w:r>
      <w:r>
        <w:rPr>
          <w:rFonts w:hint="eastAsia" w:ascii="宋体" w:hAnsi="宋体" w:cs="仿宋_GB2312"/>
          <w:color w:val="auto"/>
          <w:sz w:val="24"/>
          <w:highlight w:val="none"/>
          <w:lang w:val="zh-CN"/>
        </w:rPr>
        <w:t>发包人</w:t>
      </w:r>
      <w:r>
        <w:rPr>
          <w:rFonts w:ascii="宋体" w:hAnsi="宋体" w:cs="仿宋_GB2312"/>
          <w:color w:val="auto"/>
          <w:sz w:val="24"/>
          <w:highlight w:val="none"/>
          <w:lang w:val="zh-CN"/>
        </w:rPr>
        <w:t>将有权</w:t>
      </w:r>
      <w:r>
        <w:rPr>
          <w:rFonts w:hint="eastAsia" w:ascii="宋体" w:hAnsi="宋体" w:cs="仿宋_GB2312"/>
          <w:color w:val="auto"/>
          <w:sz w:val="24"/>
          <w:highlight w:val="none"/>
          <w:lang w:val="zh-CN"/>
        </w:rPr>
        <w:t>拒绝其响应文件</w:t>
      </w:r>
      <w:r>
        <w:rPr>
          <w:rFonts w:ascii="宋体" w:hAnsi="宋体" w:cs="仿宋_GB2312"/>
          <w:color w:val="auto"/>
          <w:sz w:val="24"/>
          <w:highlight w:val="none"/>
          <w:lang w:val="zh-CN"/>
        </w:rPr>
        <w:t>。</w:t>
      </w:r>
    </w:p>
    <w:p>
      <w:pPr>
        <w:pStyle w:val="45"/>
        <w:numPr>
          <w:ilvl w:val="0"/>
          <w:numId w:val="2"/>
        </w:numPr>
        <w:autoSpaceDE w:val="0"/>
        <w:autoSpaceDN w:val="0"/>
        <w:adjustRightInd w:val="0"/>
        <w:spacing w:line="360" w:lineRule="auto"/>
        <w:ind w:left="709" w:hanging="283" w:firstLineChars="0"/>
        <w:rPr>
          <w:rFonts w:ascii="宋体" w:hAnsi="宋体"/>
          <w:color w:val="auto"/>
          <w:sz w:val="24"/>
          <w:highlight w:val="none"/>
          <w:lang w:val="zh-CN"/>
        </w:rPr>
      </w:pPr>
      <w:r>
        <w:rPr>
          <w:rFonts w:ascii="宋体" w:hAnsi="宋体"/>
          <w:color w:val="auto"/>
          <w:sz w:val="24"/>
          <w:highlight w:val="none"/>
          <w:lang w:val="zh-CN"/>
        </w:rPr>
        <w:t>谈判办法</w:t>
      </w:r>
    </w:p>
    <w:p>
      <w:pPr>
        <w:autoSpaceDE w:val="0"/>
        <w:autoSpaceDN w:val="0"/>
        <w:adjustRightInd w:val="0"/>
        <w:spacing w:line="360" w:lineRule="auto"/>
        <w:ind w:left="424" w:leftChars="202"/>
        <w:rPr>
          <w:rFonts w:ascii="宋体" w:hAnsi="宋体"/>
          <w:color w:val="auto"/>
          <w:sz w:val="24"/>
          <w:highlight w:val="none"/>
          <w:lang w:val="zh-CN"/>
        </w:rPr>
      </w:pPr>
      <w:r>
        <w:rPr>
          <w:rFonts w:hint="eastAsia" w:ascii="宋体" w:hAnsi="宋体"/>
          <w:color w:val="auto"/>
          <w:sz w:val="24"/>
          <w:highlight w:val="none"/>
          <w:lang w:val="zh-CN"/>
        </w:rPr>
        <w:t>1）初步</w:t>
      </w:r>
      <w:r>
        <w:rPr>
          <w:rFonts w:ascii="宋体" w:hAnsi="宋体"/>
          <w:color w:val="auto"/>
          <w:sz w:val="24"/>
          <w:highlight w:val="none"/>
          <w:lang w:val="zh-CN"/>
        </w:rPr>
        <w:t>审查</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 xml:space="preserve">① </w:t>
      </w:r>
      <w:r>
        <w:rPr>
          <w:rFonts w:hint="eastAsia" w:ascii="宋体" w:hAnsi="宋体"/>
          <w:color w:val="auto"/>
          <w:sz w:val="24"/>
          <w:highlight w:val="none"/>
          <w:lang w:val="zh-CN"/>
        </w:rPr>
        <w:t>工作人员</w:t>
      </w:r>
      <w:r>
        <w:rPr>
          <w:rFonts w:ascii="宋体" w:hAnsi="宋体"/>
          <w:color w:val="auto"/>
          <w:sz w:val="24"/>
          <w:highlight w:val="none"/>
          <w:lang w:val="zh-CN"/>
        </w:rPr>
        <w:t>当众将所有商务文件拆封，验证响应人代表身份；</w:t>
      </w:r>
      <w:r>
        <w:rPr>
          <w:rFonts w:hint="eastAsia" w:ascii="宋体" w:hAnsi="宋体"/>
          <w:color w:val="auto"/>
          <w:sz w:val="24"/>
          <w:highlight w:val="none"/>
          <w:lang w:val="zh-CN"/>
        </w:rPr>
        <w:t>按</w:t>
      </w:r>
      <w:r>
        <w:rPr>
          <w:rFonts w:ascii="宋体" w:hAnsi="宋体"/>
          <w:color w:val="auto"/>
          <w:sz w:val="24"/>
          <w:highlight w:val="none"/>
          <w:lang w:val="zh-CN"/>
        </w:rPr>
        <w:t>递交</w:t>
      </w:r>
      <w:r>
        <w:rPr>
          <w:rFonts w:hint="eastAsia" w:ascii="宋体" w:hAnsi="宋体"/>
          <w:color w:val="auto"/>
          <w:sz w:val="24"/>
          <w:highlight w:val="none"/>
          <w:lang w:val="zh-CN"/>
        </w:rPr>
        <w:t>投标文件</w:t>
      </w:r>
      <w:r>
        <w:rPr>
          <w:rFonts w:ascii="宋体" w:hAnsi="宋体"/>
          <w:color w:val="auto"/>
          <w:sz w:val="24"/>
          <w:highlight w:val="none"/>
          <w:lang w:val="zh-CN"/>
        </w:rPr>
        <w:t>顺序</w:t>
      </w:r>
      <w:r>
        <w:rPr>
          <w:rFonts w:hint="eastAsia" w:ascii="宋体" w:hAnsi="宋体"/>
          <w:color w:val="auto"/>
          <w:sz w:val="24"/>
          <w:highlight w:val="none"/>
          <w:lang w:val="zh-CN"/>
        </w:rPr>
        <w:t>作为商务文件</w:t>
      </w:r>
      <w:r>
        <w:rPr>
          <w:rFonts w:ascii="宋体" w:hAnsi="宋体"/>
          <w:color w:val="auto"/>
          <w:sz w:val="24"/>
          <w:highlight w:val="none"/>
          <w:lang w:val="zh-CN"/>
        </w:rPr>
        <w:t>谈判顺序。</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② 谈判小组根据竞争性谈判文件的要求对商务文件进行</w:t>
      </w:r>
      <w:r>
        <w:rPr>
          <w:rFonts w:hint="eastAsia" w:ascii="宋体" w:hAnsi="宋体"/>
          <w:color w:val="auto"/>
          <w:sz w:val="24"/>
          <w:highlight w:val="none"/>
          <w:lang w:val="zh-CN"/>
        </w:rPr>
        <w:t>初步</w:t>
      </w:r>
      <w:r>
        <w:rPr>
          <w:rFonts w:ascii="宋体" w:hAnsi="宋体"/>
          <w:color w:val="auto"/>
          <w:sz w:val="24"/>
          <w:highlight w:val="none"/>
          <w:lang w:val="zh-CN"/>
        </w:rPr>
        <w:t>评审。谈判小组</w:t>
      </w:r>
      <w:r>
        <w:rPr>
          <w:rFonts w:hint="eastAsia" w:ascii="宋体" w:hAnsi="宋体"/>
          <w:color w:val="auto"/>
          <w:sz w:val="24"/>
          <w:highlight w:val="none"/>
          <w:lang w:val="zh-CN"/>
        </w:rPr>
        <w:t>可按需要逐一与响应人进行澄清和谈判，使所有响应人的响应具有可比性。谈判过程中，若</w:t>
      </w:r>
      <w:r>
        <w:rPr>
          <w:rFonts w:ascii="宋体" w:hAnsi="宋体"/>
          <w:color w:val="auto"/>
          <w:sz w:val="24"/>
          <w:highlight w:val="none"/>
          <w:lang w:val="zh-CN"/>
        </w:rPr>
        <w:t>谈判小组</w:t>
      </w:r>
      <w:r>
        <w:rPr>
          <w:rFonts w:hint="eastAsia" w:ascii="宋体" w:hAnsi="宋体"/>
          <w:color w:val="auto"/>
          <w:sz w:val="24"/>
          <w:highlight w:val="none"/>
          <w:lang w:val="zh-CN"/>
        </w:rPr>
        <w:t>发现商务文件存在问题，准许响应人在规定时间内补充资料或作出说明。由评委对响应文件进行资格审查和符合性审查（详见附件8《资格审查及响应文件符合性审查表》），只有通过资格审查与符合性审查的响应人方可进入下一步的价格文件谈判阶段。</w:t>
      </w:r>
    </w:p>
    <w:p>
      <w:pPr>
        <w:autoSpaceDE w:val="0"/>
        <w:autoSpaceDN w:val="0"/>
        <w:adjustRightIn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2）</w:t>
      </w:r>
      <w:r>
        <w:rPr>
          <w:rFonts w:ascii="宋体" w:hAnsi="宋体"/>
          <w:color w:val="auto"/>
          <w:sz w:val="24"/>
          <w:highlight w:val="none"/>
          <w:lang w:val="zh-CN"/>
        </w:rPr>
        <w:t xml:space="preserve"> 价格谈判</w:t>
      </w:r>
    </w:p>
    <w:p>
      <w:pPr>
        <w:autoSpaceDE w:val="0"/>
        <w:autoSpaceDN w:val="0"/>
        <w:adjustRightInd w:val="0"/>
        <w:spacing w:line="360" w:lineRule="auto"/>
        <w:ind w:left="2" w:firstLine="480" w:firstLineChars="200"/>
        <w:rPr>
          <w:rFonts w:ascii="宋体" w:hAnsi="宋体"/>
          <w:color w:val="auto"/>
          <w:sz w:val="24"/>
          <w:highlight w:val="none"/>
          <w:lang w:val="zh-CN"/>
        </w:rPr>
      </w:pPr>
      <w:r>
        <w:rPr>
          <w:rFonts w:ascii="宋体" w:hAnsi="宋体"/>
          <w:color w:val="auto"/>
          <w:sz w:val="24"/>
          <w:highlight w:val="none"/>
          <w:lang w:val="zh-CN"/>
        </w:rPr>
        <w:t>①本次竞争性谈判设定标底</w:t>
      </w:r>
      <w:r>
        <w:rPr>
          <w:rFonts w:hint="eastAsia" w:ascii="宋体" w:hAnsi="宋体"/>
          <w:color w:val="auto"/>
          <w:sz w:val="24"/>
          <w:highlight w:val="none"/>
          <w:lang w:val="zh-CN"/>
        </w:rPr>
        <w:t>，</w:t>
      </w:r>
      <w:r>
        <w:rPr>
          <w:rFonts w:hint="eastAsia" w:ascii="宋体" w:hAnsi="宋体"/>
          <w:color w:val="auto"/>
          <w:sz w:val="24"/>
          <w:highlight w:val="none"/>
        </w:rPr>
        <w:t>标底在开标前不公布</w:t>
      </w:r>
      <w:r>
        <w:rPr>
          <w:rFonts w:ascii="宋体" w:hAnsi="宋体"/>
          <w:color w:val="auto"/>
          <w:sz w:val="24"/>
          <w:highlight w:val="none"/>
          <w:lang w:val="zh-CN"/>
        </w:rPr>
        <w:t>。</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②谈判小组按</w:t>
      </w:r>
      <w:r>
        <w:rPr>
          <w:rFonts w:hint="eastAsia" w:ascii="宋体" w:hAnsi="宋体"/>
          <w:color w:val="auto"/>
          <w:sz w:val="24"/>
          <w:highlight w:val="none"/>
          <w:lang w:val="zh-CN"/>
        </w:rPr>
        <w:t>商务文件谈判</w:t>
      </w:r>
      <w:r>
        <w:rPr>
          <w:rFonts w:ascii="宋体" w:hAnsi="宋体"/>
          <w:color w:val="auto"/>
          <w:sz w:val="24"/>
          <w:highlight w:val="none"/>
          <w:lang w:val="zh-CN"/>
        </w:rPr>
        <w:t>顺序请通过</w:t>
      </w:r>
      <w:r>
        <w:rPr>
          <w:rFonts w:hint="eastAsia" w:ascii="宋体" w:hAnsi="宋体"/>
          <w:color w:val="auto"/>
          <w:sz w:val="24"/>
          <w:highlight w:val="none"/>
          <w:lang w:val="zh-CN"/>
        </w:rPr>
        <w:t>初步</w:t>
      </w:r>
      <w:r>
        <w:rPr>
          <w:rFonts w:ascii="宋体" w:hAnsi="宋体"/>
          <w:color w:val="auto"/>
          <w:sz w:val="24"/>
          <w:highlight w:val="none"/>
          <w:lang w:val="zh-CN"/>
        </w:rPr>
        <w:t>审查的响应人确认其报价文件密封完好后开启报价文件，并核对每一份报价文件的内容是否符合实质性响应。</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③</w:t>
      </w:r>
      <w:r>
        <w:rPr>
          <w:rFonts w:hint="eastAsia" w:ascii="宋体" w:hAnsi="宋体" w:cs="仿宋_GB2312"/>
          <w:color w:val="auto"/>
          <w:sz w:val="24"/>
          <w:highlight w:val="none"/>
          <w:lang w:val="zh-CN"/>
        </w:rPr>
        <w:t>谈判小组按需给每个</w:t>
      </w:r>
      <w:r>
        <w:rPr>
          <w:rFonts w:ascii="宋体" w:hAnsi="宋体"/>
          <w:color w:val="auto"/>
          <w:sz w:val="24"/>
          <w:highlight w:val="none"/>
        </w:rPr>
        <w:t>响应人</w:t>
      </w:r>
      <w:r>
        <w:rPr>
          <w:rFonts w:hint="eastAsia" w:ascii="宋体" w:hAnsi="宋体" w:cs="仿宋_GB2312"/>
          <w:color w:val="auto"/>
          <w:sz w:val="24"/>
          <w:highlight w:val="none"/>
          <w:lang w:val="zh-CN"/>
        </w:rPr>
        <w:t>多轮报价机会，每次报价均不得低于上一轮报价，否则不予接受。</w:t>
      </w:r>
      <w:r>
        <w:rPr>
          <w:rFonts w:ascii="宋体" w:hAnsi="宋体"/>
          <w:color w:val="auto"/>
          <w:sz w:val="24"/>
          <w:highlight w:val="none"/>
          <w:lang w:val="zh-CN"/>
        </w:rPr>
        <w:t xml:space="preserve"> </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④谈判小组根据各响应人的最</w:t>
      </w:r>
      <w:r>
        <w:rPr>
          <w:rFonts w:hint="eastAsia" w:ascii="宋体" w:hAnsi="宋体"/>
          <w:color w:val="auto"/>
          <w:sz w:val="24"/>
          <w:highlight w:val="none"/>
          <w:lang w:val="zh-CN"/>
        </w:rPr>
        <w:t>终</w:t>
      </w:r>
      <w:r>
        <w:rPr>
          <w:rFonts w:ascii="宋体" w:hAnsi="宋体"/>
          <w:color w:val="auto"/>
          <w:sz w:val="24"/>
          <w:highlight w:val="none"/>
          <w:lang w:val="zh-CN"/>
        </w:rPr>
        <w:t>报价按从高到低顺序</w:t>
      </w:r>
      <w:r>
        <w:rPr>
          <w:rFonts w:hint="eastAsia" w:ascii="宋体" w:hAnsi="宋体"/>
          <w:color w:val="auto"/>
          <w:sz w:val="24"/>
          <w:highlight w:val="none"/>
          <w:lang w:val="zh-CN"/>
        </w:rPr>
        <w:t>进行排序</w:t>
      </w:r>
      <w:r>
        <w:rPr>
          <w:rFonts w:ascii="宋体" w:hAnsi="宋体"/>
          <w:color w:val="auto"/>
          <w:sz w:val="24"/>
          <w:highlight w:val="none"/>
          <w:lang w:val="zh-CN"/>
        </w:rPr>
        <w:t>。如有响应人最终报价相同，则按注册资金从多到少排序，如注册资金相同，则以随机抽取方式确定（先抽取到的响应人排前）。</w:t>
      </w:r>
    </w:p>
    <w:p>
      <w:pPr>
        <w:autoSpaceDE w:val="0"/>
        <w:autoSpaceDN w:val="0"/>
        <w:adjustRightInd w:val="0"/>
        <w:spacing w:line="360" w:lineRule="auto"/>
        <w:ind w:left="1" w:firstLine="422" w:firstLineChars="176"/>
        <w:rPr>
          <w:rFonts w:ascii="宋体" w:hAnsi="宋体"/>
          <w:color w:val="auto"/>
          <w:sz w:val="24"/>
          <w:highlight w:val="none"/>
          <w:lang w:val="zh-CN"/>
        </w:rPr>
      </w:pPr>
      <w:r>
        <w:rPr>
          <w:rFonts w:ascii="宋体" w:hAnsi="宋体"/>
          <w:color w:val="auto"/>
          <w:sz w:val="24"/>
          <w:highlight w:val="none"/>
          <w:lang w:val="zh-CN"/>
        </w:rPr>
        <w:t>⑤谈判小组按</w:t>
      </w:r>
      <w:r>
        <w:rPr>
          <w:rFonts w:hint="eastAsia" w:ascii="宋体" w:hAnsi="宋体"/>
          <w:color w:val="auto"/>
          <w:sz w:val="24"/>
          <w:highlight w:val="none"/>
          <w:lang w:val="zh-CN"/>
        </w:rPr>
        <w:t>上述排序分别与</w:t>
      </w:r>
      <w:r>
        <w:rPr>
          <w:rFonts w:ascii="宋体" w:hAnsi="宋体"/>
          <w:color w:val="auto"/>
          <w:sz w:val="24"/>
          <w:highlight w:val="none"/>
          <w:lang w:val="zh-CN"/>
        </w:rPr>
        <w:t>各响应人</w:t>
      </w:r>
      <w:r>
        <w:rPr>
          <w:rFonts w:hint="eastAsia" w:ascii="宋体" w:hAnsi="宋体"/>
          <w:color w:val="auto"/>
          <w:sz w:val="24"/>
          <w:highlight w:val="none"/>
          <w:lang w:val="zh-CN"/>
        </w:rPr>
        <w:t>进行价格谈判，依次推荐最终</w:t>
      </w:r>
      <w:r>
        <w:rPr>
          <w:rFonts w:ascii="宋体" w:hAnsi="宋体"/>
          <w:color w:val="auto"/>
          <w:sz w:val="24"/>
          <w:highlight w:val="none"/>
          <w:lang w:val="zh-CN"/>
        </w:rPr>
        <w:t>报价最高且</w:t>
      </w:r>
      <w:r>
        <w:rPr>
          <w:rFonts w:hint="eastAsia" w:ascii="宋体" w:hAnsi="宋体"/>
          <w:color w:val="auto"/>
          <w:sz w:val="24"/>
          <w:highlight w:val="none"/>
          <w:lang w:val="zh-CN"/>
        </w:rPr>
        <w:t>不低于</w:t>
      </w:r>
      <w:r>
        <w:rPr>
          <w:rFonts w:ascii="宋体" w:hAnsi="宋体"/>
          <w:color w:val="auto"/>
          <w:sz w:val="24"/>
          <w:highlight w:val="none"/>
          <w:lang w:val="zh-CN"/>
        </w:rPr>
        <w:t>发包人设定的</w:t>
      </w:r>
      <w:r>
        <w:rPr>
          <w:rFonts w:hint="eastAsia" w:ascii="宋体" w:hAnsi="宋体"/>
          <w:color w:val="auto"/>
          <w:sz w:val="24"/>
          <w:highlight w:val="none"/>
          <w:lang w:val="zh-CN"/>
        </w:rPr>
        <w:t>标底</w:t>
      </w:r>
      <w:r>
        <w:rPr>
          <w:rFonts w:ascii="宋体" w:hAnsi="宋体"/>
          <w:color w:val="auto"/>
          <w:sz w:val="24"/>
          <w:highlight w:val="none"/>
          <w:lang w:val="zh-CN"/>
        </w:rPr>
        <w:t>的前三名响应人为第一、第二、第三</w:t>
      </w:r>
      <w:r>
        <w:rPr>
          <w:rFonts w:hint="eastAsia" w:ascii="宋体" w:hAnsi="宋体"/>
          <w:color w:val="auto"/>
          <w:sz w:val="24"/>
          <w:highlight w:val="none"/>
          <w:lang w:val="zh-CN"/>
        </w:rPr>
        <w:t>成交候选人；若最终报价不低于</w:t>
      </w:r>
      <w:r>
        <w:rPr>
          <w:rFonts w:ascii="宋体" w:hAnsi="宋体"/>
          <w:color w:val="auto"/>
          <w:sz w:val="24"/>
          <w:highlight w:val="none"/>
          <w:lang w:val="zh-CN"/>
        </w:rPr>
        <w:t>发包人设定的</w:t>
      </w:r>
      <w:r>
        <w:rPr>
          <w:rFonts w:hint="eastAsia" w:ascii="宋体" w:hAnsi="宋体"/>
          <w:color w:val="auto"/>
          <w:sz w:val="24"/>
          <w:highlight w:val="none"/>
          <w:lang w:val="zh-CN"/>
        </w:rPr>
        <w:t>标底</w:t>
      </w:r>
      <w:r>
        <w:rPr>
          <w:rFonts w:ascii="宋体" w:hAnsi="宋体"/>
          <w:color w:val="auto"/>
          <w:sz w:val="24"/>
          <w:highlight w:val="none"/>
          <w:lang w:val="zh-CN"/>
        </w:rPr>
        <w:t>的响应单位不足三家时，</w:t>
      </w:r>
      <w:r>
        <w:rPr>
          <w:rFonts w:hint="eastAsia" w:ascii="宋体" w:hAnsi="宋体"/>
          <w:color w:val="auto"/>
          <w:sz w:val="24"/>
          <w:highlight w:val="none"/>
          <w:lang w:val="zh-CN"/>
        </w:rPr>
        <w:t>选按上述排序推荐不低于发包人标底的为成交候选人，再按上述排序与其余各响应人进行价格谈判，最先接受发包人标底的，推荐为交候选人，直到推荐三名成交候选人为止；若所有响应人的最终报价都低于发包人标底且都不接受标底，则招标失败，招标人调整招标条件后重新招标。</w:t>
      </w:r>
    </w:p>
    <w:p>
      <w:pPr>
        <w:autoSpaceDE w:val="0"/>
        <w:autoSpaceDN w:val="0"/>
        <w:adjustRightInd w:val="0"/>
        <w:spacing w:line="360" w:lineRule="auto"/>
        <w:ind w:left="2" w:firstLine="422" w:firstLineChars="176"/>
        <w:rPr>
          <w:rFonts w:ascii="宋体" w:hAnsi="宋体"/>
          <w:color w:val="auto"/>
          <w:sz w:val="24"/>
          <w:highlight w:val="none"/>
          <w:lang w:val="zh-CN"/>
        </w:rPr>
      </w:pPr>
      <w:r>
        <w:rPr>
          <w:rFonts w:ascii="宋体" w:hAnsi="宋体"/>
          <w:color w:val="auto"/>
          <w:sz w:val="24"/>
          <w:highlight w:val="none"/>
          <w:lang w:val="zh-CN"/>
        </w:rPr>
        <w:t>⑥谈判小组根据谈判结果完成评审报告。发包人没有义务向没有获得合同谈判资格的响应人解释理由。</w:t>
      </w:r>
    </w:p>
    <w:p>
      <w:pPr>
        <w:autoSpaceDE w:val="0"/>
        <w:autoSpaceDN w:val="0"/>
        <w:adjustRightInd w:val="0"/>
        <w:spacing w:line="360" w:lineRule="auto"/>
        <w:ind w:left="2" w:firstLine="422" w:firstLineChars="176"/>
        <w:rPr>
          <w:rFonts w:ascii="宋体" w:hAnsi="宋体"/>
          <w:color w:val="auto"/>
          <w:sz w:val="24"/>
          <w:highlight w:val="none"/>
          <w:lang w:val="zh-CN"/>
        </w:rPr>
      </w:pPr>
      <w:r>
        <w:rPr>
          <w:rFonts w:ascii="宋体" w:hAnsi="宋体"/>
          <w:color w:val="auto"/>
          <w:sz w:val="24"/>
          <w:highlight w:val="none"/>
          <w:lang w:val="zh-CN"/>
        </w:rPr>
        <w:t>⑦发包人有权拒绝任何或全部响应文件，对由此造成对响应人的影响不负任何责任，同时对此不做任何解释。</w:t>
      </w:r>
    </w:p>
    <w:p>
      <w:pPr>
        <w:pStyle w:val="3"/>
        <w:keepNext w:val="0"/>
        <w:keepLines w:val="0"/>
        <w:widowControl w:val="0"/>
        <w:spacing w:before="0" w:after="0" w:line="360" w:lineRule="auto"/>
        <w:ind w:firstLine="480" w:firstLineChars="200"/>
        <w:rPr>
          <w:rFonts w:ascii="宋体" w:hAnsi="宋体" w:eastAsia="宋体"/>
          <w:b w:val="0"/>
          <w:color w:val="auto"/>
          <w:sz w:val="24"/>
          <w:szCs w:val="24"/>
          <w:highlight w:val="none"/>
          <w:lang w:val="zh-CN"/>
        </w:rPr>
      </w:pPr>
      <w:r>
        <w:rPr>
          <w:rFonts w:hint="eastAsia" w:ascii="宋体" w:hAnsi="宋体" w:eastAsia="宋体"/>
          <w:b w:val="0"/>
          <w:color w:val="auto"/>
          <w:sz w:val="24"/>
          <w:szCs w:val="24"/>
          <w:highlight w:val="none"/>
          <w:lang w:val="zh-CN"/>
        </w:rPr>
        <w:t>四、谈判结果公告</w:t>
      </w:r>
    </w:p>
    <w:p>
      <w:pPr>
        <w:adjustRightInd w:val="0"/>
        <w:spacing w:line="360" w:lineRule="auto"/>
        <w:ind w:firstLine="480" w:firstLineChars="200"/>
        <w:rPr>
          <w:rFonts w:ascii="宋体" w:hAnsi="宋体"/>
          <w:color w:val="auto"/>
          <w:sz w:val="24"/>
          <w:highlight w:val="none"/>
        </w:rPr>
      </w:pPr>
      <w:r>
        <w:rPr>
          <w:rFonts w:hint="eastAsia" w:ascii="宋体" w:hAnsi="宋体" w:cs="仿宋_GB2312"/>
          <w:color w:val="auto"/>
          <w:sz w:val="24"/>
          <w:highlight w:val="none"/>
          <w:lang w:val="zh-CN"/>
        </w:rPr>
        <w:t>本项目的公开竞争性谈判结果将在如下网址公布：</w:t>
      </w:r>
    </w:p>
    <w:p>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佛山市公共资源交易网（</w:t>
      </w:r>
      <w:r>
        <w:rPr>
          <w:rFonts w:ascii="宋体" w:hAnsi="宋体"/>
          <w:color w:val="auto"/>
          <w:sz w:val="24"/>
          <w:highlight w:val="none"/>
        </w:rPr>
        <w:t>http://www.fsggzy.cn/）</w:t>
      </w:r>
    </w:p>
    <w:p>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中国采购与招标网（</w:t>
      </w:r>
      <w:r>
        <w:rPr>
          <w:rFonts w:ascii="宋体" w:hAnsi="宋体"/>
          <w:color w:val="auto"/>
          <w:sz w:val="24"/>
          <w:highlight w:val="none"/>
        </w:rPr>
        <w:t>https://www.chinabidding.com.cn/index.html）</w:t>
      </w:r>
    </w:p>
    <w:p>
      <w:pPr>
        <w:autoSpaceDE w:val="0"/>
        <w:autoSpaceDN w:val="0"/>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招标代理机构网站（</w:t>
      </w:r>
      <w:r>
        <w:rPr>
          <w:rFonts w:ascii="宋体" w:hAnsi="宋体"/>
          <w:color w:val="auto"/>
          <w:sz w:val="24"/>
          <w:highlight w:val="none"/>
        </w:rPr>
        <w:t>http://www.gdzczb.com/）</w:t>
      </w:r>
      <w:r>
        <w:rPr>
          <w:rFonts w:hint="eastAsia" w:ascii="宋体" w:hAnsi="宋体"/>
          <w:color w:val="auto"/>
          <w:sz w:val="24"/>
          <w:highlight w:val="none"/>
        </w:rPr>
        <w:t>。</w:t>
      </w:r>
    </w:p>
    <w:p>
      <w:pPr>
        <w:pStyle w:val="3"/>
        <w:keepNext w:val="0"/>
        <w:keepLines w:val="0"/>
        <w:widowControl w:val="0"/>
        <w:spacing w:before="0" w:after="0" w:line="360" w:lineRule="auto"/>
        <w:ind w:firstLine="480" w:firstLineChars="200"/>
        <w:rPr>
          <w:rFonts w:ascii="宋体" w:hAnsi="宋体" w:eastAsia="宋体"/>
          <w:b w:val="0"/>
          <w:color w:val="auto"/>
          <w:sz w:val="24"/>
          <w:szCs w:val="24"/>
          <w:highlight w:val="none"/>
          <w:lang w:val="zh-CN"/>
        </w:rPr>
      </w:pPr>
      <w:r>
        <w:rPr>
          <w:rFonts w:hint="eastAsia" w:ascii="宋体" w:hAnsi="宋体" w:eastAsia="宋体"/>
          <w:b w:val="0"/>
          <w:color w:val="auto"/>
          <w:sz w:val="24"/>
          <w:szCs w:val="24"/>
          <w:highlight w:val="none"/>
          <w:lang w:val="zh-CN"/>
        </w:rPr>
        <w:t>五、谈判结果通知及合同谈判</w:t>
      </w:r>
    </w:p>
    <w:p>
      <w:pPr>
        <w:autoSpaceDE w:val="0"/>
        <w:autoSpaceDN w:val="0"/>
        <w:adjustRightInd w:val="0"/>
        <w:spacing w:line="360" w:lineRule="auto"/>
        <w:ind w:left="2" w:firstLine="480" w:firstLineChars="200"/>
        <w:rPr>
          <w:rFonts w:ascii="宋体" w:hAnsi="宋体"/>
          <w:color w:val="auto"/>
          <w:sz w:val="24"/>
          <w:highlight w:val="none"/>
        </w:rPr>
      </w:pPr>
      <w:r>
        <w:rPr>
          <w:rFonts w:hint="eastAsia" w:ascii="宋体" w:hAnsi="宋体" w:cs="仿宋_GB2312"/>
          <w:color w:val="auto"/>
          <w:sz w:val="24"/>
          <w:highlight w:val="none"/>
          <w:lang w:val="zh-CN"/>
        </w:rPr>
        <w:t>招标代理机构将于谈判结果公示结束后，向被确认为本项目成交候选人发出《公开竞争性谈判结果通知书》，成交候选人在收到《公开竞争性谈判结果通知书》后5个工作日内必须按公开竞争性谈判时相关约定与发包人进行合同谈判并签订合同。</w:t>
      </w:r>
      <w:r>
        <w:rPr>
          <w:rFonts w:ascii="宋体" w:hAnsi="宋体"/>
          <w:color w:val="auto"/>
          <w:sz w:val="24"/>
          <w:highlight w:val="none"/>
          <w:lang w:val="zh-CN"/>
        </w:rPr>
        <w:t>否则，发包人有权选择另一</w:t>
      </w:r>
      <w:r>
        <w:rPr>
          <w:rFonts w:hint="eastAsia" w:ascii="宋体" w:hAnsi="宋体"/>
          <w:color w:val="auto"/>
          <w:sz w:val="24"/>
          <w:highlight w:val="none"/>
          <w:lang w:val="zh-CN"/>
        </w:rPr>
        <w:t>成</w:t>
      </w:r>
      <w:r>
        <w:rPr>
          <w:rFonts w:ascii="宋体" w:hAnsi="宋体"/>
          <w:color w:val="auto"/>
          <w:sz w:val="24"/>
          <w:highlight w:val="none"/>
          <w:lang w:val="zh-CN"/>
        </w:rPr>
        <w:t>交候选人进行合同谈判。</w:t>
      </w:r>
      <w:r>
        <w:rPr>
          <w:rFonts w:ascii="宋体" w:hAnsi="宋体"/>
          <w:color w:val="auto"/>
          <w:sz w:val="24"/>
          <w:highlight w:val="none"/>
        </w:rPr>
        <w:t>竞争性谈判结果有效期为两年</w:t>
      </w:r>
      <w:r>
        <w:rPr>
          <w:rFonts w:hint="eastAsia" w:ascii="宋体" w:hAnsi="宋体"/>
          <w:color w:val="auto"/>
          <w:sz w:val="24"/>
          <w:highlight w:val="none"/>
        </w:rPr>
        <w:t>（</w:t>
      </w:r>
      <w:r>
        <w:rPr>
          <w:rFonts w:ascii="宋体" w:hAnsi="宋体"/>
          <w:color w:val="auto"/>
          <w:sz w:val="24"/>
          <w:highlight w:val="none"/>
        </w:rPr>
        <w:t>20</w:t>
      </w:r>
      <w:r>
        <w:rPr>
          <w:rFonts w:hint="eastAsia" w:ascii="宋体" w:hAnsi="宋体"/>
          <w:color w:val="auto"/>
          <w:sz w:val="24"/>
          <w:highlight w:val="none"/>
        </w:rPr>
        <w:t>20</w:t>
      </w:r>
      <w:r>
        <w:rPr>
          <w:rFonts w:ascii="宋体" w:hAnsi="宋体"/>
          <w:color w:val="auto"/>
          <w:sz w:val="24"/>
          <w:highlight w:val="none"/>
        </w:rPr>
        <w:t>年1月1日至20</w:t>
      </w:r>
      <w:r>
        <w:rPr>
          <w:rFonts w:hint="eastAsia" w:ascii="宋体" w:hAnsi="宋体"/>
          <w:color w:val="auto"/>
          <w:sz w:val="24"/>
          <w:highlight w:val="none"/>
        </w:rPr>
        <w:t>21</w:t>
      </w:r>
      <w:r>
        <w:rPr>
          <w:rFonts w:ascii="宋体" w:hAnsi="宋体"/>
          <w:color w:val="auto"/>
          <w:sz w:val="24"/>
          <w:highlight w:val="none"/>
        </w:rPr>
        <w:t>年12月31日</w:t>
      </w:r>
      <w:r>
        <w:rPr>
          <w:rFonts w:hint="eastAsia" w:ascii="宋体" w:hAnsi="宋体"/>
          <w:color w:val="auto"/>
          <w:sz w:val="24"/>
          <w:highlight w:val="none"/>
          <w:lang w:val="zh-CN"/>
        </w:rPr>
        <w:t>）</w:t>
      </w:r>
      <w:bookmarkStart w:id="6" w:name="_Toc223777439"/>
      <w:bookmarkStart w:id="7" w:name="_Toc223777438"/>
      <w:r>
        <w:rPr>
          <w:rFonts w:hint="eastAsia" w:asciiTheme="minorEastAsia" w:hAnsiTheme="minorEastAsia" w:eastAsiaTheme="minorEastAsia"/>
          <w:color w:val="auto"/>
          <w:sz w:val="24"/>
          <w:highlight w:val="none"/>
        </w:rPr>
        <w:t>，2020年1月1月至2020年12月31日为首</w:t>
      </w:r>
      <w:r>
        <w:rPr>
          <w:rFonts w:asciiTheme="minorEastAsia" w:hAnsiTheme="minorEastAsia" w:eastAsiaTheme="minorEastAsia"/>
          <w:color w:val="auto"/>
          <w:sz w:val="24"/>
          <w:highlight w:val="none"/>
        </w:rPr>
        <w:t>个合同服务期，依次类推</w:t>
      </w:r>
      <w:r>
        <w:rPr>
          <w:rFonts w:hint="eastAsia" w:asciiTheme="minorEastAsia" w:hAnsiTheme="minorEastAsia" w:eastAsiaTheme="minorEastAsia"/>
          <w:color w:val="auto"/>
          <w:sz w:val="24"/>
          <w:highlight w:val="none"/>
        </w:rPr>
        <w:t>。</w:t>
      </w:r>
      <w:r>
        <w:rPr>
          <w:rFonts w:hint="eastAsia" w:cs="黑体" w:asciiTheme="minorEastAsia" w:hAnsiTheme="minorEastAsia" w:eastAsiaTheme="minorEastAsia"/>
          <w:color w:val="auto"/>
          <w:kern w:val="0"/>
          <w:sz w:val="24"/>
          <w:highlight w:val="none"/>
        </w:rPr>
        <w:t>首个合同服务期满前</w:t>
      </w:r>
      <w:r>
        <w:rPr>
          <w:rFonts w:cs="黑体" w:asciiTheme="minorEastAsia" w:hAnsiTheme="minorEastAsia" w:eastAsiaTheme="minorEastAsia"/>
          <w:color w:val="auto"/>
          <w:kern w:val="0"/>
          <w:sz w:val="24"/>
          <w:highlight w:val="none"/>
        </w:rPr>
        <w:t>3</w:t>
      </w:r>
      <w:r>
        <w:rPr>
          <w:rFonts w:hint="eastAsia" w:cs="黑体" w:asciiTheme="minorEastAsia" w:hAnsiTheme="minorEastAsia" w:eastAsiaTheme="minorEastAsia"/>
          <w:color w:val="auto"/>
          <w:kern w:val="0"/>
          <w:sz w:val="24"/>
          <w:highlight w:val="none"/>
        </w:rPr>
        <w:t>个月，由甲方组织对乙方进行</w:t>
      </w:r>
      <w:r>
        <w:rPr>
          <w:rFonts w:hint="eastAsia" w:asciiTheme="majorEastAsia" w:hAnsiTheme="majorEastAsia" w:eastAsiaTheme="majorEastAsia"/>
          <w:color w:val="auto"/>
          <w:sz w:val="24"/>
          <w:highlight w:val="none"/>
        </w:rPr>
        <w:t>合同执行情况评定</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若</w:t>
      </w:r>
      <w:r>
        <w:rPr>
          <w:rFonts w:hint="eastAsia" w:asciiTheme="majorEastAsia" w:hAnsiTheme="majorEastAsia" w:eastAsiaTheme="majorEastAsia"/>
          <w:color w:val="auto"/>
          <w:sz w:val="24"/>
          <w:highlight w:val="none"/>
        </w:rPr>
        <w:t>评定</w:t>
      </w:r>
      <w:r>
        <w:rPr>
          <w:rFonts w:hint="eastAsia" w:cs="黑体" w:asciiTheme="minorEastAsia" w:hAnsiTheme="minorEastAsia" w:eastAsiaTheme="minorEastAsia"/>
          <w:color w:val="auto"/>
          <w:kern w:val="0"/>
          <w:sz w:val="24"/>
          <w:highlight w:val="none"/>
        </w:rPr>
        <w:t>不合格</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甲方有权以书面通知的形式单方提出终止合同</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并不就此提前终止向乙方承担任何责任</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乙方亦同意不就此向甲方主张任何权利。若</w:t>
      </w:r>
      <w:r>
        <w:rPr>
          <w:rFonts w:hint="eastAsia" w:asciiTheme="majorEastAsia" w:hAnsiTheme="majorEastAsia" w:eastAsiaTheme="majorEastAsia"/>
          <w:color w:val="auto"/>
          <w:sz w:val="24"/>
          <w:highlight w:val="none"/>
        </w:rPr>
        <w:t>评定</w:t>
      </w:r>
      <w:r>
        <w:rPr>
          <w:rFonts w:hint="eastAsia" w:cs="黑体" w:asciiTheme="minorEastAsia" w:hAnsiTheme="minorEastAsia" w:eastAsiaTheme="minorEastAsia"/>
          <w:color w:val="auto"/>
          <w:kern w:val="0"/>
          <w:sz w:val="24"/>
          <w:highlight w:val="none"/>
        </w:rPr>
        <w:t>合格</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甲方应书面通知乙方</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乙方须按本合同条件执行下一个服务期限。</w:t>
      </w:r>
    </w:p>
    <w:p>
      <w:pPr>
        <w:autoSpaceDE w:val="0"/>
        <w:autoSpaceDN w:val="0"/>
        <w:adjustRightInd w:val="0"/>
        <w:spacing w:line="360" w:lineRule="auto"/>
        <w:ind w:firstLine="537" w:firstLineChars="224"/>
        <w:rPr>
          <w:rFonts w:ascii="宋体" w:hAnsi="宋体"/>
          <w:color w:val="auto"/>
          <w:sz w:val="24"/>
          <w:highlight w:val="none"/>
          <w:lang w:val="zh-CN"/>
        </w:rPr>
      </w:pPr>
    </w:p>
    <w:p>
      <w:pPr>
        <w:spacing w:line="360" w:lineRule="auto"/>
        <w:jc w:val="left"/>
        <w:rPr>
          <w:rFonts w:ascii="宋体" w:hAnsi="宋体"/>
          <w:color w:val="auto"/>
          <w:sz w:val="24"/>
          <w:highlight w:val="none"/>
          <w:lang w:val="zh-CN"/>
        </w:rPr>
      </w:pPr>
      <w:r>
        <w:rPr>
          <w:rFonts w:ascii="宋体" w:hAnsi="宋体"/>
          <w:color w:val="auto"/>
          <w:sz w:val="24"/>
          <w:highlight w:val="none"/>
          <w:lang w:val="zh-CN"/>
        </w:rPr>
        <w:br w:type="page"/>
      </w:r>
    </w:p>
    <w:p>
      <w:pPr>
        <w:autoSpaceDE w:val="0"/>
        <w:autoSpaceDN w:val="0"/>
        <w:adjustRightInd w:val="0"/>
        <w:spacing w:line="500" w:lineRule="exact"/>
        <w:rPr>
          <w:rFonts w:ascii="宋体" w:hAnsi="宋体"/>
          <w:color w:val="auto"/>
          <w:sz w:val="32"/>
          <w:highlight w:val="none"/>
          <w:lang w:val="zh-CN"/>
        </w:rPr>
      </w:pPr>
      <w:r>
        <w:rPr>
          <w:rFonts w:ascii="宋体" w:hAnsi="宋体"/>
          <w:color w:val="auto"/>
          <w:sz w:val="24"/>
          <w:highlight w:val="none"/>
          <w:lang w:val="zh-CN"/>
        </w:rPr>
        <w:t>附件</w:t>
      </w:r>
      <w:r>
        <w:rPr>
          <w:rFonts w:ascii="宋体" w:hAnsi="宋体"/>
          <w:color w:val="auto"/>
          <w:sz w:val="24"/>
          <w:highlight w:val="none"/>
        </w:rPr>
        <w:t>1</w:t>
      </w:r>
      <w:bookmarkEnd w:id="6"/>
      <w:bookmarkEnd w:id="7"/>
    </w:p>
    <w:p>
      <w:pPr>
        <w:pStyle w:val="2"/>
        <w:keepNext w:val="0"/>
        <w:keepLines w:val="0"/>
        <w:ind w:firstLine="0" w:firstLineChars="0"/>
        <w:jc w:val="center"/>
        <w:rPr>
          <w:rFonts w:ascii="宋体" w:hAnsi="宋体" w:eastAsia="宋体"/>
          <w:color w:val="auto"/>
          <w:sz w:val="30"/>
          <w:szCs w:val="30"/>
          <w:highlight w:val="none"/>
        </w:rPr>
      </w:pPr>
      <w:bookmarkStart w:id="8" w:name="_Toc223777440"/>
      <w:r>
        <w:rPr>
          <w:rFonts w:hint="eastAsia" w:ascii="宋体" w:hAnsi="宋体" w:eastAsia="宋体"/>
          <w:color w:val="auto"/>
          <w:sz w:val="30"/>
          <w:szCs w:val="30"/>
          <w:highlight w:val="none"/>
        </w:rPr>
        <w:t>响应人关于竞争性谈判资格的声明函</w:t>
      </w:r>
      <w:bookmarkEnd w:id="8"/>
    </w:p>
    <w:p>
      <w:pPr>
        <w:autoSpaceDE w:val="0"/>
        <w:autoSpaceDN w:val="0"/>
        <w:adjustRightInd w:val="0"/>
        <w:spacing w:afterLines="50" w:line="360" w:lineRule="auto"/>
        <w:ind w:left="2410" w:hanging="2409" w:hangingChars="1004"/>
        <w:rPr>
          <w:rFonts w:ascii="宋体" w:hAnsi="宋体"/>
          <w:color w:val="auto"/>
          <w:sz w:val="24"/>
          <w:highlight w:val="none"/>
          <w:lang w:val="zh-CN"/>
        </w:rPr>
      </w:pPr>
      <w:r>
        <w:rPr>
          <w:rFonts w:ascii="宋体" w:hAnsi="宋体"/>
          <w:color w:val="auto"/>
          <w:sz w:val="24"/>
          <w:highlight w:val="none"/>
          <w:lang w:val="zh-CN"/>
        </w:rPr>
        <w:t>竞争性谈判项目名称：佛山市恒益环保建材有限公司</w:t>
      </w:r>
      <w:r>
        <w:rPr>
          <w:rFonts w:ascii="宋体" w:hAnsi="宋体"/>
          <w:color w:val="auto"/>
          <w:sz w:val="24"/>
          <w:highlight w:val="none"/>
        </w:rPr>
        <w:t>脱硫石膏销售项目</w:t>
      </w:r>
    </w:p>
    <w:p>
      <w:pPr>
        <w:autoSpaceDE w:val="0"/>
        <w:autoSpaceDN w:val="0"/>
        <w:adjustRightInd w:val="0"/>
        <w:spacing w:afterLines="50" w:line="360" w:lineRule="auto"/>
        <w:ind w:left="2410" w:hanging="2409" w:hangingChars="1004"/>
        <w:rPr>
          <w:rFonts w:ascii="宋体" w:hAnsi="宋体"/>
          <w:color w:val="auto"/>
          <w:sz w:val="24"/>
          <w:highlight w:val="none"/>
          <w:lang w:val="zh-CN"/>
        </w:rPr>
      </w:pPr>
      <w:r>
        <w:rPr>
          <w:rFonts w:ascii="宋体" w:hAnsi="宋体"/>
          <w:color w:val="auto"/>
          <w:sz w:val="24"/>
          <w:highlight w:val="none"/>
          <w:lang w:val="zh-CN"/>
        </w:rPr>
        <w:t>日期：      年 　月 　日</w:t>
      </w:r>
    </w:p>
    <w:p>
      <w:pPr>
        <w:autoSpaceDE w:val="0"/>
        <w:autoSpaceDN w:val="0"/>
        <w:adjustRightInd w:val="0"/>
        <w:spacing w:line="500" w:lineRule="exact"/>
        <w:rPr>
          <w:rFonts w:ascii="宋体" w:hAnsi="宋体"/>
          <w:color w:val="auto"/>
          <w:sz w:val="24"/>
          <w:highlight w:val="none"/>
          <w:lang w:val="zh-CN"/>
        </w:rPr>
      </w:pPr>
    </w:p>
    <w:p>
      <w:pPr>
        <w:autoSpaceDE w:val="0"/>
        <w:autoSpaceDN w:val="0"/>
        <w:adjustRightInd w:val="0"/>
        <w:spacing w:line="360" w:lineRule="auto"/>
        <w:rPr>
          <w:rFonts w:ascii="宋体" w:hAnsi="宋体"/>
          <w:color w:val="auto"/>
          <w:sz w:val="24"/>
          <w:highlight w:val="none"/>
          <w:lang w:val="zh-CN"/>
        </w:rPr>
      </w:pPr>
      <w:r>
        <w:rPr>
          <w:rFonts w:ascii="宋体" w:hAnsi="宋体"/>
          <w:color w:val="auto"/>
          <w:sz w:val="24"/>
          <w:highlight w:val="none"/>
          <w:lang w:val="zh-CN"/>
        </w:rPr>
        <w:t>致：佛山市恒益环保建材有限公司</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我公司愿意针对上述项目进行竞争性谈判报价。响应文件中所有关于响应人资格的文件、证明、陈述均是真实的、准确的，若有违背，我公司承担由此而产生的一切后果。</w:t>
      </w:r>
    </w:p>
    <w:p>
      <w:pPr>
        <w:autoSpaceDE w:val="0"/>
        <w:autoSpaceDN w:val="0"/>
        <w:adjustRightInd w:val="0"/>
        <w:spacing w:line="360" w:lineRule="auto"/>
        <w:ind w:firstLine="480" w:firstLineChars="200"/>
        <w:rPr>
          <w:rFonts w:ascii="宋体" w:hAnsi="宋体"/>
          <w:color w:val="auto"/>
          <w:sz w:val="24"/>
          <w:highlight w:val="none"/>
          <w:lang w:val="zh-CN"/>
        </w:rPr>
      </w:pPr>
      <w:r>
        <w:rPr>
          <w:rFonts w:ascii="宋体" w:hAnsi="宋体"/>
          <w:color w:val="auto"/>
          <w:sz w:val="24"/>
          <w:highlight w:val="none"/>
          <w:lang w:val="zh-CN"/>
        </w:rPr>
        <w:t>特此声明！</w:t>
      </w:r>
    </w:p>
    <w:p>
      <w:pPr>
        <w:autoSpaceDE w:val="0"/>
        <w:autoSpaceDN w:val="0"/>
        <w:adjustRightInd w:val="0"/>
        <w:spacing w:line="500" w:lineRule="exact"/>
        <w:rPr>
          <w:rFonts w:ascii="宋体" w:hAnsi="宋体"/>
          <w:b/>
          <w:color w:val="auto"/>
          <w:sz w:val="24"/>
          <w:highlight w:val="none"/>
          <w:lang w:val="zh-CN"/>
        </w:rPr>
      </w:pPr>
    </w:p>
    <w:p>
      <w:pPr>
        <w:autoSpaceDE w:val="0"/>
        <w:autoSpaceDN w:val="0"/>
        <w:adjustRightInd w:val="0"/>
        <w:spacing w:line="500" w:lineRule="exact"/>
        <w:ind w:left="480"/>
        <w:rPr>
          <w:rFonts w:ascii="宋体" w:hAnsi="宋体"/>
          <w:b/>
          <w:color w:val="auto"/>
          <w:sz w:val="24"/>
          <w:highlight w:val="none"/>
          <w:lang w:val="zh-CN"/>
        </w:rPr>
      </w:pPr>
    </w:p>
    <w:p>
      <w:pPr>
        <w:autoSpaceDE w:val="0"/>
        <w:autoSpaceDN w:val="0"/>
        <w:adjustRightInd w:val="0"/>
        <w:spacing w:line="500" w:lineRule="exact"/>
        <w:ind w:left="480"/>
        <w:rPr>
          <w:rFonts w:ascii="宋体" w:hAnsi="宋体"/>
          <w:b/>
          <w:color w:val="auto"/>
          <w:sz w:val="24"/>
          <w:highlight w:val="none"/>
          <w:lang w:val="zh-CN"/>
        </w:rPr>
      </w:pPr>
    </w:p>
    <w:p>
      <w:pPr>
        <w:autoSpaceDE w:val="0"/>
        <w:autoSpaceDN w:val="0"/>
        <w:adjustRightInd w:val="0"/>
        <w:spacing w:line="500" w:lineRule="exact"/>
        <w:ind w:left="480"/>
        <w:rPr>
          <w:rFonts w:ascii="宋体" w:hAnsi="宋体"/>
          <w:color w:val="auto"/>
          <w:sz w:val="24"/>
          <w:highlight w:val="none"/>
          <w:u w:val="single"/>
          <w:lang w:val="zh-CN"/>
        </w:rPr>
      </w:pPr>
      <w:r>
        <w:rPr>
          <w:rFonts w:ascii="宋体" w:hAnsi="宋体"/>
          <w:color w:val="auto"/>
          <w:sz w:val="24"/>
          <w:highlight w:val="none"/>
          <w:lang w:val="zh-CN"/>
        </w:rPr>
        <w:t>法定代表人或被授权人签字：</w:t>
      </w:r>
    </w:p>
    <w:p>
      <w:pPr>
        <w:autoSpaceDE w:val="0"/>
        <w:autoSpaceDN w:val="0"/>
        <w:adjustRightInd w:val="0"/>
        <w:spacing w:line="500" w:lineRule="exact"/>
        <w:ind w:left="480"/>
        <w:rPr>
          <w:rFonts w:ascii="宋体" w:hAnsi="宋体"/>
          <w:color w:val="auto"/>
          <w:sz w:val="24"/>
          <w:highlight w:val="none"/>
          <w:lang w:val="zh-CN"/>
        </w:rPr>
      </w:pPr>
    </w:p>
    <w:p>
      <w:pPr>
        <w:autoSpaceDE w:val="0"/>
        <w:autoSpaceDN w:val="0"/>
        <w:adjustRightInd w:val="0"/>
        <w:spacing w:line="500" w:lineRule="exact"/>
        <w:ind w:left="480"/>
        <w:rPr>
          <w:rFonts w:ascii="宋体" w:hAnsi="宋体"/>
          <w:color w:val="auto"/>
          <w:sz w:val="24"/>
          <w:highlight w:val="none"/>
        </w:rPr>
      </w:pPr>
      <w:r>
        <w:rPr>
          <w:rFonts w:ascii="宋体" w:hAnsi="宋体"/>
          <w:color w:val="auto"/>
          <w:sz w:val="24"/>
          <w:highlight w:val="none"/>
          <w:lang w:val="zh-CN"/>
        </w:rPr>
        <w:t>响应人公章：</w:t>
      </w:r>
    </w:p>
    <w:p>
      <w:pPr>
        <w:pStyle w:val="3"/>
        <w:keepNext w:val="0"/>
        <w:keepLines w:val="0"/>
        <w:widowControl w:val="0"/>
        <w:rPr>
          <w:rFonts w:ascii="宋体" w:hAnsi="宋体" w:eastAsia="宋体"/>
          <w:b w:val="0"/>
          <w:color w:val="auto"/>
          <w:sz w:val="24"/>
          <w:szCs w:val="24"/>
          <w:highlight w:val="none"/>
        </w:rPr>
      </w:pPr>
      <w:r>
        <w:rPr>
          <w:rFonts w:ascii="宋体" w:hAnsi="宋体" w:eastAsia="宋体"/>
          <w:color w:val="auto"/>
          <w:sz w:val="24"/>
          <w:szCs w:val="24"/>
          <w:highlight w:val="none"/>
        </w:rPr>
        <w:br w:type="page"/>
      </w:r>
      <w:bookmarkStart w:id="9" w:name="_Toc223777441"/>
      <w:r>
        <w:rPr>
          <w:rFonts w:ascii="宋体" w:hAnsi="宋体" w:eastAsia="宋体"/>
          <w:b w:val="0"/>
          <w:color w:val="auto"/>
          <w:sz w:val="24"/>
          <w:szCs w:val="24"/>
          <w:highlight w:val="none"/>
          <w:lang w:val="zh-CN"/>
        </w:rPr>
        <w:t>附件</w:t>
      </w:r>
      <w:r>
        <w:rPr>
          <w:rFonts w:ascii="宋体" w:hAnsi="宋体" w:eastAsia="宋体"/>
          <w:b w:val="0"/>
          <w:color w:val="auto"/>
          <w:sz w:val="24"/>
          <w:szCs w:val="24"/>
          <w:highlight w:val="none"/>
        </w:rPr>
        <w:t>2</w:t>
      </w:r>
      <w:bookmarkEnd w:id="9"/>
    </w:p>
    <w:p>
      <w:pPr>
        <w:spacing w:line="400" w:lineRule="exact"/>
        <w:jc w:val="center"/>
        <w:rPr>
          <w:rFonts w:ascii="宋体" w:hAnsi="宋体"/>
          <w:color w:val="auto"/>
          <w:sz w:val="32"/>
          <w:szCs w:val="32"/>
          <w:highlight w:val="none"/>
        </w:rPr>
      </w:pPr>
      <w:bookmarkStart w:id="10" w:name="_Toc223777442"/>
      <w:r>
        <w:rPr>
          <w:rFonts w:hint="eastAsia" w:ascii="宋体" w:hAnsi="宋体"/>
          <w:color w:val="auto"/>
          <w:sz w:val="32"/>
          <w:szCs w:val="32"/>
          <w:highlight w:val="none"/>
        </w:rPr>
        <w:t>响应人法定代表人证明书</w:t>
      </w:r>
    </w:p>
    <w:p>
      <w:pPr>
        <w:pStyle w:val="15"/>
        <w:rPr>
          <w:rFonts w:hAnsi="宋体"/>
          <w:color w:val="auto"/>
          <w:highlight w:val="none"/>
        </w:rPr>
      </w:pPr>
    </w:p>
    <w:p>
      <w:pPr>
        <w:pStyle w:val="15"/>
        <w:rPr>
          <w:rFonts w:hint="eastAsia" w:hAnsi="宋体" w:eastAsia="宋体"/>
          <w:color w:val="auto"/>
          <w:highlight w:val="none"/>
          <w:lang w:eastAsia="zh-CN"/>
        </w:rPr>
      </w:pPr>
      <w:r>
        <w:rPr>
          <w:rFonts w:hint="eastAsia" w:hAnsi="宋体" w:cs="仿宋_GB2312"/>
          <w:color w:val="auto"/>
          <w:sz w:val="24"/>
          <w:szCs w:val="24"/>
          <w:highlight w:val="none"/>
          <w:lang w:val="zh-CN"/>
        </w:rPr>
        <w:t xml:space="preserve">项目名称：佛山市恒益环保建材有限公司粉煤灰销售项目  </w:t>
      </w:r>
      <w:r>
        <w:rPr>
          <w:rFonts w:hint="eastAsia" w:hAnsi="宋体"/>
          <w:color w:val="auto"/>
          <w:highlight w:val="none"/>
        </w:rPr>
        <w:t xml:space="preserve">          </w:t>
      </w:r>
      <w:r>
        <w:rPr>
          <w:rFonts w:hint="eastAsia" w:hAnsi="宋体"/>
          <w:color w:val="auto"/>
          <w:highlight w:val="none"/>
          <w:lang w:val="en-US" w:eastAsia="zh-CN"/>
        </w:rPr>
        <w:t xml:space="preserve"> </w:t>
      </w:r>
    </w:p>
    <w:p>
      <w:pPr>
        <w:spacing w:line="400" w:lineRule="exact"/>
        <w:jc w:val="center"/>
        <w:rPr>
          <w:rFonts w:ascii="宋体" w:hAnsi="宋体"/>
          <w:color w:val="auto"/>
          <w:sz w:val="32"/>
          <w:szCs w:val="32"/>
          <w:highlight w:val="none"/>
        </w:rPr>
      </w:pPr>
    </w:p>
    <w:p>
      <w:pPr>
        <w:spacing w:line="360" w:lineRule="auto"/>
        <w:jc w:val="center"/>
        <w:rPr>
          <w:rFonts w:ascii="宋体" w:hAnsi="宋体"/>
          <w:color w:val="auto"/>
          <w:sz w:val="24"/>
          <w:highlight w:val="none"/>
        </w:rPr>
      </w:pPr>
      <w: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90170</wp:posOffset>
                </wp:positionV>
                <wp:extent cx="5486400" cy="2773680"/>
                <wp:effectExtent l="4445" t="5080" r="14605" b="21590"/>
                <wp:wrapNone/>
                <wp:docPr id="7" name="Text Box 4"/>
                <wp:cNvGraphicFramePr/>
                <a:graphic xmlns:a="http://schemas.openxmlformats.org/drawingml/2006/main">
                  <a:graphicData uri="http://schemas.microsoft.com/office/word/2010/wordprocessingShape">
                    <wps:wsp>
                      <wps:cNvSpPr txBox="1"/>
                      <wps:spPr>
                        <a:xfrm>
                          <a:off x="0" y="0"/>
                          <a:ext cx="5486315"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50"/>
                              <w:rPr>
                                <w:rFonts w:ascii="宋体" w:hAnsi="宋体"/>
                                <w:sz w:val="24"/>
                              </w:rPr>
                            </w:pPr>
                            <w:r>
                              <w:rPr>
                                <w:rFonts w:hint="eastAsia"/>
                                <w:sz w:val="28"/>
                                <w:szCs w:val="28"/>
                              </w:rPr>
                              <w:t>　　</w:t>
                            </w: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w:t>
                            </w:r>
                          </w:p>
                          <w:p>
                            <w:pPr>
                              <w:snapToGrid w:val="0"/>
                              <w:spacing w:before="120" w:line="480" w:lineRule="atLeast"/>
                              <w:rPr>
                                <w:rFonts w:ascii="宋体" w:hAnsi="宋体"/>
                                <w:sz w:val="24"/>
                              </w:rPr>
                            </w:pPr>
                            <w:r>
                              <w:rPr>
                                <w:rFonts w:hint="eastAsia" w:ascii="宋体" w:hAnsi="宋体"/>
                                <w:sz w:val="24"/>
                              </w:rPr>
                              <w:t>特此证明。</w:t>
                            </w:r>
                          </w:p>
                          <w:p>
                            <w:pPr>
                              <w:snapToGrid w:val="0"/>
                              <w:spacing w:before="120" w:line="480" w:lineRule="atLeast"/>
                              <w:rPr>
                                <w:rFonts w:ascii="宋体" w:hAnsi="宋体"/>
                                <w:sz w:val="24"/>
                                <w:u w:val="single"/>
                              </w:rPr>
                            </w:pPr>
                            <w:r>
                              <w:rPr>
                                <w:rFonts w:hint="eastAsia" w:ascii="宋体" w:hAnsi="宋体"/>
                                <w:sz w:val="24"/>
                              </w:rPr>
                              <w:t>有效期限：</w:t>
                            </w:r>
                            <w:r>
                              <w:rPr>
                                <w:rFonts w:hint="eastAsia" w:ascii="宋体" w:hAnsi="宋体"/>
                                <w:sz w:val="24"/>
                                <w:u w:val="single"/>
                              </w:rPr>
                              <w:t xml:space="preserve">                                </w:t>
                            </w:r>
                            <w:r>
                              <w:rPr>
                                <w:rFonts w:hint="eastAsia" w:ascii="宋体" w:hAnsi="宋体"/>
                                <w:sz w:val="24"/>
                              </w:rPr>
                              <w:t xml:space="preserve">  </w:t>
                            </w:r>
                          </w:p>
                          <w:p>
                            <w:pPr>
                              <w:snapToGrid w:val="0"/>
                              <w:spacing w:before="120" w:line="480" w:lineRule="atLeast"/>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r>
                              <w:rPr>
                                <w:rFonts w:hint="eastAsia" w:ascii="宋体" w:hAnsi="宋体"/>
                                <w:sz w:val="24"/>
                                <w:u w:val="single"/>
                              </w:rPr>
                              <w:t xml:space="preserve">         </w:t>
                            </w:r>
                          </w:p>
                          <w:p>
                            <w:pPr>
                              <w:snapToGrid w:val="0"/>
                              <w:spacing w:before="120" w:line="480" w:lineRule="atLeast"/>
                              <w:ind w:firstLine="570"/>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r>
                              <w:rPr>
                                <w:rFonts w:hint="eastAsia" w:ascii="宋体" w:hAnsi="宋体"/>
                                <w:sz w:val="24"/>
                                <w:u w:val="single"/>
                              </w:rPr>
                              <w:t xml:space="preserve">                   </w:t>
                            </w:r>
                          </w:p>
                          <w:p>
                            <w:pPr>
                              <w:snapToGrid w:val="0"/>
                              <w:spacing w:before="120" w:line="480" w:lineRule="atLeast"/>
                              <w:ind w:firstLine="570"/>
                              <w:rPr>
                                <w:rFonts w:ascii="宋体" w:hAnsi="宋体"/>
                                <w:sz w:val="24"/>
                                <w:u w:val="single"/>
                              </w:rPr>
                            </w:pPr>
                            <w:r>
                              <w:rPr>
                                <w:rFonts w:hint="eastAsia" w:ascii="宋体" w:hAnsi="宋体"/>
                                <w:sz w:val="24"/>
                              </w:rPr>
                              <w:t>经营范围：</w:t>
                            </w:r>
                            <w:r>
                              <w:rPr>
                                <w:rFonts w:hint="eastAsia" w:ascii="宋体" w:hAnsi="宋体"/>
                                <w:sz w:val="24"/>
                                <w:u w:val="single"/>
                              </w:rPr>
                              <w:t xml:space="preserve">                          </w:t>
                            </w:r>
                          </w:p>
                          <w:p>
                            <w:pPr>
                              <w:snapToGrid w:val="0"/>
                              <w:spacing w:before="120" w:line="480" w:lineRule="atLeast"/>
                              <w:ind w:firstLine="570"/>
                              <w:rPr>
                                <w:rFonts w:ascii="宋体" w:hAnsi="宋体"/>
                                <w:sz w:val="24"/>
                              </w:rPr>
                            </w:pPr>
                            <w:r>
                              <w:rPr>
                                <w:rFonts w:hint="eastAsia" w:ascii="宋体" w:hAnsi="宋体"/>
                                <w:sz w:val="24"/>
                                <w:u w:val="single"/>
                              </w:rPr>
                              <w:t>　　　　　　　　　　　　　　　　</w:t>
                            </w:r>
                            <w:r>
                              <w:rPr>
                                <w:rFonts w:hint="eastAsia" w:ascii="宋体" w:hAnsi="宋体"/>
                                <w:sz w:val="24"/>
                              </w:rPr>
                              <w:t>单位：　　　　　　（盖章）</w:t>
                            </w:r>
                          </w:p>
                          <w:p>
                            <w:pPr>
                              <w:snapToGrid w:val="0"/>
                              <w:spacing w:before="120" w:after="100" w:afterAutospacing="1" w:line="480" w:lineRule="atLeast"/>
                              <w:ind w:firstLine="573"/>
                              <w:rPr>
                                <w:rFonts w:ascii="仿宋_GB2312" w:eastAsia="仿宋_GB2312"/>
                                <w:sz w:val="24"/>
                              </w:rPr>
                            </w:pPr>
                            <w:r>
                              <w:rPr>
                                <w:rFonts w:hint="eastAsia" w:ascii="宋体" w:hAnsi="宋体"/>
                                <w:sz w:val="24"/>
                                <w:u w:val="single"/>
                              </w:rPr>
                              <w:t>　　　　　　　　　　　　　　　　</w:t>
                            </w:r>
                            <w:r>
                              <w:rPr>
                                <w:rFonts w:hint="eastAsia" w:ascii="宋体" w:hAnsi="宋体"/>
                                <w:sz w:val="24"/>
                              </w:rPr>
                              <w:t xml:space="preserve">　　　　　   </w:t>
                            </w:r>
                            <w:r>
                              <w:rPr>
                                <w:rFonts w:hint="eastAsia" w:ascii="仿宋_GB2312" w:eastAsia="仿宋_GB2312"/>
                                <w:sz w:val="24"/>
                              </w:rPr>
                              <w:t xml:space="preserve"> 年　月　　日</w:t>
                            </w:r>
                          </w:p>
                        </w:txbxContent>
                      </wps:txbx>
                      <wps:bodyPr upright="1"/>
                    </wps:wsp>
                  </a:graphicData>
                </a:graphic>
              </wp:anchor>
            </w:drawing>
          </mc:Choice>
          <mc:Fallback>
            <w:pict>
              <v:shape id="Text Box 4" o:spid="_x0000_s1026" o:spt="202" type="#_x0000_t202" style="position:absolute;left:0pt;margin-left:0.4pt;margin-top:7.1pt;height:218.4pt;width:432pt;z-index:251661312;mso-width-relative:page;mso-height-relative:page;" fillcolor="#FFFFFF" filled="t" stroked="t" coordsize="21600,21600" o:gfxdata="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f2JY1QAAAAcB&#10;AAAPAAAAAAAAAAEAIAAAACIAAABkcnMvZG93bnJldi54bWxQSwECFAAUAAAACACHTuJA/0DdY+UB&#10;AADoAwAADgAAAAAAAAABACAAAAAkAQAAZHJzL2Uyb0RvYy54bWxQSwUGAAAAAAYABgBZAQAAewUA&#10;AAAA&#10;">
                <v:fill on="t" focussize="0,0"/>
                <v:stroke color="#000000" joinstyle="miter"/>
                <v:imagedata o:title=""/>
                <o:lock v:ext="edit" aspectratio="f"/>
                <v:textbox>
                  <w:txbxContent>
                    <w:p>
                      <w:pPr>
                        <w:spacing w:beforeLines="50"/>
                        <w:rPr>
                          <w:rFonts w:ascii="宋体" w:hAnsi="宋体"/>
                          <w:sz w:val="24"/>
                        </w:rPr>
                      </w:pPr>
                      <w:r>
                        <w:rPr>
                          <w:rFonts w:hint="eastAsia"/>
                          <w:sz w:val="28"/>
                          <w:szCs w:val="28"/>
                        </w:rPr>
                        <w:t>　　</w:t>
                      </w: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w:t>
                      </w:r>
                    </w:p>
                    <w:p>
                      <w:pPr>
                        <w:snapToGrid w:val="0"/>
                        <w:spacing w:before="120" w:line="480" w:lineRule="atLeast"/>
                        <w:rPr>
                          <w:rFonts w:ascii="宋体" w:hAnsi="宋体"/>
                          <w:sz w:val="24"/>
                        </w:rPr>
                      </w:pPr>
                      <w:r>
                        <w:rPr>
                          <w:rFonts w:hint="eastAsia" w:ascii="宋体" w:hAnsi="宋体"/>
                          <w:sz w:val="24"/>
                        </w:rPr>
                        <w:t>特此证明。</w:t>
                      </w:r>
                    </w:p>
                    <w:p>
                      <w:pPr>
                        <w:snapToGrid w:val="0"/>
                        <w:spacing w:before="120" w:line="480" w:lineRule="atLeast"/>
                        <w:rPr>
                          <w:rFonts w:ascii="宋体" w:hAnsi="宋体"/>
                          <w:sz w:val="24"/>
                          <w:u w:val="single"/>
                        </w:rPr>
                      </w:pPr>
                      <w:r>
                        <w:rPr>
                          <w:rFonts w:hint="eastAsia" w:ascii="宋体" w:hAnsi="宋体"/>
                          <w:sz w:val="24"/>
                        </w:rPr>
                        <w:t>有效期限：</w:t>
                      </w:r>
                      <w:r>
                        <w:rPr>
                          <w:rFonts w:hint="eastAsia" w:ascii="宋体" w:hAnsi="宋体"/>
                          <w:sz w:val="24"/>
                          <w:u w:val="single"/>
                        </w:rPr>
                        <w:t xml:space="preserve">                                </w:t>
                      </w:r>
                      <w:r>
                        <w:rPr>
                          <w:rFonts w:hint="eastAsia" w:ascii="宋体" w:hAnsi="宋体"/>
                          <w:sz w:val="24"/>
                        </w:rPr>
                        <w:t xml:space="preserve">  </w:t>
                      </w:r>
                    </w:p>
                    <w:p>
                      <w:pPr>
                        <w:snapToGrid w:val="0"/>
                        <w:spacing w:before="120" w:line="480" w:lineRule="atLeast"/>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r>
                        <w:rPr>
                          <w:rFonts w:hint="eastAsia" w:ascii="宋体" w:hAnsi="宋体"/>
                          <w:sz w:val="24"/>
                          <w:u w:val="single"/>
                        </w:rPr>
                        <w:t xml:space="preserve">         </w:t>
                      </w:r>
                    </w:p>
                    <w:p>
                      <w:pPr>
                        <w:snapToGrid w:val="0"/>
                        <w:spacing w:before="120" w:line="480" w:lineRule="atLeast"/>
                        <w:ind w:firstLine="570"/>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r>
                        <w:rPr>
                          <w:rFonts w:hint="eastAsia" w:ascii="宋体" w:hAnsi="宋体"/>
                          <w:sz w:val="24"/>
                          <w:u w:val="single"/>
                        </w:rPr>
                        <w:t xml:space="preserve">                   </w:t>
                      </w:r>
                    </w:p>
                    <w:p>
                      <w:pPr>
                        <w:snapToGrid w:val="0"/>
                        <w:spacing w:before="120" w:line="480" w:lineRule="atLeast"/>
                        <w:ind w:firstLine="570"/>
                        <w:rPr>
                          <w:rFonts w:ascii="宋体" w:hAnsi="宋体"/>
                          <w:sz w:val="24"/>
                          <w:u w:val="single"/>
                        </w:rPr>
                      </w:pPr>
                      <w:r>
                        <w:rPr>
                          <w:rFonts w:hint="eastAsia" w:ascii="宋体" w:hAnsi="宋体"/>
                          <w:sz w:val="24"/>
                        </w:rPr>
                        <w:t>经营范围：</w:t>
                      </w:r>
                      <w:r>
                        <w:rPr>
                          <w:rFonts w:hint="eastAsia" w:ascii="宋体" w:hAnsi="宋体"/>
                          <w:sz w:val="24"/>
                          <w:u w:val="single"/>
                        </w:rPr>
                        <w:t xml:space="preserve">                          </w:t>
                      </w:r>
                    </w:p>
                    <w:p>
                      <w:pPr>
                        <w:snapToGrid w:val="0"/>
                        <w:spacing w:before="120" w:line="480" w:lineRule="atLeast"/>
                        <w:ind w:firstLine="570"/>
                        <w:rPr>
                          <w:rFonts w:ascii="宋体" w:hAnsi="宋体"/>
                          <w:sz w:val="24"/>
                        </w:rPr>
                      </w:pPr>
                      <w:r>
                        <w:rPr>
                          <w:rFonts w:hint="eastAsia" w:ascii="宋体" w:hAnsi="宋体"/>
                          <w:sz w:val="24"/>
                          <w:u w:val="single"/>
                        </w:rPr>
                        <w:t>　　　　　　　　　　　　　　　　</w:t>
                      </w:r>
                      <w:r>
                        <w:rPr>
                          <w:rFonts w:hint="eastAsia" w:ascii="宋体" w:hAnsi="宋体"/>
                          <w:sz w:val="24"/>
                        </w:rPr>
                        <w:t>单位：　　　　　　（盖章）</w:t>
                      </w:r>
                    </w:p>
                    <w:p>
                      <w:pPr>
                        <w:snapToGrid w:val="0"/>
                        <w:spacing w:before="120" w:after="100" w:afterAutospacing="1" w:line="480" w:lineRule="atLeast"/>
                        <w:ind w:firstLine="573"/>
                        <w:rPr>
                          <w:rFonts w:ascii="仿宋_GB2312" w:eastAsia="仿宋_GB2312"/>
                          <w:sz w:val="24"/>
                        </w:rPr>
                      </w:pPr>
                      <w:r>
                        <w:rPr>
                          <w:rFonts w:hint="eastAsia" w:ascii="宋体" w:hAnsi="宋体"/>
                          <w:sz w:val="24"/>
                          <w:u w:val="single"/>
                        </w:rPr>
                        <w:t>　　　　　　　　　　　　　　　　</w:t>
                      </w:r>
                      <w:r>
                        <w:rPr>
                          <w:rFonts w:hint="eastAsia" w:ascii="宋体" w:hAnsi="宋体"/>
                          <w:sz w:val="24"/>
                        </w:rPr>
                        <w:t xml:space="preserve">　　　　　   </w:t>
                      </w:r>
                      <w:r>
                        <w:rPr>
                          <w:rFonts w:hint="eastAsia" w:ascii="仿宋_GB2312" w:eastAsia="仿宋_GB2312"/>
                          <w:sz w:val="24"/>
                        </w:rPr>
                        <w:t xml:space="preserve"> 年　月　　日</w:t>
                      </w:r>
                    </w:p>
                  </w:txbxContent>
                </v:textbox>
              </v:shape>
            </w:pict>
          </mc:Fallback>
        </mc:AlternateContent>
      </w:r>
      <w:r>
        <w:rPr>
          <w:rFonts w:ascii="宋体" w:hAnsi="宋体"/>
          <w:color w:val="auto"/>
          <w:sz w:val="24"/>
          <w:highlight w:val="none"/>
        </w:rPr>
        <mc:AlternateContent>
          <mc:Choice Requires="wpg">
            <w:drawing>
              <wp:inline distT="0" distB="0" distL="114300" distR="114300">
                <wp:extent cx="5800725" cy="2773680"/>
                <wp:effectExtent l="0" t="0" r="0" b="0"/>
                <wp:docPr id="3" name="Group 2"/>
                <wp:cNvGraphicFramePr/>
                <a:graphic xmlns:a="http://schemas.openxmlformats.org/drawingml/2006/main">
                  <a:graphicData uri="http://schemas.microsoft.com/office/word/2010/wordprocessingGroup">
                    <wpg:wgp>
                      <wpg:cNvGrpSpPr/>
                      <wpg:grpSpPr>
                        <a:xfrm>
                          <a:off x="0" y="0"/>
                          <a:ext cx="5800725" cy="2773680"/>
                          <a:chOff x="0" y="0"/>
                          <a:chExt cx="7140" cy="3468203"/>
                        </a:xfrm>
                      </wpg:grpSpPr>
                      <wps:wsp>
                        <wps:cNvPr id="1" name="Picture 3"/>
                        <wps:cNvSpPr>
                          <a:spLocks noChangeAspect="1" noTextEdit="1"/>
                        </wps:cNvSpPr>
                        <wps:spPr>
                          <a:xfrm>
                            <a:off x="0" y="0"/>
                            <a:ext cx="7140" cy="3468"/>
                          </a:xfrm>
                          <a:prstGeom prst="rect">
                            <a:avLst/>
                          </a:prstGeom>
                          <a:noFill/>
                          <a:ln>
                            <a:noFill/>
                          </a:ln>
                        </wps:spPr>
                        <wps:bodyPr upright="1"/>
                      </wps:wsp>
                      <wps:wsp>
                        <wps:cNvPr id="2" name="Text Box 4"/>
                        <wps:cNvSpPr txBox="1"/>
                        <wps:spPr>
                          <a:xfrm>
                            <a:off x="0" y="0"/>
                            <a:ext cx="6753" cy="3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50"/>
                                <w:rPr>
                                  <w:rFonts w:ascii="宋体" w:hAnsi="宋体"/>
                                  <w:sz w:val="24"/>
                                </w:rPr>
                              </w:pPr>
                              <w:r>
                                <w:rPr>
                                  <w:rFonts w:hint="eastAsia"/>
                                  <w:sz w:val="28"/>
                                  <w:szCs w:val="28"/>
                                </w:rPr>
                                <w:t>　　</w:t>
                              </w: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w:t>
                              </w:r>
                            </w:p>
                            <w:p>
                              <w:pPr>
                                <w:snapToGrid w:val="0"/>
                                <w:spacing w:before="120" w:line="480" w:lineRule="atLeast"/>
                                <w:rPr>
                                  <w:rFonts w:ascii="宋体" w:hAnsi="宋体"/>
                                  <w:sz w:val="24"/>
                                </w:rPr>
                              </w:pPr>
                              <w:r>
                                <w:rPr>
                                  <w:rFonts w:hint="eastAsia" w:ascii="宋体" w:hAnsi="宋体"/>
                                  <w:sz w:val="24"/>
                                </w:rPr>
                                <w:t>特此证明。</w:t>
                              </w:r>
                            </w:p>
                            <w:p>
                              <w:pPr>
                                <w:snapToGrid w:val="0"/>
                                <w:spacing w:before="120" w:line="480" w:lineRule="atLeast"/>
                                <w:rPr>
                                  <w:rFonts w:ascii="宋体" w:hAnsi="宋体"/>
                                  <w:sz w:val="24"/>
                                  <w:u w:val="single"/>
                                </w:rPr>
                              </w:pPr>
                              <w:r>
                                <w:rPr>
                                  <w:rFonts w:hint="eastAsia" w:ascii="宋体" w:hAnsi="宋体"/>
                                  <w:sz w:val="24"/>
                                </w:rPr>
                                <w:t>有效期限：</w:t>
                              </w:r>
                              <w:r>
                                <w:rPr>
                                  <w:rFonts w:hint="eastAsia" w:ascii="宋体" w:hAnsi="宋体"/>
                                  <w:sz w:val="24"/>
                                  <w:u w:val="single"/>
                                </w:rPr>
                                <w:t xml:space="preserve">                                </w:t>
                              </w:r>
                              <w:r>
                                <w:rPr>
                                  <w:rFonts w:hint="eastAsia" w:ascii="宋体" w:hAnsi="宋体"/>
                                  <w:sz w:val="24"/>
                                </w:rPr>
                                <w:t xml:space="preserve">  </w:t>
                              </w:r>
                            </w:p>
                            <w:p>
                              <w:pPr>
                                <w:snapToGrid w:val="0"/>
                                <w:spacing w:before="120" w:line="480" w:lineRule="atLeast"/>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r>
                                <w:rPr>
                                  <w:rFonts w:hint="eastAsia" w:ascii="宋体" w:hAnsi="宋体"/>
                                  <w:sz w:val="24"/>
                                  <w:u w:val="single"/>
                                </w:rPr>
                                <w:t xml:space="preserve">         </w:t>
                              </w:r>
                            </w:p>
                            <w:p>
                              <w:pPr>
                                <w:snapToGrid w:val="0"/>
                                <w:spacing w:before="120" w:line="480" w:lineRule="atLeast"/>
                                <w:ind w:firstLine="570"/>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r>
                                <w:rPr>
                                  <w:rFonts w:hint="eastAsia" w:ascii="宋体" w:hAnsi="宋体"/>
                                  <w:sz w:val="24"/>
                                  <w:u w:val="single"/>
                                </w:rPr>
                                <w:t xml:space="preserve">                   </w:t>
                              </w:r>
                            </w:p>
                            <w:p>
                              <w:pPr>
                                <w:snapToGrid w:val="0"/>
                                <w:spacing w:before="120" w:line="480" w:lineRule="atLeast"/>
                                <w:ind w:firstLine="570"/>
                                <w:rPr>
                                  <w:rFonts w:ascii="宋体" w:hAnsi="宋体"/>
                                  <w:sz w:val="24"/>
                                  <w:u w:val="single"/>
                                </w:rPr>
                              </w:pPr>
                              <w:r>
                                <w:rPr>
                                  <w:rFonts w:hint="eastAsia" w:ascii="宋体" w:hAnsi="宋体"/>
                                  <w:sz w:val="24"/>
                                </w:rPr>
                                <w:t>经营范围：</w:t>
                              </w:r>
                              <w:r>
                                <w:rPr>
                                  <w:rFonts w:hint="eastAsia" w:ascii="宋体" w:hAnsi="宋体"/>
                                  <w:sz w:val="24"/>
                                  <w:u w:val="single"/>
                                </w:rPr>
                                <w:t xml:space="preserve">                          </w:t>
                              </w:r>
                            </w:p>
                            <w:p>
                              <w:pPr>
                                <w:snapToGrid w:val="0"/>
                                <w:spacing w:before="120" w:line="480" w:lineRule="atLeast"/>
                                <w:ind w:firstLine="570"/>
                                <w:rPr>
                                  <w:rFonts w:ascii="宋体" w:hAnsi="宋体"/>
                                  <w:sz w:val="24"/>
                                </w:rPr>
                              </w:pPr>
                              <w:r>
                                <w:rPr>
                                  <w:rFonts w:hint="eastAsia" w:ascii="宋体" w:hAnsi="宋体"/>
                                  <w:sz w:val="24"/>
                                  <w:u w:val="single"/>
                                </w:rPr>
                                <w:t>　　　　　　　　　　　　　　　　</w:t>
                              </w:r>
                              <w:r>
                                <w:rPr>
                                  <w:rFonts w:hint="eastAsia" w:ascii="宋体" w:hAnsi="宋体"/>
                                  <w:sz w:val="24"/>
                                </w:rPr>
                                <w:t>单位：　　　　　　（盖章）</w:t>
                              </w:r>
                            </w:p>
                            <w:p>
                              <w:pPr>
                                <w:snapToGrid w:val="0"/>
                                <w:spacing w:before="120" w:after="100" w:afterAutospacing="1" w:line="480" w:lineRule="atLeast"/>
                                <w:ind w:firstLine="573"/>
                                <w:rPr>
                                  <w:rFonts w:ascii="仿宋_GB2312" w:eastAsia="仿宋_GB2312"/>
                                  <w:sz w:val="24"/>
                                </w:rPr>
                              </w:pPr>
                              <w:r>
                                <w:rPr>
                                  <w:rFonts w:hint="eastAsia" w:ascii="宋体" w:hAnsi="宋体"/>
                                  <w:sz w:val="24"/>
                                  <w:u w:val="single"/>
                                </w:rPr>
                                <w:t>　　　　　　　　　　　　　　　　</w:t>
                              </w:r>
                              <w:r>
                                <w:rPr>
                                  <w:rFonts w:hint="eastAsia" w:ascii="宋体" w:hAnsi="宋体"/>
                                  <w:sz w:val="24"/>
                                </w:rPr>
                                <w:t xml:space="preserve">　　　　　   </w:t>
                              </w:r>
                              <w:r>
                                <w:rPr>
                                  <w:rFonts w:hint="eastAsia" w:ascii="仿宋_GB2312" w:eastAsia="仿宋_GB2312"/>
                                  <w:sz w:val="24"/>
                                </w:rPr>
                                <w:t xml:space="preserve"> 年　月　　日</w:t>
                              </w:r>
                            </w:p>
                          </w:txbxContent>
                        </wps:txbx>
                        <wps:bodyPr upright="1"/>
                      </wps:wsp>
                    </wpg:wgp>
                  </a:graphicData>
                </a:graphic>
              </wp:inline>
            </w:drawing>
          </mc:Choice>
          <mc:Fallback>
            <w:pict>
              <v:group id="Group 2" o:spid="_x0000_s1026" o:spt="203" style="height:218.4pt;width:456.75pt;" coordsize="7140,3468203" o:gfxdata="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7X99L9cAAAAFAQAADwAA&#10;AAAAAAABACAAAAAiAAAAZHJzL2Rvd25yZXYueG1sUEsBAhQAFAAAAAgAh07iQH/tlS6JAgAAngYA&#10;AA4AAAAAAAAAAQAgAAAAJgEAAGRycy9lMm9Eb2MueG1sUEsFBgAAAAAGAAYAWQEAACEGAAAAAA==&#10;">
                <o:lock v:ext="edit" aspectratio="f"/>
                <v:rect id="Picture 3" o:spid="_x0000_s1026" o:spt="1" style="position:absolute;left:0;top:0;height:3468;width:714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shape id="Text Box 4" o:spid="_x0000_s1026" o:spt="202" type="#_x0000_t202" style="position:absolute;left:0;top:0;height:3468;width:6753;"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beforeLines="50"/>
                          <w:rPr>
                            <w:rFonts w:ascii="宋体" w:hAnsi="宋体"/>
                            <w:sz w:val="24"/>
                          </w:rPr>
                        </w:pPr>
                        <w:r>
                          <w:rPr>
                            <w:rFonts w:hint="eastAsia"/>
                            <w:sz w:val="28"/>
                            <w:szCs w:val="28"/>
                          </w:rPr>
                          <w:t>　　</w:t>
                        </w: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w:t>
                        </w:r>
                      </w:p>
                      <w:p>
                        <w:pPr>
                          <w:snapToGrid w:val="0"/>
                          <w:spacing w:before="120" w:line="480" w:lineRule="atLeast"/>
                          <w:rPr>
                            <w:rFonts w:ascii="宋体" w:hAnsi="宋体"/>
                            <w:sz w:val="24"/>
                          </w:rPr>
                        </w:pPr>
                        <w:r>
                          <w:rPr>
                            <w:rFonts w:hint="eastAsia" w:ascii="宋体" w:hAnsi="宋体"/>
                            <w:sz w:val="24"/>
                          </w:rPr>
                          <w:t>特此证明。</w:t>
                        </w:r>
                      </w:p>
                      <w:p>
                        <w:pPr>
                          <w:snapToGrid w:val="0"/>
                          <w:spacing w:before="120" w:line="480" w:lineRule="atLeast"/>
                          <w:rPr>
                            <w:rFonts w:ascii="宋体" w:hAnsi="宋体"/>
                            <w:sz w:val="24"/>
                            <w:u w:val="single"/>
                          </w:rPr>
                        </w:pPr>
                        <w:r>
                          <w:rPr>
                            <w:rFonts w:hint="eastAsia" w:ascii="宋体" w:hAnsi="宋体"/>
                            <w:sz w:val="24"/>
                          </w:rPr>
                          <w:t>有效期限：</w:t>
                        </w:r>
                        <w:r>
                          <w:rPr>
                            <w:rFonts w:hint="eastAsia" w:ascii="宋体" w:hAnsi="宋体"/>
                            <w:sz w:val="24"/>
                            <w:u w:val="single"/>
                          </w:rPr>
                          <w:t xml:space="preserve">                                </w:t>
                        </w:r>
                        <w:r>
                          <w:rPr>
                            <w:rFonts w:hint="eastAsia" w:ascii="宋体" w:hAnsi="宋体"/>
                            <w:sz w:val="24"/>
                          </w:rPr>
                          <w:t xml:space="preserve">  </w:t>
                        </w:r>
                      </w:p>
                      <w:p>
                        <w:pPr>
                          <w:snapToGrid w:val="0"/>
                          <w:spacing w:before="120" w:line="480" w:lineRule="atLeast"/>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r>
                          <w:rPr>
                            <w:rFonts w:hint="eastAsia" w:ascii="宋体" w:hAnsi="宋体"/>
                            <w:sz w:val="24"/>
                            <w:u w:val="single"/>
                          </w:rPr>
                          <w:t xml:space="preserve">         </w:t>
                        </w:r>
                      </w:p>
                      <w:p>
                        <w:pPr>
                          <w:snapToGrid w:val="0"/>
                          <w:spacing w:before="120" w:line="480" w:lineRule="atLeast"/>
                          <w:ind w:firstLine="570"/>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r>
                          <w:rPr>
                            <w:rFonts w:hint="eastAsia" w:ascii="宋体" w:hAnsi="宋体"/>
                            <w:sz w:val="24"/>
                            <w:u w:val="single"/>
                          </w:rPr>
                          <w:t xml:space="preserve">                   </w:t>
                        </w:r>
                      </w:p>
                      <w:p>
                        <w:pPr>
                          <w:snapToGrid w:val="0"/>
                          <w:spacing w:before="120" w:line="480" w:lineRule="atLeast"/>
                          <w:ind w:firstLine="570"/>
                          <w:rPr>
                            <w:rFonts w:ascii="宋体" w:hAnsi="宋体"/>
                            <w:sz w:val="24"/>
                            <w:u w:val="single"/>
                          </w:rPr>
                        </w:pPr>
                        <w:r>
                          <w:rPr>
                            <w:rFonts w:hint="eastAsia" w:ascii="宋体" w:hAnsi="宋体"/>
                            <w:sz w:val="24"/>
                          </w:rPr>
                          <w:t>经营范围：</w:t>
                        </w:r>
                        <w:r>
                          <w:rPr>
                            <w:rFonts w:hint="eastAsia" w:ascii="宋体" w:hAnsi="宋体"/>
                            <w:sz w:val="24"/>
                            <w:u w:val="single"/>
                          </w:rPr>
                          <w:t xml:space="preserve">                          </w:t>
                        </w:r>
                      </w:p>
                      <w:p>
                        <w:pPr>
                          <w:snapToGrid w:val="0"/>
                          <w:spacing w:before="120" w:line="480" w:lineRule="atLeast"/>
                          <w:ind w:firstLine="570"/>
                          <w:rPr>
                            <w:rFonts w:ascii="宋体" w:hAnsi="宋体"/>
                            <w:sz w:val="24"/>
                          </w:rPr>
                        </w:pPr>
                        <w:r>
                          <w:rPr>
                            <w:rFonts w:hint="eastAsia" w:ascii="宋体" w:hAnsi="宋体"/>
                            <w:sz w:val="24"/>
                            <w:u w:val="single"/>
                          </w:rPr>
                          <w:t>　　　　　　　　　　　　　　　　</w:t>
                        </w:r>
                        <w:r>
                          <w:rPr>
                            <w:rFonts w:hint="eastAsia" w:ascii="宋体" w:hAnsi="宋体"/>
                            <w:sz w:val="24"/>
                          </w:rPr>
                          <w:t>单位：　　　　　　（盖章）</w:t>
                        </w:r>
                      </w:p>
                      <w:p>
                        <w:pPr>
                          <w:snapToGrid w:val="0"/>
                          <w:spacing w:before="120" w:after="100" w:afterAutospacing="1" w:line="480" w:lineRule="atLeast"/>
                          <w:ind w:firstLine="573"/>
                          <w:rPr>
                            <w:rFonts w:ascii="仿宋_GB2312" w:eastAsia="仿宋_GB2312"/>
                            <w:sz w:val="24"/>
                          </w:rPr>
                        </w:pPr>
                        <w:r>
                          <w:rPr>
                            <w:rFonts w:hint="eastAsia" w:ascii="宋体" w:hAnsi="宋体"/>
                            <w:sz w:val="24"/>
                            <w:u w:val="single"/>
                          </w:rPr>
                          <w:t>　　　　　　　　　　　　　　　　</w:t>
                        </w:r>
                        <w:r>
                          <w:rPr>
                            <w:rFonts w:hint="eastAsia" w:ascii="宋体" w:hAnsi="宋体"/>
                            <w:sz w:val="24"/>
                          </w:rPr>
                          <w:t xml:space="preserve">　　　　　   </w:t>
                        </w:r>
                        <w:r>
                          <w:rPr>
                            <w:rFonts w:hint="eastAsia" w:ascii="仿宋_GB2312" w:eastAsia="仿宋_GB2312"/>
                            <w:sz w:val="24"/>
                          </w:rPr>
                          <w:t xml:space="preserve"> 年　月　　日</w:t>
                        </w:r>
                      </w:p>
                    </w:txbxContent>
                  </v:textbox>
                </v:shape>
                <w10:wrap type="none"/>
                <w10:anchorlock/>
              </v:group>
            </w:pict>
          </mc:Fallback>
        </mc:AlternateContent>
      </w:r>
    </w:p>
    <w:p>
      <w:pPr>
        <w:rPr>
          <w:rFonts w:ascii="宋体" w:hAnsi="宋体"/>
          <w:color w:val="auto"/>
          <w:sz w:val="24"/>
          <w:highlight w:val="none"/>
        </w:rPr>
      </w:pPr>
      <w:r>
        <w:rPr>
          <w:rFonts w:ascii="宋体"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345440</wp:posOffset>
                </wp:positionV>
                <wp:extent cx="5715000" cy="3268980"/>
                <wp:effectExtent l="5080" t="5080" r="13970" b="21590"/>
                <wp:wrapNone/>
                <wp:docPr id="6" name="Rectangle 5"/>
                <wp:cNvGraphicFramePr/>
                <a:graphic xmlns:a="http://schemas.openxmlformats.org/drawingml/2006/main">
                  <a:graphicData uri="http://schemas.microsoft.com/office/word/2010/wordprocessingShape">
                    <wps:wsp>
                      <wps:cNvSpPr/>
                      <wps:spPr>
                        <a:xfrm>
                          <a:off x="0" y="0"/>
                          <a:ext cx="5715000" cy="32689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utoSpaceDE w:val="0"/>
                              <w:autoSpaceDN w:val="0"/>
                              <w:adjustRightInd w:val="0"/>
                              <w:spacing w:before="120" w:line="500" w:lineRule="exact"/>
                              <w:jc w:val="center"/>
                              <w:rPr>
                                <w:rFonts w:hAnsi="宋体"/>
                                <w:outline/>
                                <w:color w:val="C7EDCC"/>
                                <w:sz w:val="44"/>
                                <w:szCs w:val="44"/>
                                <w14:textOutline w14:w="9525" w14:cap="flat" w14:cmpd="sng" w14:algn="ctr">
                                  <w14:solidFill>
                                    <w14:srgbClr w14:val="C7EDCC"/>
                                  </w14:solidFill>
                                  <w14:prstDash w14:val="solid"/>
                                  <w14:round/>
                                </w14:textOutline>
                                <w14:textFill>
                                  <w14:noFill/>
                                </w14:textFill>
                              </w:rPr>
                            </w:pPr>
                          </w:p>
                          <w:p>
                            <w:pPr>
                              <w:autoSpaceDE w:val="0"/>
                              <w:autoSpaceDN w:val="0"/>
                              <w:adjustRightInd w:val="0"/>
                              <w:spacing w:before="120" w:line="500" w:lineRule="exact"/>
                              <w:jc w:val="center"/>
                              <w:rPr>
                                <w:rFonts w:hAnsi="宋体"/>
                                <w:outline/>
                                <w:color w:val="C7EDCC"/>
                                <w:sz w:val="44"/>
                                <w:szCs w:val="44"/>
                                <w14:textOutline w14:w="9525" w14:cap="flat" w14:cmpd="sng" w14:algn="ctr">
                                  <w14:solidFill>
                                    <w14:srgbClr w14:val="C7EDCC"/>
                                  </w14:solidFill>
                                  <w14:prstDash w14:val="solid"/>
                                  <w14:round/>
                                </w14:textOutline>
                                <w14:textFill>
                                  <w14:noFill/>
                                </w14:textFill>
                              </w:rPr>
                            </w:pPr>
                          </w:p>
                          <w:p>
                            <w:pPr>
                              <w:autoSpaceDE w:val="0"/>
                              <w:autoSpaceDN w:val="0"/>
                              <w:adjustRightInd w:val="0"/>
                              <w:spacing w:before="120" w:line="500" w:lineRule="exact"/>
                              <w:jc w:val="center"/>
                              <w:rPr>
                                <w:rFonts w:hAnsi="宋体"/>
                                <w:outline/>
                                <w:color w:val="C7EDCC"/>
                                <w:sz w:val="44"/>
                                <w:szCs w:val="44"/>
                                <w14:textOutline w14:w="9525" w14:cap="flat" w14:cmpd="sng" w14:algn="ctr">
                                  <w14:solidFill>
                                    <w14:srgbClr w14:val="C7EDCC"/>
                                  </w14:solidFill>
                                  <w14:prstDash w14:val="solid"/>
                                  <w14:round/>
                                </w14:textOutline>
                                <w14:textFill>
                                  <w14:noFill/>
                                </w14:textFill>
                              </w:rPr>
                            </w:pPr>
                          </w:p>
                          <w:p>
                            <w:pPr>
                              <w:autoSpaceDE w:val="0"/>
                              <w:autoSpaceDN w:val="0"/>
                              <w:adjustRightInd w:val="0"/>
                              <w:spacing w:before="120" w:line="500" w:lineRule="exact"/>
                              <w:jc w:val="center"/>
                              <w:rPr>
                                <w:rFonts w:hAnsi="宋体"/>
                                <w:outline/>
                                <w:color w:val="C7EDCC"/>
                                <w:sz w:val="44"/>
                                <w:szCs w:val="44"/>
                                <w14:textOutline w14:w="9525" w14:cap="flat" w14:cmpd="sng" w14:algn="ctr">
                                  <w14:solidFill>
                                    <w14:srgbClr w14:val="C7EDCC"/>
                                  </w14:solidFill>
                                  <w14:prstDash w14:val="solid"/>
                                  <w14:round/>
                                </w14:textOutline>
                                <w14:textFill>
                                  <w14:noFill/>
                                </w14:textFill>
                              </w:rPr>
                            </w:pPr>
                          </w:p>
                          <w:p>
                            <w:pPr>
                              <w:autoSpaceDE w:val="0"/>
                              <w:autoSpaceDN w:val="0"/>
                              <w:adjustRightInd w:val="0"/>
                              <w:spacing w:before="120" w:line="500" w:lineRule="exact"/>
                              <w:jc w:val="center"/>
                              <w:rPr>
                                <w:rFonts w:ascii="宋体" w:hAnsi="宋体"/>
                                <w:sz w:val="24"/>
                              </w:rPr>
                            </w:pPr>
                            <w:r>
                              <w:rPr>
                                <w:rFonts w:hint="eastAsia" w:ascii="宋体" w:hAnsi="宋体"/>
                                <w:sz w:val="24"/>
                              </w:rPr>
                              <w:t>法定代表人身份证（正反面）复印件</w:t>
                            </w:r>
                          </w:p>
                          <w:p>
                            <w:pPr>
                              <w:autoSpaceDE w:val="0"/>
                              <w:autoSpaceDN w:val="0"/>
                              <w:adjustRightInd w:val="0"/>
                              <w:spacing w:before="120" w:line="500" w:lineRule="exact"/>
                              <w:jc w:val="center"/>
                              <w:rPr>
                                <w:rFonts w:ascii="宋体" w:hAnsi="宋体"/>
                                <w:sz w:val="24"/>
                              </w:rPr>
                            </w:pPr>
                            <w:r>
                              <w:rPr>
                                <w:rFonts w:hint="eastAsia" w:ascii="宋体" w:hAnsi="宋体"/>
                                <w:sz w:val="24"/>
                              </w:rPr>
                              <w:t>粘贴处：</w:t>
                            </w:r>
                          </w:p>
                        </w:txbxContent>
                      </wps:txbx>
                      <wps:bodyPr upright="1"/>
                    </wps:wsp>
                  </a:graphicData>
                </a:graphic>
              </wp:anchor>
            </w:drawing>
          </mc:Choice>
          <mc:Fallback>
            <w:pict>
              <v:rect id="Rectangle 5" o:spid="_x0000_s1026" o:spt="1" style="position:absolute;left:0pt;margin-left:-9pt;margin-top:27.2pt;height:257.4pt;width:450pt;z-index:251660288;mso-width-relative:page;mso-height-relative:page;" fillcolor="#FFFFFF" filled="t" stroked="t" coordsize="21600,21600" o:gfxdata="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2olRPZ&#10;AAAACgEAAA8AAAAAAAAAAQAgAAAAIgAAAGRycy9kb3ducmV2LnhtbFBLAQIUABQAAAAIAIdO4kC2&#10;sSaF5gEAAO0DAAAOAAAAAAAAAAEAIAAAACgBAABkcnMvZTJvRG9jLnhtbFBLBQYAAAAABgAGAFkB&#10;AACABQAAAAA=&#10;">
                <v:fill on="t" focussize="0,0"/>
                <v:stroke color="#000000" joinstyle="miter"/>
                <v:imagedata o:title=""/>
                <o:lock v:ext="edit" aspectratio="f"/>
                <v:textbox>
                  <w:txbxContent>
                    <w:p>
                      <w:pPr>
                        <w:autoSpaceDE w:val="0"/>
                        <w:autoSpaceDN w:val="0"/>
                        <w:adjustRightInd w:val="0"/>
                        <w:spacing w:before="120" w:line="500" w:lineRule="exact"/>
                        <w:jc w:val="center"/>
                        <w:rPr>
                          <w:rFonts w:hAnsi="宋体"/>
                          <w:outline/>
                          <w:color w:val="C7EDCC"/>
                          <w:sz w:val="44"/>
                          <w:szCs w:val="44"/>
                          <w14:textOutline w14:w="9525" w14:cap="flat" w14:cmpd="sng" w14:algn="ctr">
                            <w14:solidFill>
                              <w14:srgbClr w14:val="C7EDCC"/>
                            </w14:solidFill>
                            <w14:prstDash w14:val="solid"/>
                            <w14:round/>
                          </w14:textOutline>
                          <w14:textFill>
                            <w14:noFill/>
                          </w14:textFill>
                        </w:rPr>
                      </w:pPr>
                    </w:p>
                    <w:p>
                      <w:pPr>
                        <w:autoSpaceDE w:val="0"/>
                        <w:autoSpaceDN w:val="0"/>
                        <w:adjustRightInd w:val="0"/>
                        <w:spacing w:before="120" w:line="500" w:lineRule="exact"/>
                        <w:jc w:val="center"/>
                        <w:rPr>
                          <w:rFonts w:hAnsi="宋体"/>
                          <w:outline/>
                          <w:color w:val="C7EDCC"/>
                          <w:sz w:val="44"/>
                          <w:szCs w:val="44"/>
                          <w14:textOutline w14:w="9525" w14:cap="flat" w14:cmpd="sng" w14:algn="ctr">
                            <w14:solidFill>
                              <w14:srgbClr w14:val="C7EDCC"/>
                            </w14:solidFill>
                            <w14:prstDash w14:val="solid"/>
                            <w14:round/>
                          </w14:textOutline>
                          <w14:textFill>
                            <w14:noFill/>
                          </w14:textFill>
                        </w:rPr>
                      </w:pPr>
                    </w:p>
                    <w:p>
                      <w:pPr>
                        <w:autoSpaceDE w:val="0"/>
                        <w:autoSpaceDN w:val="0"/>
                        <w:adjustRightInd w:val="0"/>
                        <w:spacing w:before="120" w:line="500" w:lineRule="exact"/>
                        <w:jc w:val="center"/>
                        <w:rPr>
                          <w:rFonts w:hAnsi="宋体"/>
                          <w:outline/>
                          <w:color w:val="C7EDCC"/>
                          <w:sz w:val="44"/>
                          <w:szCs w:val="44"/>
                          <w14:textOutline w14:w="9525" w14:cap="flat" w14:cmpd="sng" w14:algn="ctr">
                            <w14:solidFill>
                              <w14:srgbClr w14:val="C7EDCC"/>
                            </w14:solidFill>
                            <w14:prstDash w14:val="solid"/>
                            <w14:round/>
                          </w14:textOutline>
                          <w14:textFill>
                            <w14:noFill/>
                          </w14:textFill>
                        </w:rPr>
                      </w:pPr>
                    </w:p>
                    <w:p>
                      <w:pPr>
                        <w:autoSpaceDE w:val="0"/>
                        <w:autoSpaceDN w:val="0"/>
                        <w:adjustRightInd w:val="0"/>
                        <w:spacing w:before="120" w:line="500" w:lineRule="exact"/>
                        <w:jc w:val="center"/>
                        <w:rPr>
                          <w:rFonts w:hAnsi="宋体"/>
                          <w:outline/>
                          <w:color w:val="C7EDCC"/>
                          <w:sz w:val="44"/>
                          <w:szCs w:val="44"/>
                          <w14:textOutline w14:w="9525" w14:cap="flat" w14:cmpd="sng" w14:algn="ctr">
                            <w14:solidFill>
                              <w14:srgbClr w14:val="C7EDCC"/>
                            </w14:solidFill>
                            <w14:prstDash w14:val="solid"/>
                            <w14:round/>
                          </w14:textOutline>
                          <w14:textFill>
                            <w14:noFill/>
                          </w14:textFill>
                        </w:rPr>
                      </w:pPr>
                    </w:p>
                    <w:p>
                      <w:pPr>
                        <w:autoSpaceDE w:val="0"/>
                        <w:autoSpaceDN w:val="0"/>
                        <w:adjustRightInd w:val="0"/>
                        <w:spacing w:before="120" w:line="500" w:lineRule="exact"/>
                        <w:jc w:val="center"/>
                        <w:rPr>
                          <w:rFonts w:ascii="宋体" w:hAnsi="宋体"/>
                          <w:sz w:val="24"/>
                        </w:rPr>
                      </w:pPr>
                      <w:r>
                        <w:rPr>
                          <w:rFonts w:hint="eastAsia" w:ascii="宋体" w:hAnsi="宋体"/>
                          <w:sz w:val="24"/>
                        </w:rPr>
                        <w:t>法定代表人身份证（正反面）复印件</w:t>
                      </w:r>
                    </w:p>
                    <w:p>
                      <w:pPr>
                        <w:autoSpaceDE w:val="0"/>
                        <w:autoSpaceDN w:val="0"/>
                        <w:adjustRightInd w:val="0"/>
                        <w:spacing w:before="120" w:line="500" w:lineRule="exact"/>
                        <w:jc w:val="center"/>
                        <w:rPr>
                          <w:rFonts w:ascii="宋体" w:hAnsi="宋体"/>
                          <w:sz w:val="24"/>
                        </w:rPr>
                      </w:pPr>
                      <w:r>
                        <w:rPr>
                          <w:rFonts w:hint="eastAsia" w:ascii="宋体" w:hAnsi="宋体"/>
                          <w:sz w:val="24"/>
                        </w:rPr>
                        <w:t>粘贴处：</w:t>
                      </w:r>
                    </w:p>
                  </w:txbxContent>
                </v:textbox>
              </v:rect>
            </w:pict>
          </mc:Fallback>
        </mc:AlternateContent>
      </w:r>
      <w:r>
        <w:rPr>
          <w:rFonts w:ascii="宋体" w:hAnsi="宋体"/>
          <w:color w:val="auto"/>
          <w:sz w:val="24"/>
          <w:highlight w:val="none"/>
        </w:rPr>
        <mc:AlternateContent>
          <mc:Choice Requires="wpg">
            <w:drawing>
              <wp:inline distT="0" distB="0" distL="114300" distR="114300">
                <wp:extent cx="5829300" cy="3368040"/>
                <wp:effectExtent l="0" t="0" r="0" b="0"/>
                <wp:docPr id="5"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29300" cy="3368040"/>
                          <a:chOff x="0" y="0"/>
                          <a:chExt cx="9180" cy="5304203"/>
                        </a:xfrm>
                      </wpg:grpSpPr>
                      <wps:wsp>
                        <wps:cNvPr id="4" name="Picture 7"/>
                        <wps:cNvSpPr>
                          <a:spLocks noChangeAspect="1" noTextEdit="1"/>
                        </wps:cNvSpPr>
                        <wps:spPr>
                          <a:xfrm>
                            <a:off x="0" y="0"/>
                            <a:ext cx="9180" cy="5304"/>
                          </a:xfrm>
                          <a:prstGeom prst="rect">
                            <a:avLst/>
                          </a:prstGeom>
                          <a:noFill/>
                          <a:ln>
                            <a:noFill/>
                          </a:ln>
                        </wps:spPr>
                        <wps:bodyPr upright="1"/>
                      </wps:wsp>
                    </wpg:wgp>
                  </a:graphicData>
                </a:graphic>
              </wp:inline>
            </w:drawing>
          </mc:Choice>
          <mc:Fallback>
            <w:pict>
              <v:group id="Group 6" o:spid="_x0000_s1026" o:spt="203" style="height:265.2pt;width:459pt;" coordsize="9180,5304203" o:gfxdata="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4MQlQ1gAAAAUBAAAPAAAAAAAAAAEAIAAAACIAAABkcnMvZG93bnJldi54bWxQSwECFAAUAAAA&#10;CACHTuJADDRQV/ABAAB+BAAADgAAAAAAAAABACAAAAAlAQAAZHJzL2Uyb0RvYy54bWxQSwUGAAAA&#10;AAYABgBZAQAAhwUAAAAA&#10;">
                <o:lock v:ext="edit" aspectratio="t"/>
                <v:rect id="Picture 7" o:spid="_x0000_s1026" o:spt="1" style="position:absolute;left:0;top:0;height:5304;width:918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w10:wrap type="none"/>
                <w10:anchorlock/>
              </v:group>
            </w:pict>
          </mc:Fallback>
        </mc:AlternateContent>
      </w:r>
      <w:bookmarkStart w:id="34" w:name="_GoBack"/>
      <w:bookmarkEnd w:id="34"/>
    </w:p>
    <w:p>
      <w:pPr>
        <w:autoSpaceDE w:val="0"/>
        <w:autoSpaceDN w:val="0"/>
        <w:adjustRightInd w:val="0"/>
        <w:spacing w:line="500" w:lineRule="exact"/>
        <w:jc w:val="left"/>
        <w:rPr>
          <w:rFonts w:ascii="宋体" w:hAnsi="宋体"/>
          <w:color w:val="auto"/>
          <w:sz w:val="24"/>
          <w:highlight w:val="none"/>
        </w:rPr>
      </w:pPr>
    </w:p>
    <w:p>
      <w:pPr>
        <w:jc w:val="left"/>
        <w:rPr>
          <w:rFonts w:ascii="宋体" w:hAnsi="宋体"/>
          <w:b/>
          <w:color w:val="auto"/>
          <w:szCs w:val="30"/>
          <w:highlight w:val="none"/>
          <w:lang w:val="zh-CN"/>
        </w:rPr>
      </w:pPr>
    </w:p>
    <w:p>
      <w:pPr>
        <w:jc w:val="left"/>
        <w:rPr>
          <w:rFonts w:ascii="宋体" w:hAnsi="宋体"/>
          <w:b/>
          <w:color w:val="auto"/>
          <w:szCs w:val="30"/>
          <w:highlight w:val="none"/>
          <w:lang w:val="zh-CN"/>
        </w:rPr>
      </w:pPr>
    </w:p>
    <w:p>
      <w:pPr>
        <w:spacing w:line="360" w:lineRule="auto"/>
        <w:rPr>
          <w:rFonts w:ascii="宋体" w:hAnsi="宋体"/>
          <w:color w:val="auto"/>
          <w:sz w:val="24"/>
          <w:highlight w:val="none"/>
          <w:lang w:val="zh-CN"/>
        </w:rPr>
      </w:pPr>
    </w:p>
    <w:p>
      <w:pPr>
        <w:spacing w:line="360" w:lineRule="auto"/>
        <w:rPr>
          <w:rFonts w:ascii="宋体" w:hAnsi="宋体"/>
          <w:color w:val="auto"/>
          <w:spacing w:val="40"/>
          <w:sz w:val="24"/>
          <w:highlight w:val="none"/>
        </w:rPr>
      </w:pPr>
      <w:r>
        <w:rPr>
          <w:rFonts w:ascii="宋体" w:hAnsi="宋体"/>
          <w:color w:val="auto"/>
          <w:sz w:val="24"/>
          <w:highlight w:val="none"/>
          <w:lang w:val="zh-CN"/>
        </w:rPr>
        <w:t>附件3</w:t>
      </w:r>
    </w:p>
    <w:p>
      <w:pPr>
        <w:pStyle w:val="2"/>
        <w:keepNext w:val="0"/>
        <w:keepLines w:val="0"/>
        <w:ind w:firstLine="0" w:firstLineChars="0"/>
        <w:jc w:val="center"/>
        <w:rPr>
          <w:rFonts w:ascii="宋体" w:hAnsi="宋体" w:eastAsia="宋体"/>
          <w:color w:val="auto"/>
          <w:sz w:val="30"/>
          <w:szCs w:val="30"/>
          <w:highlight w:val="none"/>
        </w:rPr>
      </w:pPr>
      <w:r>
        <w:rPr>
          <w:rFonts w:ascii="宋体" w:hAnsi="宋体" w:eastAsia="宋体"/>
          <w:color w:val="auto"/>
          <w:sz w:val="30"/>
          <w:szCs w:val="30"/>
          <w:highlight w:val="none"/>
        </w:rPr>
        <w:t>响应人法定代表人授权书</w:t>
      </w:r>
      <w:bookmarkEnd w:id="10"/>
    </w:p>
    <w:p>
      <w:pPr>
        <w:rPr>
          <w:rFonts w:ascii="宋体" w:hAnsi="宋体"/>
          <w:color w:val="auto"/>
          <w:highlight w:val="none"/>
          <w:lang w:val="zh-CN"/>
        </w:rPr>
      </w:pPr>
    </w:p>
    <w:p>
      <w:pPr>
        <w:autoSpaceDE w:val="0"/>
        <w:autoSpaceDN w:val="0"/>
        <w:adjustRightInd w:val="0"/>
        <w:spacing w:line="500" w:lineRule="exact"/>
        <w:ind w:left="2410" w:right="44" w:hanging="2409" w:hangingChars="1004"/>
        <w:rPr>
          <w:rFonts w:ascii="宋体" w:hAnsi="宋体"/>
          <w:color w:val="auto"/>
          <w:sz w:val="24"/>
          <w:highlight w:val="none"/>
          <w:lang w:val="zh-CN"/>
        </w:rPr>
      </w:pPr>
      <w:r>
        <w:rPr>
          <w:rFonts w:ascii="宋体" w:hAnsi="宋体"/>
          <w:color w:val="auto"/>
          <w:sz w:val="24"/>
          <w:highlight w:val="none"/>
          <w:lang w:val="zh-CN"/>
        </w:rPr>
        <w:t>竞争性谈判项目名称：佛山市恒益环保建材有限公司</w:t>
      </w:r>
      <w:r>
        <w:rPr>
          <w:rFonts w:ascii="宋体" w:hAnsi="宋体"/>
          <w:color w:val="auto"/>
          <w:sz w:val="24"/>
          <w:highlight w:val="none"/>
        </w:rPr>
        <w:t>脱硫石膏销售项目</w:t>
      </w:r>
    </w:p>
    <w:p>
      <w:pPr>
        <w:autoSpaceDE w:val="0"/>
        <w:autoSpaceDN w:val="0"/>
        <w:adjustRightInd w:val="0"/>
        <w:spacing w:line="500" w:lineRule="exact"/>
        <w:ind w:right="560"/>
        <w:rPr>
          <w:rFonts w:ascii="宋体" w:hAnsi="宋体"/>
          <w:color w:val="auto"/>
          <w:sz w:val="24"/>
          <w:highlight w:val="none"/>
          <w:lang w:val="zh-CN"/>
        </w:rPr>
      </w:pPr>
      <w:r>
        <w:rPr>
          <w:rFonts w:ascii="宋体" w:hAnsi="宋体"/>
          <w:color w:val="auto"/>
          <w:sz w:val="24"/>
          <w:highlight w:val="none"/>
          <w:lang w:val="zh-CN"/>
        </w:rPr>
        <w:t xml:space="preserve">日期：　　　　年　　月　　日 </w:t>
      </w:r>
    </w:p>
    <w:p>
      <w:pPr>
        <w:autoSpaceDE w:val="0"/>
        <w:autoSpaceDN w:val="0"/>
        <w:adjustRightInd w:val="0"/>
        <w:spacing w:line="500" w:lineRule="exact"/>
        <w:jc w:val="left"/>
        <w:rPr>
          <w:rFonts w:ascii="宋体" w:hAnsi="宋体"/>
          <w:color w:val="auto"/>
          <w:sz w:val="24"/>
          <w:highlight w:val="none"/>
        </w:rPr>
      </w:pPr>
      <w:r>
        <w:rPr>
          <w:rFonts w:ascii="宋体" w:hAnsi="宋体"/>
          <w:color w:val="auto"/>
          <w:sz w:val="24"/>
          <w:highlight w:val="none"/>
          <w:lang w:val="zh-CN"/>
        </w:rPr>
        <w:t>致：佛山市恒益环保建材有限公司</w:t>
      </w:r>
    </w:p>
    <w:p>
      <w:pPr>
        <w:autoSpaceDE w:val="0"/>
        <w:autoSpaceDN w:val="0"/>
        <w:adjustRightInd w:val="0"/>
        <w:spacing w:line="500" w:lineRule="exact"/>
        <w:jc w:val="left"/>
        <w:rPr>
          <w:rFonts w:ascii="宋体" w:hAnsi="宋体"/>
          <w:color w:val="auto"/>
          <w:sz w:val="24"/>
          <w:highlight w:val="none"/>
        </w:rPr>
      </w:pPr>
      <w:r>
        <w:rPr>
          <w:rFonts w:ascii="宋体" w:hAnsi="宋体"/>
          <w:color w:val="auto"/>
          <w:sz w:val="24"/>
          <w:highlight w:val="none"/>
          <w:u w:val="dotted"/>
          <w:lang w:val="zh-CN"/>
        </w:rPr>
        <w:t>（响应人名称）</w:t>
      </w:r>
      <w:r>
        <w:rPr>
          <w:rFonts w:ascii="宋体" w:hAnsi="宋体"/>
          <w:color w:val="auto"/>
          <w:sz w:val="24"/>
          <w:highlight w:val="none"/>
          <w:lang w:val="zh-CN"/>
        </w:rPr>
        <w:t>，为中华人民共和国合法企业，法定住所：</w:t>
      </w:r>
      <w:r>
        <w:rPr>
          <w:rFonts w:hint="eastAsia" w:ascii="宋体" w:hAnsi="宋体"/>
          <w:color w:val="auto"/>
          <w:sz w:val="24"/>
          <w:highlight w:val="none"/>
          <w:lang w:val="zh-CN"/>
        </w:rPr>
        <w:t xml:space="preserve"> </w:t>
      </w:r>
      <w:r>
        <w:rPr>
          <w:rFonts w:ascii="宋体" w:hAnsi="宋体"/>
          <w:color w:val="auto"/>
          <w:sz w:val="24"/>
          <w:highlight w:val="none"/>
          <w:lang w:val="zh-CN"/>
        </w:rPr>
        <w:t>，法定代表人：</w:t>
      </w:r>
      <w:r>
        <w:rPr>
          <w:rFonts w:hint="eastAsia" w:ascii="宋体" w:hAnsi="宋体"/>
          <w:color w:val="auto"/>
          <w:sz w:val="24"/>
          <w:highlight w:val="none"/>
          <w:lang w:val="zh-CN"/>
        </w:rPr>
        <w:t xml:space="preserve"> </w:t>
      </w:r>
      <w:r>
        <w:rPr>
          <w:rFonts w:ascii="宋体" w:hAnsi="宋体"/>
          <w:color w:val="auto"/>
          <w:sz w:val="24"/>
          <w:highlight w:val="none"/>
          <w:lang w:val="zh-CN"/>
        </w:rPr>
        <w:t>。</w:t>
      </w:r>
    </w:p>
    <w:p>
      <w:pPr>
        <w:autoSpaceDE w:val="0"/>
        <w:autoSpaceDN w:val="0"/>
        <w:adjustRightInd w:val="0"/>
        <w:spacing w:line="500" w:lineRule="exact"/>
        <w:ind w:firstLine="484" w:firstLineChars="202"/>
        <w:jc w:val="left"/>
        <w:rPr>
          <w:rFonts w:ascii="宋体" w:hAnsi="宋体"/>
          <w:color w:val="auto"/>
          <w:sz w:val="24"/>
          <w:highlight w:val="none"/>
        </w:rPr>
      </w:pPr>
      <w:r>
        <w:rPr>
          <w:rFonts w:ascii="宋体" w:hAnsi="宋体"/>
          <w:color w:val="auto"/>
          <w:sz w:val="24"/>
          <w:highlight w:val="none"/>
          <w:u w:val="dotted"/>
          <w:lang w:val="zh-CN"/>
        </w:rPr>
        <w:t>（授权人姓名）</w:t>
      </w:r>
      <w:r>
        <w:rPr>
          <w:rFonts w:ascii="宋体" w:hAnsi="宋体"/>
          <w:color w:val="auto"/>
          <w:sz w:val="24"/>
          <w:highlight w:val="none"/>
          <w:lang w:val="zh-CN"/>
        </w:rPr>
        <w:t>特授权</w:t>
      </w:r>
      <w:r>
        <w:rPr>
          <w:rFonts w:ascii="宋体" w:hAnsi="宋体"/>
          <w:color w:val="auto"/>
          <w:sz w:val="24"/>
          <w:highlight w:val="none"/>
          <w:u w:val="dotted"/>
          <w:lang w:val="zh-CN"/>
        </w:rPr>
        <w:t>（被授权人姓名）</w:t>
      </w:r>
      <w:r>
        <w:rPr>
          <w:rFonts w:ascii="宋体" w:hAnsi="宋体"/>
          <w:color w:val="auto"/>
          <w:sz w:val="24"/>
          <w:highlight w:val="none"/>
          <w:lang w:val="zh-CN"/>
        </w:rPr>
        <w:t>代表我公司全权办理针对上述项目的竞争性谈判、谈判、签约等具体工作，并签署全部有关的文件、协议及合同。</w:t>
      </w:r>
    </w:p>
    <w:p>
      <w:pPr>
        <w:autoSpaceDE w:val="0"/>
        <w:autoSpaceDN w:val="0"/>
        <w:adjustRightInd w:val="0"/>
        <w:spacing w:line="500" w:lineRule="exact"/>
        <w:ind w:firstLine="484" w:firstLineChars="202"/>
        <w:jc w:val="left"/>
        <w:rPr>
          <w:rFonts w:ascii="宋体" w:hAnsi="宋体"/>
          <w:color w:val="auto"/>
          <w:sz w:val="24"/>
          <w:highlight w:val="none"/>
        </w:rPr>
      </w:pPr>
      <w:r>
        <w:rPr>
          <w:rFonts w:ascii="宋体" w:hAnsi="宋体"/>
          <w:color w:val="auto"/>
          <w:sz w:val="24"/>
          <w:highlight w:val="none"/>
          <w:lang w:val="zh-CN"/>
        </w:rPr>
        <w:t>我公司对被授权人的签名负全部责任。</w:t>
      </w:r>
    </w:p>
    <w:p>
      <w:pPr>
        <w:autoSpaceDE w:val="0"/>
        <w:autoSpaceDN w:val="0"/>
        <w:adjustRightInd w:val="0"/>
        <w:spacing w:line="500" w:lineRule="exact"/>
        <w:ind w:firstLine="484" w:firstLineChars="202"/>
        <w:jc w:val="left"/>
        <w:rPr>
          <w:rFonts w:ascii="宋体" w:hAnsi="宋体"/>
          <w:color w:val="auto"/>
          <w:sz w:val="24"/>
          <w:highlight w:val="none"/>
        </w:rPr>
      </w:pPr>
      <w:r>
        <w:rPr>
          <w:rFonts w:ascii="宋体" w:hAnsi="宋体"/>
          <w:color w:val="auto"/>
          <w:sz w:val="24"/>
          <w:highlight w:val="none"/>
          <w:lang w:val="zh-CN"/>
        </w:rPr>
        <w:t>在撤销授权的书面通知以前，本授权书一直有效。被授权人签署的所有文件（在授权书有效期内签署的）不因授权的撤销而失效。</w:t>
      </w:r>
    </w:p>
    <w:p>
      <w:pPr>
        <w:autoSpaceDE w:val="0"/>
        <w:autoSpaceDN w:val="0"/>
        <w:adjustRightInd w:val="0"/>
        <w:spacing w:line="500" w:lineRule="exact"/>
        <w:jc w:val="left"/>
        <w:rPr>
          <w:rFonts w:ascii="宋体" w:hAnsi="宋体"/>
          <w:color w:val="auto"/>
          <w:sz w:val="24"/>
          <w:highlight w:val="none"/>
        </w:rPr>
      </w:pPr>
    </w:p>
    <w:p>
      <w:pPr>
        <w:autoSpaceDE w:val="0"/>
        <w:autoSpaceDN w:val="0"/>
        <w:adjustRightInd w:val="0"/>
        <w:spacing w:line="500" w:lineRule="exact"/>
        <w:jc w:val="left"/>
        <w:rPr>
          <w:rFonts w:ascii="宋体" w:hAnsi="宋体"/>
          <w:color w:val="auto"/>
          <w:sz w:val="24"/>
          <w:highlight w:val="none"/>
        </w:rPr>
      </w:pPr>
      <w:r>
        <w:rPr>
          <w:rFonts w:ascii="宋体" w:hAnsi="宋体"/>
          <w:color w:val="auto"/>
          <w:sz w:val="24"/>
          <w:highlight w:val="none"/>
          <w:lang w:val="zh-CN"/>
        </w:rPr>
        <w:t>授权人签名：被授权人签名：</w:t>
      </w:r>
    </w:p>
    <w:p>
      <w:pPr>
        <w:autoSpaceDE w:val="0"/>
        <w:autoSpaceDN w:val="0"/>
        <w:adjustRightInd w:val="0"/>
        <w:spacing w:line="500" w:lineRule="exact"/>
        <w:jc w:val="left"/>
        <w:rPr>
          <w:rFonts w:ascii="宋体" w:hAnsi="宋体"/>
          <w:color w:val="auto"/>
          <w:sz w:val="24"/>
          <w:highlight w:val="none"/>
        </w:rPr>
      </w:pPr>
      <w:r>
        <w:rPr>
          <w:rFonts w:ascii="宋体" w:hAnsi="宋体"/>
          <w:color w:val="auto"/>
          <w:sz w:val="24"/>
          <w:highlight w:val="none"/>
          <w:lang w:val="zh-CN"/>
        </w:rPr>
        <w:t>职务：职务：</w:t>
      </w:r>
    </w:p>
    <w:p>
      <w:pPr>
        <w:autoSpaceDE w:val="0"/>
        <w:autoSpaceDN w:val="0"/>
        <w:adjustRightInd w:val="0"/>
        <w:spacing w:line="500" w:lineRule="exact"/>
        <w:jc w:val="left"/>
        <w:rPr>
          <w:rFonts w:ascii="宋体" w:hAnsi="宋体"/>
          <w:color w:val="auto"/>
          <w:sz w:val="24"/>
          <w:highlight w:val="none"/>
        </w:rPr>
      </w:pPr>
      <w:r>
        <w:rPr>
          <w:rFonts w:ascii="宋体" w:hAnsi="宋体"/>
          <w:color w:val="auto"/>
          <w:sz w:val="24"/>
          <w:highlight w:val="none"/>
        </w:rPr>
        <w:t xml:space="preserve">身份证号码： </w:t>
      </w:r>
    </w:p>
    <w:p>
      <w:pPr>
        <w:autoSpaceDE w:val="0"/>
        <w:autoSpaceDN w:val="0"/>
        <w:adjustRightInd w:val="0"/>
        <w:spacing w:line="500" w:lineRule="exact"/>
        <w:jc w:val="left"/>
        <w:rPr>
          <w:rFonts w:ascii="宋体" w:hAnsi="宋体"/>
          <w:color w:val="auto"/>
          <w:sz w:val="24"/>
          <w:highlight w:val="none"/>
          <w:lang w:val="zh-CN"/>
        </w:rPr>
      </w:pPr>
      <w:r>
        <w:rPr>
          <w:rFonts w:ascii="宋体" w:hAnsi="宋体"/>
          <w:color w:val="auto"/>
          <w:sz w:val="24"/>
          <w:highlight w:val="none"/>
          <w:lang w:val="zh-CN"/>
        </w:rPr>
        <w:t>响应人公章：</w:t>
      </w:r>
    </w:p>
    <w:p>
      <w:pPr>
        <w:autoSpaceDE w:val="0"/>
        <w:autoSpaceDN w:val="0"/>
        <w:adjustRightInd w:val="0"/>
        <w:spacing w:line="500" w:lineRule="exact"/>
        <w:jc w:val="left"/>
        <w:rPr>
          <w:rFonts w:ascii="宋体" w:hAnsi="宋体"/>
          <w:color w:val="auto"/>
          <w:sz w:val="24"/>
          <w:highlight w:val="none"/>
        </w:rPr>
      </w:pPr>
      <w:r>
        <w:rPr>
          <w:rFonts w:ascii="宋体" w:hAnsi="宋体"/>
          <w:color w:val="auto"/>
          <w:sz w:val="24"/>
          <w:highlight w:val="none"/>
        </w:rPr>
        <w:t>被授权人身份证（正反面）复印件：</w:t>
      </w:r>
      <w:r>
        <w:rPr>
          <w:rFonts w:ascii="宋体" w:hAnsi="宋体"/>
          <w:color w:val="auto"/>
          <w:highlight w:val="none"/>
        </w:rPr>
        <w:br w:type="page"/>
      </w:r>
      <w:bookmarkStart w:id="11" w:name="_Toc223777443"/>
      <w:r>
        <w:rPr>
          <w:rFonts w:ascii="宋体" w:hAnsi="宋体"/>
          <w:bCs/>
          <w:color w:val="auto"/>
          <w:kern w:val="0"/>
          <w:sz w:val="24"/>
          <w:highlight w:val="none"/>
        </w:rPr>
        <w:t>附件</w:t>
      </w:r>
      <w:bookmarkEnd w:id="11"/>
      <w:r>
        <w:rPr>
          <w:rFonts w:ascii="宋体" w:hAnsi="宋体"/>
          <w:bCs/>
          <w:color w:val="auto"/>
          <w:kern w:val="0"/>
          <w:sz w:val="24"/>
          <w:highlight w:val="none"/>
        </w:rPr>
        <w:t>4</w:t>
      </w:r>
    </w:p>
    <w:tbl>
      <w:tblPr>
        <w:tblStyle w:val="28"/>
        <w:tblW w:w="9000" w:type="dxa"/>
        <w:tblInd w:w="-72" w:type="dxa"/>
        <w:tblLayout w:type="fixed"/>
        <w:tblCellMar>
          <w:top w:w="0" w:type="dxa"/>
          <w:left w:w="108" w:type="dxa"/>
          <w:bottom w:w="0" w:type="dxa"/>
          <w:right w:w="108" w:type="dxa"/>
        </w:tblCellMar>
      </w:tblPr>
      <w:tblGrid>
        <w:gridCol w:w="1260"/>
        <w:gridCol w:w="1620"/>
        <w:gridCol w:w="2120"/>
        <w:gridCol w:w="1120"/>
        <w:gridCol w:w="1260"/>
        <w:gridCol w:w="1620"/>
      </w:tblGrid>
      <w:tr>
        <w:tblPrEx>
          <w:tblLayout w:type="fixed"/>
          <w:tblCellMar>
            <w:top w:w="0" w:type="dxa"/>
            <w:left w:w="108" w:type="dxa"/>
            <w:bottom w:w="0" w:type="dxa"/>
            <w:right w:w="108" w:type="dxa"/>
          </w:tblCellMar>
        </w:tblPrEx>
        <w:trPr>
          <w:trHeight w:val="789" w:hRule="atLeast"/>
        </w:trPr>
        <w:tc>
          <w:tcPr>
            <w:tcW w:w="9000" w:type="dxa"/>
            <w:gridSpan w:val="6"/>
          </w:tcPr>
          <w:p>
            <w:pPr>
              <w:pStyle w:val="2"/>
              <w:keepNext w:val="0"/>
              <w:keepLines w:val="0"/>
              <w:ind w:firstLine="0" w:firstLineChars="0"/>
              <w:jc w:val="center"/>
              <w:rPr>
                <w:rFonts w:ascii="宋体" w:hAnsi="宋体" w:eastAsia="宋体"/>
                <w:color w:val="auto"/>
                <w:sz w:val="30"/>
                <w:szCs w:val="30"/>
                <w:highlight w:val="none"/>
              </w:rPr>
            </w:pPr>
            <w:r>
              <w:rPr>
                <w:rFonts w:ascii="宋体" w:hAnsi="宋体" w:eastAsia="宋体"/>
                <w:color w:val="auto"/>
                <w:sz w:val="30"/>
                <w:szCs w:val="30"/>
                <w:highlight w:val="none"/>
              </w:rPr>
              <w:t>响应人简介</w:t>
            </w:r>
          </w:p>
          <w:p>
            <w:pPr>
              <w:rPr>
                <w:rFonts w:ascii="宋体" w:hAnsi="宋体"/>
                <w:color w:val="auto"/>
                <w:szCs w:val="21"/>
                <w:highlight w:val="none"/>
              </w:rPr>
            </w:pPr>
          </w:p>
          <w:p>
            <w:pPr>
              <w:ind w:left="1217" w:hanging="1217"/>
              <w:jc w:val="left"/>
              <w:rPr>
                <w:rFonts w:ascii="宋体" w:hAnsi="宋体"/>
                <w:color w:val="auto"/>
                <w:sz w:val="24"/>
                <w:highlight w:val="none"/>
              </w:rPr>
            </w:pPr>
            <w:r>
              <w:rPr>
                <w:rFonts w:ascii="宋体" w:hAnsi="宋体"/>
                <w:color w:val="auto"/>
                <w:sz w:val="24"/>
                <w:highlight w:val="none"/>
              </w:rPr>
              <w:t>项目名称：佛山市恒益环保建材有限公司脱硫石膏销售项目</w:t>
            </w:r>
          </w:p>
          <w:p>
            <w:pPr>
              <w:ind w:left="1217" w:hanging="1217"/>
              <w:jc w:val="left"/>
              <w:rPr>
                <w:rFonts w:ascii="宋体" w:hAnsi="宋体"/>
                <w:b/>
                <w:color w:val="auto"/>
                <w:szCs w:val="21"/>
                <w:highlight w:val="none"/>
              </w:rPr>
            </w:pPr>
            <w:r>
              <w:rPr>
                <w:rFonts w:hint="eastAsia" w:ascii="宋体" w:hAnsi="宋体"/>
                <w:color w:val="auto"/>
                <w:sz w:val="24"/>
                <w:highlight w:val="none"/>
              </w:rPr>
              <w:t>项目编号：GDZC-19JT261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exact"/>
        </w:trPr>
        <w:tc>
          <w:tcPr>
            <w:tcW w:w="1260" w:type="dxa"/>
            <w:vAlign w:val="center"/>
          </w:tcPr>
          <w:p>
            <w:pPr>
              <w:jc w:val="center"/>
              <w:rPr>
                <w:rFonts w:ascii="宋体" w:hAnsi="宋体"/>
                <w:color w:val="auto"/>
                <w:sz w:val="24"/>
                <w:highlight w:val="none"/>
              </w:rPr>
            </w:pPr>
            <w:r>
              <w:rPr>
                <w:rFonts w:ascii="宋体" w:hAnsi="宋体"/>
                <w:color w:val="auto"/>
                <w:sz w:val="24"/>
                <w:highlight w:val="none"/>
              </w:rPr>
              <w:t>单位名称</w:t>
            </w:r>
          </w:p>
        </w:tc>
        <w:tc>
          <w:tcPr>
            <w:tcW w:w="7740" w:type="dxa"/>
            <w:gridSpan w:val="5"/>
            <w:vAlign w:val="center"/>
          </w:tcPr>
          <w:p>
            <w:pPr>
              <w:pStyle w:val="44"/>
              <w:widowControl w:val="0"/>
              <w:tabs>
                <w:tab w:val="clear" w:pos="360"/>
              </w:tabs>
              <w:jc w:val="center"/>
              <w:rPr>
                <w:rFonts w:ascii="宋体" w:hAnsi="宋体"/>
                <w:color w:val="auto"/>
                <w:kern w:val="2"/>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exact"/>
        </w:trPr>
        <w:tc>
          <w:tcPr>
            <w:tcW w:w="1260" w:type="dxa"/>
            <w:vAlign w:val="center"/>
          </w:tcPr>
          <w:p>
            <w:pPr>
              <w:jc w:val="center"/>
              <w:rPr>
                <w:rFonts w:ascii="宋体" w:hAnsi="宋体"/>
                <w:color w:val="auto"/>
                <w:sz w:val="24"/>
                <w:highlight w:val="none"/>
              </w:rPr>
            </w:pPr>
            <w:r>
              <w:rPr>
                <w:rFonts w:ascii="宋体" w:hAnsi="宋体"/>
                <w:color w:val="auto"/>
                <w:sz w:val="24"/>
                <w:highlight w:val="none"/>
              </w:rPr>
              <w:t>单位地址</w:t>
            </w:r>
          </w:p>
        </w:tc>
        <w:tc>
          <w:tcPr>
            <w:tcW w:w="7740" w:type="dxa"/>
            <w:gridSpan w:val="5"/>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exact"/>
        </w:trPr>
        <w:tc>
          <w:tcPr>
            <w:tcW w:w="1260" w:type="dxa"/>
            <w:vAlign w:val="center"/>
          </w:tcPr>
          <w:p>
            <w:pPr>
              <w:jc w:val="center"/>
              <w:rPr>
                <w:rFonts w:ascii="宋体" w:hAnsi="宋体"/>
                <w:color w:val="auto"/>
                <w:sz w:val="24"/>
                <w:highlight w:val="none"/>
              </w:rPr>
            </w:pPr>
            <w:r>
              <w:rPr>
                <w:rFonts w:ascii="宋体" w:hAnsi="宋体"/>
                <w:color w:val="auto"/>
                <w:sz w:val="24"/>
                <w:highlight w:val="none"/>
              </w:rPr>
              <w:t>成立时间</w:t>
            </w:r>
          </w:p>
        </w:tc>
        <w:tc>
          <w:tcPr>
            <w:tcW w:w="1620" w:type="dxa"/>
            <w:vAlign w:val="center"/>
          </w:tcPr>
          <w:p>
            <w:pPr>
              <w:jc w:val="center"/>
              <w:rPr>
                <w:rFonts w:ascii="宋体" w:hAnsi="宋体"/>
                <w:color w:val="auto"/>
                <w:sz w:val="24"/>
                <w:highlight w:val="none"/>
              </w:rPr>
            </w:pPr>
          </w:p>
        </w:tc>
        <w:tc>
          <w:tcPr>
            <w:tcW w:w="2120" w:type="dxa"/>
            <w:vAlign w:val="center"/>
          </w:tcPr>
          <w:p>
            <w:pPr>
              <w:pStyle w:val="43"/>
              <w:widowControl w:val="0"/>
              <w:pBdr>
                <w:left w:val="none" w:color="auto" w:sz="0" w:space="0"/>
                <w:right w:val="none" w:color="auto" w:sz="0" w:space="0"/>
              </w:pBdr>
              <w:spacing w:before="0" w:beforeAutospacing="0" w:after="0" w:afterAutospacing="0"/>
              <w:textAlignment w:val="auto"/>
              <w:rPr>
                <w:color w:val="auto"/>
                <w:kern w:val="2"/>
                <w:highlight w:val="none"/>
              </w:rPr>
            </w:pPr>
            <w:r>
              <w:rPr>
                <w:color w:val="auto"/>
                <w:kern w:val="2"/>
                <w:highlight w:val="none"/>
              </w:rPr>
              <w:t>法定代表人</w:t>
            </w:r>
          </w:p>
        </w:tc>
        <w:tc>
          <w:tcPr>
            <w:tcW w:w="1120" w:type="dxa"/>
            <w:vAlign w:val="center"/>
          </w:tcPr>
          <w:p>
            <w:pPr>
              <w:jc w:val="center"/>
              <w:rPr>
                <w:rFonts w:ascii="宋体" w:hAnsi="宋体"/>
                <w:color w:val="auto"/>
                <w:sz w:val="24"/>
                <w:highlight w:val="none"/>
              </w:rPr>
            </w:pPr>
          </w:p>
        </w:tc>
        <w:tc>
          <w:tcPr>
            <w:tcW w:w="1260" w:type="dxa"/>
            <w:vAlign w:val="center"/>
          </w:tcPr>
          <w:p>
            <w:pPr>
              <w:jc w:val="center"/>
              <w:rPr>
                <w:rFonts w:ascii="宋体" w:hAnsi="宋体"/>
                <w:color w:val="auto"/>
                <w:sz w:val="24"/>
                <w:highlight w:val="none"/>
              </w:rPr>
            </w:pPr>
            <w:r>
              <w:rPr>
                <w:rFonts w:ascii="宋体" w:hAnsi="宋体"/>
                <w:color w:val="auto"/>
                <w:sz w:val="24"/>
                <w:highlight w:val="none"/>
              </w:rPr>
              <w:t>注册资金</w:t>
            </w:r>
          </w:p>
        </w:tc>
        <w:tc>
          <w:tcPr>
            <w:tcW w:w="162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exact"/>
        </w:trPr>
        <w:tc>
          <w:tcPr>
            <w:tcW w:w="1260" w:type="dxa"/>
            <w:vAlign w:val="center"/>
          </w:tcPr>
          <w:p>
            <w:pPr>
              <w:spacing w:line="240" w:lineRule="atLeast"/>
              <w:jc w:val="center"/>
              <w:rPr>
                <w:rFonts w:ascii="宋体" w:hAnsi="宋体"/>
                <w:color w:val="auto"/>
                <w:sz w:val="24"/>
                <w:highlight w:val="none"/>
              </w:rPr>
            </w:pPr>
            <w:r>
              <w:rPr>
                <w:rFonts w:ascii="宋体" w:hAnsi="宋体"/>
                <w:color w:val="auto"/>
                <w:sz w:val="24"/>
                <w:highlight w:val="none"/>
              </w:rPr>
              <w:t>单位性质</w:t>
            </w:r>
          </w:p>
        </w:tc>
        <w:tc>
          <w:tcPr>
            <w:tcW w:w="1620" w:type="dxa"/>
            <w:vAlign w:val="center"/>
          </w:tcPr>
          <w:p>
            <w:pPr>
              <w:spacing w:line="240" w:lineRule="atLeast"/>
              <w:jc w:val="center"/>
              <w:rPr>
                <w:rFonts w:ascii="宋体" w:hAnsi="宋体"/>
                <w:color w:val="auto"/>
                <w:sz w:val="24"/>
                <w:highlight w:val="none"/>
              </w:rPr>
            </w:pPr>
          </w:p>
        </w:tc>
        <w:tc>
          <w:tcPr>
            <w:tcW w:w="2120" w:type="dxa"/>
            <w:vAlign w:val="center"/>
          </w:tcPr>
          <w:p>
            <w:pPr>
              <w:spacing w:line="240" w:lineRule="atLeast"/>
              <w:jc w:val="center"/>
              <w:rPr>
                <w:rFonts w:ascii="宋体" w:hAnsi="宋体"/>
                <w:color w:val="auto"/>
                <w:sz w:val="24"/>
                <w:highlight w:val="none"/>
              </w:rPr>
            </w:pPr>
            <w:r>
              <w:rPr>
                <w:rFonts w:ascii="宋体" w:hAnsi="宋体"/>
                <w:color w:val="auto"/>
                <w:sz w:val="24"/>
                <w:highlight w:val="none"/>
              </w:rPr>
              <w:t>开户行及账号</w:t>
            </w:r>
          </w:p>
        </w:tc>
        <w:tc>
          <w:tcPr>
            <w:tcW w:w="4000" w:type="dxa"/>
            <w:gridSpan w:val="3"/>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exact"/>
        </w:trPr>
        <w:tc>
          <w:tcPr>
            <w:tcW w:w="1260" w:type="dxa"/>
            <w:vAlign w:val="center"/>
          </w:tcPr>
          <w:p>
            <w:pPr>
              <w:jc w:val="center"/>
              <w:rPr>
                <w:rFonts w:ascii="宋体" w:hAnsi="宋体"/>
                <w:color w:val="auto"/>
                <w:sz w:val="24"/>
                <w:highlight w:val="none"/>
              </w:rPr>
            </w:pPr>
            <w:r>
              <w:rPr>
                <w:rFonts w:ascii="宋体" w:hAnsi="宋体"/>
                <w:color w:val="auto"/>
                <w:sz w:val="24"/>
                <w:highlight w:val="none"/>
              </w:rPr>
              <w:t>联 系 人</w:t>
            </w:r>
          </w:p>
        </w:tc>
        <w:tc>
          <w:tcPr>
            <w:tcW w:w="1620" w:type="dxa"/>
            <w:vAlign w:val="center"/>
          </w:tcPr>
          <w:p>
            <w:pPr>
              <w:jc w:val="center"/>
              <w:rPr>
                <w:rFonts w:ascii="宋体" w:hAnsi="宋体"/>
                <w:color w:val="auto"/>
                <w:sz w:val="24"/>
                <w:highlight w:val="none"/>
              </w:rPr>
            </w:pPr>
          </w:p>
        </w:tc>
        <w:tc>
          <w:tcPr>
            <w:tcW w:w="2120" w:type="dxa"/>
            <w:vAlign w:val="center"/>
          </w:tcPr>
          <w:p>
            <w:pPr>
              <w:jc w:val="center"/>
              <w:rPr>
                <w:rFonts w:ascii="宋体" w:hAnsi="宋体"/>
                <w:color w:val="auto"/>
                <w:sz w:val="24"/>
                <w:highlight w:val="none"/>
              </w:rPr>
            </w:pPr>
            <w:r>
              <w:rPr>
                <w:rFonts w:ascii="宋体" w:hAnsi="宋体"/>
                <w:color w:val="auto"/>
                <w:sz w:val="24"/>
                <w:highlight w:val="none"/>
              </w:rPr>
              <w:t>电话</w:t>
            </w:r>
          </w:p>
        </w:tc>
        <w:tc>
          <w:tcPr>
            <w:tcW w:w="1120" w:type="dxa"/>
            <w:vAlign w:val="center"/>
          </w:tcPr>
          <w:p>
            <w:pPr>
              <w:jc w:val="center"/>
              <w:rPr>
                <w:rFonts w:ascii="宋体" w:hAnsi="宋体"/>
                <w:color w:val="auto"/>
                <w:sz w:val="24"/>
                <w:highlight w:val="none"/>
              </w:rPr>
            </w:pPr>
          </w:p>
        </w:tc>
        <w:tc>
          <w:tcPr>
            <w:tcW w:w="1260" w:type="dxa"/>
            <w:vAlign w:val="center"/>
          </w:tcPr>
          <w:p>
            <w:pPr>
              <w:jc w:val="center"/>
              <w:rPr>
                <w:rFonts w:ascii="宋体" w:hAnsi="宋体"/>
                <w:color w:val="auto"/>
                <w:sz w:val="24"/>
                <w:highlight w:val="none"/>
              </w:rPr>
            </w:pPr>
            <w:r>
              <w:rPr>
                <w:rFonts w:ascii="宋体" w:hAnsi="宋体"/>
                <w:color w:val="auto"/>
                <w:sz w:val="24"/>
                <w:highlight w:val="none"/>
              </w:rPr>
              <w:t>传真</w:t>
            </w:r>
          </w:p>
        </w:tc>
        <w:tc>
          <w:tcPr>
            <w:tcW w:w="1620" w:type="dxa"/>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9" w:hRule="atLeast"/>
        </w:trPr>
        <w:tc>
          <w:tcPr>
            <w:tcW w:w="1260" w:type="dxa"/>
            <w:vAlign w:val="center"/>
          </w:tcPr>
          <w:p>
            <w:pPr>
              <w:spacing w:line="480" w:lineRule="atLeast"/>
              <w:jc w:val="center"/>
              <w:rPr>
                <w:rFonts w:ascii="宋体" w:hAnsi="宋体"/>
                <w:color w:val="auto"/>
                <w:sz w:val="30"/>
                <w:highlight w:val="none"/>
              </w:rPr>
            </w:pPr>
            <w:r>
              <w:rPr>
                <w:rFonts w:ascii="宋体" w:hAnsi="宋体"/>
                <w:color w:val="auto"/>
                <w:sz w:val="30"/>
                <w:highlight w:val="none"/>
              </w:rPr>
              <w:t>响</w:t>
            </w:r>
          </w:p>
          <w:p>
            <w:pPr>
              <w:spacing w:line="480" w:lineRule="atLeast"/>
              <w:jc w:val="center"/>
              <w:rPr>
                <w:rFonts w:ascii="宋体" w:hAnsi="宋体"/>
                <w:color w:val="auto"/>
                <w:sz w:val="30"/>
                <w:highlight w:val="none"/>
              </w:rPr>
            </w:pPr>
            <w:r>
              <w:rPr>
                <w:rFonts w:ascii="宋体" w:hAnsi="宋体"/>
                <w:color w:val="auto"/>
                <w:sz w:val="30"/>
                <w:highlight w:val="none"/>
              </w:rPr>
              <w:t>应</w:t>
            </w:r>
          </w:p>
          <w:p>
            <w:pPr>
              <w:spacing w:line="480" w:lineRule="atLeast"/>
              <w:jc w:val="center"/>
              <w:rPr>
                <w:rFonts w:ascii="宋体" w:hAnsi="宋体"/>
                <w:color w:val="auto"/>
                <w:sz w:val="30"/>
                <w:highlight w:val="none"/>
              </w:rPr>
            </w:pPr>
            <w:r>
              <w:rPr>
                <w:rFonts w:ascii="宋体" w:hAnsi="宋体"/>
                <w:color w:val="auto"/>
                <w:sz w:val="30"/>
                <w:highlight w:val="none"/>
              </w:rPr>
              <w:t>人</w:t>
            </w:r>
          </w:p>
          <w:p>
            <w:pPr>
              <w:spacing w:line="480" w:lineRule="atLeast"/>
              <w:jc w:val="center"/>
              <w:rPr>
                <w:rFonts w:ascii="宋体" w:hAnsi="宋体"/>
                <w:color w:val="auto"/>
                <w:sz w:val="30"/>
                <w:highlight w:val="none"/>
              </w:rPr>
            </w:pPr>
            <w:r>
              <w:rPr>
                <w:rFonts w:ascii="宋体" w:hAnsi="宋体"/>
                <w:color w:val="auto"/>
                <w:sz w:val="30"/>
                <w:highlight w:val="none"/>
              </w:rPr>
              <w:t>简</w:t>
            </w:r>
          </w:p>
          <w:p>
            <w:pPr>
              <w:spacing w:line="480" w:lineRule="atLeast"/>
              <w:jc w:val="center"/>
              <w:rPr>
                <w:rFonts w:ascii="宋体" w:hAnsi="宋体"/>
                <w:b/>
                <w:color w:val="auto"/>
                <w:sz w:val="24"/>
                <w:highlight w:val="none"/>
              </w:rPr>
            </w:pPr>
            <w:r>
              <w:rPr>
                <w:rFonts w:ascii="宋体" w:hAnsi="宋体"/>
                <w:color w:val="auto"/>
                <w:sz w:val="30"/>
                <w:highlight w:val="none"/>
              </w:rPr>
              <w:t>介</w:t>
            </w:r>
          </w:p>
        </w:tc>
        <w:tc>
          <w:tcPr>
            <w:tcW w:w="7740" w:type="dxa"/>
            <w:gridSpan w:val="5"/>
            <w:vAlign w:val="center"/>
          </w:tcPr>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spacing w:line="480" w:lineRule="atLeast"/>
              <w:rPr>
                <w:rFonts w:ascii="宋体" w:hAnsi="宋体"/>
                <w:b/>
                <w:color w:val="auto"/>
                <w:sz w:val="24"/>
                <w:highlight w:val="none"/>
              </w:rPr>
            </w:pPr>
          </w:p>
        </w:tc>
      </w:tr>
    </w:tbl>
    <w:p>
      <w:pPr>
        <w:pStyle w:val="3"/>
        <w:keepNext w:val="0"/>
        <w:keepLines w:val="0"/>
        <w:widowControl w:val="0"/>
        <w:spacing w:line="240" w:lineRule="auto"/>
        <w:rPr>
          <w:rFonts w:ascii="宋体" w:hAnsi="宋体" w:eastAsia="宋体"/>
          <w:b w:val="0"/>
          <w:color w:val="auto"/>
          <w:sz w:val="24"/>
          <w:szCs w:val="24"/>
          <w:highlight w:val="none"/>
        </w:rPr>
      </w:pPr>
      <w:r>
        <w:rPr>
          <w:rFonts w:ascii="宋体" w:hAnsi="宋体" w:eastAsia="宋体"/>
          <w:color w:val="auto"/>
          <w:sz w:val="24"/>
          <w:szCs w:val="24"/>
          <w:highlight w:val="none"/>
        </w:rPr>
        <w:br w:type="page"/>
      </w:r>
      <w:r>
        <w:rPr>
          <w:rFonts w:ascii="宋体" w:hAnsi="宋体" w:eastAsia="宋体"/>
          <w:b w:val="0"/>
          <w:color w:val="auto"/>
          <w:sz w:val="24"/>
          <w:szCs w:val="24"/>
          <w:highlight w:val="none"/>
          <w:lang w:val="zh-CN"/>
        </w:rPr>
        <w:t>附件</w:t>
      </w:r>
      <w:r>
        <w:rPr>
          <w:rFonts w:ascii="宋体" w:hAnsi="宋体" w:eastAsia="宋体"/>
          <w:b w:val="0"/>
          <w:color w:val="auto"/>
          <w:sz w:val="24"/>
          <w:szCs w:val="24"/>
          <w:highlight w:val="none"/>
        </w:rPr>
        <w:t>5</w:t>
      </w:r>
    </w:p>
    <w:p>
      <w:pPr>
        <w:pStyle w:val="2"/>
        <w:keepNext w:val="0"/>
        <w:keepLines w:val="0"/>
        <w:ind w:firstLine="0" w:firstLineChars="0"/>
        <w:jc w:val="center"/>
        <w:rPr>
          <w:rFonts w:ascii="宋体" w:hAnsi="宋体" w:eastAsia="宋体"/>
          <w:color w:val="auto"/>
          <w:sz w:val="30"/>
          <w:szCs w:val="30"/>
          <w:highlight w:val="none"/>
        </w:rPr>
      </w:pPr>
      <w:r>
        <w:rPr>
          <w:rFonts w:hint="eastAsia" w:ascii="宋体" w:hAnsi="宋体" w:eastAsia="宋体"/>
          <w:color w:val="auto"/>
          <w:sz w:val="30"/>
          <w:szCs w:val="30"/>
          <w:highlight w:val="none"/>
        </w:rPr>
        <w:t>响应人竞争性谈判承诺书</w:t>
      </w:r>
    </w:p>
    <w:p>
      <w:pPr>
        <w:pStyle w:val="22"/>
        <w:tabs>
          <w:tab w:val="left" w:pos="142"/>
        </w:tabs>
        <w:spacing w:line="360" w:lineRule="auto"/>
        <w:textAlignment w:val="bottom"/>
        <w:rPr>
          <w:rFonts w:hAnsi="宋体"/>
          <w:color w:val="auto"/>
          <w:highlight w:val="none"/>
        </w:rPr>
      </w:pPr>
      <w:r>
        <w:rPr>
          <w:rFonts w:hAnsi="宋体"/>
          <w:color w:val="auto"/>
          <w:highlight w:val="none"/>
        </w:rPr>
        <w:t>致：佛山市恒益环保建材有限公司</w:t>
      </w:r>
    </w:p>
    <w:p>
      <w:pPr>
        <w:tabs>
          <w:tab w:val="left" w:pos="-120"/>
        </w:tabs>
        <w:spacing w:line="360" w:lineRule="auto"/>
        <w:ind w:firstLine="480" w:firstLineChars="200"/>
        <w:jc w:val="left"/>
        <w:textAlignment w:val="bottom"/>
        <w:rPr>
          <w:rFonts w:ascii="宋体" w:hAnsi="宋体"/>
          <w:color w:val="auto"/>
          <w:sz w:val="24"/>
          <w:highlight w:val="none"/>
        </w:rPr>
      </w:pPr>
      <w:r>
        <w:rPr>
          <w:rFonts w:ascii="宋体" w:hAnsi="宋体"/>
          <w:color w:val="auto"/>
          <w:sz w:val="24"/>
          <w:highlight w:val="none"/>
        </w:rPr>
        <w:t>根据贵方</w:t>
      </w:r>
      <w:r>
        <w:rPr>
          <w:rFonts w:ascii="宋体" w:hAnsi="宋体"/>
          <w:color w:val="auto"/>
          <w:sz w:val="24"/>
          <w:highlight w:val="none"/>
          <w:lang w:val="zh-CN"/>
        </w:rPr>
        <w:t>佛山市恒益环保建材有限公司</w:t>
      </w:r>
      <w:r>
        <w:rPr>
          <w:rFonts w:ascii="宋体" w:hAnsi="宋体"/>
          <w:color w:val="auto"/>
          <w:sz w:val="24"/>
          <w:highlight w:val="none"/>
        </w:rPr>
        <w:t>脱硫石膏销售项目的谈判邀请，签字人</w:t>
      </w:r>
      <w:r>
        <w:rPr>
          <w:rFonts w:ascii="宋体" w:hAnsi="宋体"/>
          <w:color w:val="auto"/>
          <w:sz w:val="24"/>
          <w:highlight w:val="none"/>
          <w:u w:val="single"/>
        </w:rPr>
        <w:t xml:space="preserve">      （全名，职务）     </w:t>
      </w:r>
      <w:r>
        <w:rPr>
          <w:rFonts w:ascii="宋体" w:hAnsi="宋体"/>
          <w:color w:val="auto"/>
          <w:sz w:val="24"/>
          <w:highlight w:val="none"/>
        </w:rPr>
        <w:t>经正式授权并代表响应人</w:t>
      </w:r>
      <w:r>
        <w:rPr>
          <w:rFonts w:ascii="宋体" w:hAnsi="宋体"/>
          <w:color w:val="auto"/>
          <w:sz w:val="24"/>
          <w:highlight w:val="none"/>
          <w:u w:val="single"/>
        </w:rPr>
        <w:t xml:space="preserve">       (响应人名称，地址)       </w:t>
      </w:r>
      <w:r>
        <w:rPr>
          <w:rFonts w:ascii="宋体" w:hAnsi="宋体"/>
          <w:color w:val="auto"/>
          <w:sz w:val="24"/>
          <w:highlight w:val="none"/>
        </w:rPr>
        <w:t>承诺如下：</w:t>
      </w:r>
    </w:p>
    <w:p>
      <w:pPr>
        <w:spacing w:line="360" w:lineRule="auto"/>
        <w:ind w:firstLine="480" w:firstLineChars="200"/>
        <w:jc w:val="left"/>
        <w:textAlignment w:val="bottom"/>
        <w:rPr>
          <w:rFonts w:ascii="宋体" w:hAnsi="宋体"/>
          <w:color w:val="auto"/>
          <w:sz w:val="24"/>
          <w:highlight w:val="none"/>
        </w:rPr>
      </w:pPr>
      <w:r>
        <w:rPr>
          <w:rFonts w:ascii="宋体" w:hAnsi="宋体"/>
          <w:color w:val="auto"/>
          <w:sz w:val="24"/>
          <w:highlight w:val="none"/>
        </w:rPr>
        <w:t>1、我方将承担根据招标文件和响应文件的规定，完成合同的责任和义务。</w:t>
      </w:r>
    </w:p>
    <w:p>
      <w:pPr>
        <w:spacing w:line="360" w:lineRule="auto"/>
        <w:ind w:firstLine="480" w:firstLineChars="200"/>
        <w:jc w:val="left"/>
        <w:textAlignment w:val="bottom"/>
        <w:rPr>
          <w:rFonts w:ascii="宋体" w:hAnsi="宋体"/>
          <w:color w:val="auto"/>
          <w:sz w:val="24"/>
          <w:highlight w:val="none"/>
        </w:rPr>
      </w:pPr>
      <w:r>
        <w:rPr>
          <w:rFonts w:ascii="宋体" w:hAnsi="宋体"/>
          <w:color w:val="auto"/>
          <w:sz w:val="24"/>
          <w:highlight w:val="none"/>
        </w:rPr>
        <w:t>2、我方已详细审核全部竞争性谈判文件，包括竞争性谈判文件修改书，参考资料及有关附件，我们知道必须放弃提出含糊不清或误解的问题的权利。</w:t>
      </w:r>
    </w:p>
    <w:p>
      <w:pPr>
        <w:spacing w:line="360" w:lineRule="auto"/>
        <w:ind w:firstLine="480" w:firstLineChars="200"/>
        <w:jc w:val="left"/>
        <w:textAlignment w:val="bottom"/>
        <w:rPr>
          <w:rFonts w:ascii="宋体" w:hAnsi="宋体"/>
          <w:color w:val="auto"/>
          <w:sz w:val="24"/>
          <w:highlight w:val="none"/>
        </w:rPr>
      </w:pPr>
      <w:r>
        <w:rPr>
          <w:rFonts w:ascii="宋体" w:hAnsi="宋体"/>
          <w:color w:val="auto"/>
          <w:sz w:val="24"/>
          <w:highlight w:val="none"/>
        </w:rPr>
        <w:t>3、我方之报价有效期为</w:t>
      </w:r>
      <w:r>
        <w:rPr>
          <w:rFonts w:hint="eastAsia" w:ascii="宋体" w:hAnsi="宋体"/>
          <w:color w:val="auto"/>
          <w:sz w:val="24"/>
          <w:highlight w:val="none"/>
        </w:rPr>
        <w:t>90</w:t>
      </w:r>
      <w:r>
        <w:rPr>
          <w:rFonts w:ascii="宋体" w:hAnsi="宋体"/>
          <w:color w:val="auto"/>
          <w:sz w:val="24"/>
          <w:highlight w:val="none"/>
        </w:rPr>
        <w:t>个公历日，自竞争性谈判谈判之日计起。</w:t>
      </w:r>
    </w:p>
    <w:p>
      <w:pPr>
        <w:spacing w:line="360" w:lineRule="auto"/>
        <w:ind w:firstLine="480" w:firstLineChars="200"/>
        <w:jc w:val="left"/>
        <w:textAlignment w:val="bottom"/>
        <w:rPr>
          <w:rFonts w:ascii="宋体" w:hAnsi="宋体"/>
          <w:color w:val="auto"/>
          <w:sz w:val="24"/>
          <w:highlight w:val="none"/>
        </w:rPr>
      </w:pPr>
      <w:r>
        <w:rPr>
          <w:rFonts w:ascii="宋体" w:hAnsi="宋体"/>
          <w:color w:val="auto"/>
          <w:sz w:val="24"/>
          <w:highlight w:val="none"/>
        </w:rPr>
        <w:t>4、我方同意向贵方提供贵方可能要求的与本谈判有关的任何证据和资料。</w:t>
      </w:r>
    </w:p>
    <w:p>
      <w:pPr>
        <w:spacing w:line="360" w:lineRule="auto"/>
        <w:ind w:firstLine="480" w:firstLineChars="200"/>
        <w:jc w:val="left"/>
        <w:textAlignment w:val="bottom"/>
        <w:rPr>
          <w:rFonts w:ascii="宋体" w:hAnsi="宋体"/>
          <w:color w:val="auto"/>
          <w:sz w:val="24"/>
          <w:highlight w:val="none"/>
        </w:rPr>
      </w:pPr>
      <w:r>
        <w:rPr>
          <w:rFonts w:ascii="宋体" w:hAnsi="宋体"/>
          <w:color w:val="auto"/>
          <w:sz w:val="24"/>
          <w:highlight w:val="none"/>
        </w:rPr>
        <w:t>5、我方承诺在取得工程中标资格后，按合同约定提交履约保证金，签订合同后，不按约定缴交履约保证金的，发包人有权单方解除合同并选择其他承包商。</w:t>
      </w:r>
    </w:p>
    <w:p>
      <w:pPr>
        <w:spacing w:line="360" w:lineRule="auto"/>
        <w:ind w:firstLine="480" w:firstLineChars="200"/>
        <w:jc w:val="left"/>
        <w:textAlignment w:val="bottom"/>
        <w:rPr>
          <w:rFonts w:ascii="宋体" w:hAnsi="宋体"/>
          <w:b/>
          <w:color w:val="auto"/>
          <w:sz w:val="24"/>
          <w:highlight w:val="none"/>
        </w:rPr>
      </w:pPr>
      <w:r>
        <w:rPr>
          <w:rFonts w:ascii="宋体" w:hAnsi="宋体"/>
          <w:color w:val="auto"/>
          <w:sz w:val="24"/>
          <w:highlight w:val="none"/>
        </w:rPr>
        <w:t>6、我方承诺：本公司没有处于被责令停业的状态；本公司没有处于财产被接管、冻结、破产的状态；本公司、本公司主要负责人及拟投入人员在合同履行方面近三年内没有因违反有关法律、法规规定受到相关行政管理部门的行政处罚；本公司、本公司主要负责人及拟投入人员在合同履行方面近三年内没有因违反有关法律、法规规定被纪检监察、检察部门立案并查证有违法行为；</w:t>
      </w:r>
      <w:r>
        <w:rPr>
          <w:rFonts w:ascii="宋体" w:hAnsi="宋体"/>
          <w:b/>
          <w:color w:val="auto"/>
          <w:sz w:val="24"/>
          <w:highlight w:val="none"/>
        </w:rPr>
        <w:t>本公司至201</w:t>
      </w:r>
      <w:r>
        <w:rPr>
          <w:rFonts w:hint="eastAsia" w:ascii="宋体" w:hAnsi="宋体"/>
          <w:b/>
          <w:color w:val="auto"/>
          <w:sz w:val="24"/>
          <w:highlight w:val="none"/>
        </w:rPr>
        <w:t>9</w:t>
      </w:r>
      <w:r>
        <w:rPr>
          <w:rFonts w:ascii="宋体" w:hAnsi="宋体"/>
          <w:b/>
          <w:color w:val="auto"/>
          <w:sz w:val="24"/>
          <w:highlight w:val="none"/>
        </w:rPr>
        <w:t>年  月  日止没有发生过任何业务履约不良记录。</w:t>
      </w:r>
    </w:p>
    <w:p>
      <w:pPr>
        <w:tabs>
          <w:tab w:val="left" w:pos="-120"/>
        </w:tabs>
        <w:textAlignment w:val="bottom"/>
        <w:rPr>
          <w:rFonts w:ascii="宋体" w:hAnsi="宋体"/>
          <w:color w:val="auto"/>
          <w:sz w:val="24"/>
          <w:highlight w:val="none"/>
        </w:rPr>
      </w:pPr>
    </w:p>
    <w:p>
      <w:pPr>
        <w:tabs>
          <w:tab w:val="left" w:pos="-120"/>
        </w:tabs>
        <w:textAlignment w:val="bottom"/>
        <w:rPr>
          <w:rFonts w:ascii="宋体" w:hAnsi="宋体"/>
          <w:color w:val="auto"/>
          <w:sz w:val="24"/>
          <w:highlight w:val="none"/>
        </w:rPr>
      </w:pPr>
    </w:p>
    <w:p>
      <w:pPr>
        <w:tabs>
          <w:tab w:val="left" w:pos="-120"/>
        </w:tabs>
        <w:textAlignment w:val="bottom"/>
        <w:rPr>
          <w:rFonts w:ascii="宋体" w:hAnsi="宋体"/>
          <w:color w:val="auto"/>
          <w:sz w:val="24"/>
          <w:highlight w:val="none"/>
        </w:rPr>
      </w:pPr>
    </w:p>
    <w:p>
      <w:pPr>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法定代表人或委托代理人签字：</w:t>
      </w:r>
    </w:p>
    <w:p>
      <w:pPr>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响应人公章：</w:t>
      </w:r>
    </w:p>
    <w:p>
      <w:pPr>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日期：　　　　年　　月　　日</w:t>
      </w:r>
    </w:p>
    <w:p>
      <w:pPr>
        <w:pStyle w:val="3"/>
        <w:keepNext w:val="0"/>
        <w:keepLines w:val="0"/>
        <w:widowControl w:val="0"/>
        <w:rPr>
          <w:rFonts w:ascii="宋体" w:hAnsi="宋体" w:eastAsia="宋体"/>
          <w:b w:val="0"/>
          <w:color w:val="auto"/>
          <w:sz w:val="24"/>
          <w:szCs w:val="24"/>
          <w:highlight w:val="none"/>
          <w:lang w:val="zh-CN"/>
        </w:rPr>
      </w:pPr>
      <w:bookmarkStart w:id="12" w:name="_Toc528057719"/>
      <w:bookmarkStart w:id="13" w:name="_Toc484832687"/>
      <w:bookmarkStart w:id="14" w:name="_Toc484518268"/>
      <w:bookmarkStart w:id="15" w:name="_Toc486658976"/>
      <w:r>
        <w:rPr>
          <w:rFonts w:ascii="宋体" w:hAnsi="宋体" w:eastAsia="宋体"/>
          <w:color w:val="auto"/>
          <w:sz w:val="24"/>
          <w:szCs w:val="24"/>
          <w:highlight w:val="none"/>
          <w:lang w:val="zh-CN"/>
        </w:rPr>
        <w:br w:type="page"/>
      </w:r>
      <w:r>
        <w:rPr>
          <w:rFonts w:ascii="宋体" w:hAnsi="宋体" w:eastAsia="宋体"/>
          <w:b w:val="0"/>
          <w:color w:val="auto"/>
          <w:sz w:val="24"/>
          <w:szCs w:val="24"/>
          <w:highlight w:val="none"/>
          <w:lang w:val="zh-CN"/>
        </w:rPr>
        <w:t>附件6</w:t>
      </w:r>
    </w:p>
    <w:p>
      <w:pPr>
        <w:pStyle w:val="3"/>
        <w:keepNext w:val="0"/>
        <w:keepLines w:val="0"/>
        <w:widowControl w:val="0"/>
        <w:jc w:val="center"/>
        <w:rPr>
          <w:rFonts w:ascii="宋体" w:hAnsi="宋体" w:eastAsia="宋体"/>
          <w:color w:val="auto"/>
          <w:sz w:val="30"/>
          <w:szCs w:val="30"/>
          <w:highlight w:val="none"/>
          <w:lang w:val="zh-CN"/>
        </w:rPr>
      </w:pPr>
      <w:r>
        <w:rPr>
          <w:rFonts w:ascii="宋体" w:hAnsi="宋体" w:eastAsia="宋体"/>
          <w:color w:val="auto"/>
          <w:sz w:val="30"/>
          <w:szCs w:val="30"/>
          <w:highlight w:val="none"/>
          <w:lang w:val="zh-CN"/>
        </w:rPr>
        <w:t>差异表</w:t>
      </w:r>
    </w:p>
    <w:p>
      <w:pPr>
        <w:ind w:left="1274" w:hanging="1274" w:hangingChars="531"/>
        <w:rPr>
          <w:rFonts w:ascii="宋体" w:hAnsi="宋体"/>
          <w:color w:val="auto"/>
          <w:sz w:val="24"/>
          <w:highlight w:val="none"/>
          <w:lang w:val="zh-CN"/>
        </w:rPr>
      </w:pPr>
      <w:r>
        <w:rPr>
          <w:rFonts w:ascii="宋体" w:hAnsi="宋体"/>
          <w:color w:val="auto"/>
          <w:sz w:val="24"/>
          <w:highlight w:val="none"/>
        </w:rPr>
        <w:t>项目名称：佛山市恒益环保建材有限公司脱硫石膏销售项目</w:t>
      </w:r>
    </w:p>
    <w:tbl>
      <w:tblPr>
        <w:tblStyle w:val="28"/>
        <w:tblW w:w="86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85"/>
        <w:gridCol w:w="2100"/>
        <w:gridCol w:w="199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840" w:type="dxa"/>
            <w:vMerge w:val="restart"/>
            <w:vAlign w:val="center"/>
          </w:tcPr>
          <w:p>
            <w:pPr>
              <w:spacing w:line="480" w:lineRule="auto"/>
              <w:jc w:val="center"/>
              <w:rPr>
                <w:rFonts w:ascii="宋体" w:hAnsi="宋体"/>
                <w:color w:val="auto"/>
                <w:sz w:val="24"/>
                <w:highlight w:val="none"/>
              </w:rPr>
            </w:pPr>
            <w:r>
              <w:rPr>
                <w:rFonts w:ascii="宋体" w:hAnsi="宋体"/>
                <w:color w:val="auto"/>
                <w:sz w:val="24"/>
                <w:highlight w:val="none"/>
              </w:rPr>
              <w:t>序号</w:t>
            </w:r>
          </w:p>
        </w:tc>
        <w:tc>
          <w:tcPr>
            <w:tcW w:w="3885" w:type="dxa"/>
            <w:gridSpan w:val="2"/>
            <w:vAlign w:val="center"/>
          </w:tcPr>
          <w:p>
            <w:pPr>
              <w:jc w:val="center"/>
              <w:rPr>
                <w:rFonts w:ascii="宋体" w:hAnsi="宋体"/>
                <w:color w:val="auto"/>
                <w:sz w:val="24"/>
                <w:highlight w:val="none"/>
              </w:rPr>
            </w:pPr>
            <w:r>
              <w:rPr>
                <w:rFonts w:ascii="宋体" w:hAnsi="宋体"/>
                <w:color w:val="auto"/>
                <w:sz w:val="24"/>
                <w:highlight w:val="none"/>
              </w:rPr>
              <w:t>发包人竞争性谈判文件</w:t>
            </w:r>
          </w:p>
        </w:tc>
        <w:tc>
          <w:tcPr>
            <w:tcW w:w="3885" w:type="dxa"/>
            <w:gridSpan w:val="2"/>
            <w:vAlign w:val="center"/>
          </w:tcPr>
          <w:p>
            <w:pPr>
              <w:jc w:val="center"/>
              <w:rPr>
                <w:rFonts w:ascii="宋体" w:hAnsi="宋体"/>
                <w:color w:val="auto"/>
                <w:sz w:val="24"/>
                <w:highlight w:val="none"/>
              </w:rPr>
            </w:pPr>
            <w:r>
              <w:rPr>
                <w:rFonts w:ascii="宋体" w:hAnsi="宋体"/>
                <w:color w:val="auto"/>
                <w:sz w:val="24"/>
                <w:highlight w:val="none"/>
              </w:rPr>
              <w:t>响应人响应文件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840" w:type="dxa"/>
            <w:vMerge w:val="continue"/>
            <w:vAlign w:val="center"/>
          </w:tcPr>
          <w:p>
            <w:pPr>
              <w:spacing w:line="480" w:lineRule="auto"/>
              <w:jc w:val="center"/>
              <w:rPr>
                <w:rFonts w:ascii="宋体" w:hAnsi="宋体"/>
                <w:color w:val="auto"/>
                <w:sz w:val="24"/>
                <w:highlight w:val="none"/>
              </w:rPr>
            </w:pPr>
          </w:p>
        </w:tc>
        <w:tc>
          <w:tcPr>
            <w:tcW w:w="1785" w:type="dxa"/>
            <w:vAlign w:val="center"/>
          </w:tcPr>
          <w:p>
            <w:pPr>
              <w:pStyle w:val="43"/>
              <w:widowControl w:val="0"/>
              <w:pBdr>
                <w:left w:val="none" w:color="auto" w:sz="0" w:space="0"/>
                <w:right w:val="none" w:color="auto" w:sz="0" w:space="0"/>
              </w:pBdr>
              <w:spacing w:before="0" w:beforeAutospacing="0" w:after="0" w:afterAutospacing="0"/>
              <w:textAlignment w:val="auto"/>
              <w:rPr>
                <w:color w:val="auto"/>
                <w:kern w:val="2"/>
                <w:highlight w:val="none"/>
              </w:rPr>
            </w:pPr>
            <w:r>
              <w:rPr>
                <w:color w:val="auto"/>
                <w:kern w:val="2"/>
                <w:highlight w:val="none"/>
              </w:rPr>
              <w:t>条目</w:t>
            </w:r>
          </w:p>
        </w:tc>
        <w:tc>
          <w:tcPr>
            <w:tcW w:w="2100" w:type="dxa"/>
            <w:vAlign w:val="center"/>
          </w:tcPr>
          <w:p>
            <w:pPr>
              <w:jc w:val="center"/>
              <w:rPr>
                <w:rFonts w:ascii="宋体" w:hAnsi="宋体"/>
                <w:color w:val="auto"/>
                <w:sz w:val="24"/>
                <w:highlight w:val="none"/>
              </w:rPr>
            </w:pPr>
            <w:r>
              <w:rPr>
                <w:rFonts w:ascii="宋体" w:hAnsi="宋体"/>
                <w:color w:val="auto"/>
                <w:sz w:val="24"/>
                <w:highlight w:val="none"/>
              </w:rPr>
              <w:t>简要内容</w:t>
            </w:r>
          </w:p>
        </w:tc>
        <w:tc>
          <w:tcPr>
            <w:tcW w:w="1995" w:type="dxa"/>
            <w:vAlign w:val="center"/>
          </w:tcPr>
          <w:p>
            <w:pPr>
              <w:jc w:val="center"/>
              <w:rPr>
                <w:rFonts w:ascii="宋体" w:hAnsi="宋体"/>
                <w:color w:val="auto"/>
                <w:sz w:val="24"/>
                <w:highlight w:val="none"/>
              </w:rPr>
            </w:pPr>
            <w:r>
              <w:rPr>
                <w:rFonts w:ascii="宋体" w:hAnsi="宋体"/>
                <w:color w:val="auto"/>
                <w:sz w:val="24"/>
                <w:highlight w:val="none"/>
              </w:rPr>
              <w:t>条目</w:t>
            </w:r>
          </w:p>
        </w:tc>
        <w:tc>
          <w:tcPr>
            <w:tcW w:w="1890" w:type="dxa"/>
            <w:vAlign w:val="center"/>
          </w:tcPr>
          <w:p>
            <w:pPr>
              <w:jc w:val="center"/>
              <w:rPr>
                <w:rFonts w:ascii="宋体" w:hAnsi="宋体"/>
                <w:color w:val="auto"/>
                <w:sz w:val="24"/>
                <w:highlight w:val="none"/>
              </w:rPr>
            </w:pPr>
            <w:r>
              <w:rPr>
                <w:rFonts w:ascii="宋体" w:hAnsi="宋体"/>
                <w:color w:val="auto"/>
                <w:sz w:val="24"/>
                <w:highlight w:val="none"/>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vAlign w:val="center"/>
          </w:tcPr>
          <w:p>
            <w:pPr>
              <w:spacing w:line="480" w:lineRule="auto"/>
              <w:jc w:val="center"/>
              <w:rPr>
                <w:rFonts w:ascii="宋体" w:hAnsi="宋体"/>
                <w:color w:val="auto"/>
                <w:sz w:val="24"/>
                <w:highlight w:val="none"/>
              </w:rPr>
            </w:pPr>
          </w:p>
        </w:tc>
        <w:tc>
          <w:tcPr>
            <w:tcW w:w="1785" w:type="dxa"/>
            <w:vAlign w:val="center"/>
          </w:tcPr>
          <w:p>
            <w:pPr>
              <w:spacing w:line="480" w:lineRule="auto"/>
              <w:jc w:val="center"/>
              <w:rPr>
                <w:rFonts w:ascii="宋体" w:hAnsi="宋体"/>
                <w:color w:val="auto"/>
                <w:sz w:val="24"/>
                <w:highlight w:val="none"/>
              </w:rPr>
            </w:pPr>
          </w:p>
        </w:tc>
        <w:tc>
          <w:tcPr>
            <w:tcW w:w="2100" w:type="dxa"/>
            <w:vAlign w:val="center"/>
          </w:tcPr>
          <w:p>
            <w:pPr>
              <w:spacing w:line="480" w:lineRule="auto"/>
              <w:jc w:val="center"/>
              <w:rPr>
                <w:rFonts w:ascii="宋体" w:hAnsi="宋体"/>
                <w:color w:val="auto"/>
                <w:sz w:val="24"/>
                <w:highlight w:val="none"/>
              </w:rPr>
            </w:pPr>
          </w:p>
        </w:tc>
        <w:tc>
          <w:tcPr>
            <w:tcW w:w="1995" w:type="dxa"/>
            <w:vAlign w:val="center"/>
          </w:tcPr>
          <w:p>
            <w:pPr>
              <w:pStyle w:val="43"/>
              <w:widowControl w:val="0"/>
              <w:pBdr>
                <w:left w:val="none" w:color="auto" w:sz="0" w:space="0"/>
                <w:right w:val="none" w:color="auto" w:sz="0" w:space="0"/>
              </w:pBdr>
              <w:spacing w:before="0" w:beforeAutospacing="0" w:after="0" w:afterAutospacing="0" w:line="480" w:lineRule="auto"/>
              <w:textAlignment w:val="auto"/>
              <w:rPr>
                <w:color w:val="auto"/>
                <w:kern w:val="2"/>
                <w:highlight w:val="none"/>
              </w:rPr>
            </w:pPr>
          </w:p>
        </w:tc>
        <w:tc>
          <w:tcPr>
            <w:tcW w:w="1890" w:type="dxa"/>
            <w:vAlign w:val="center"/>
          </w:tcPr>
          <w:p>
            <w:pPr>
              <w:spacing w:line="48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tcPr>
          <w:p>
            <w:pPr>
              <w:spacing w:line="480" w:lineRule="auto"/>
              <w:jc w:val="left"/>
              <w:rPr>
                <w:rFonts w:ascii="宋体" w:hAnsi="宋体"/>
                <w:color w:val="auto"/>
                <w:sz w:val="24"/>
                <w:highlight w:val="none"/>
              </w:rPr>
            </w:pPr>
          </w:p>
        </w:tc>
        <w:tc>
          <w:tcPr>
            <w:tcW w:w="1785" w:type="dxa"/>
          </w:tcPr>
          <w:p>
            <w:pPr>
              <w:spacing w:line="480" w:lineRule="auto"/>
              <w:jc w:val="left"/>
              <w:rPr>
                <w:rFonts w:ascii="宋体" w:hAnsi="宋体"/>
                <w:color w:val="auto"/>
                <w:sz w:val="24"/>
                <w:highlight w:val="none"/>
              </w:rPr>
            </w:pPr>
          </w:p>
        </w:tc>
        <w:tc>
          <w:tcPr>
            <w:tcW w:w="2100" w:type="dxa"/>
          </w:tcPr>
          <w:p>
            <w:pPr>
              <w:spacing w:line="480" w:lineRule="auto"/>
              <w:jc w:val="left"/>
              <w:rPr>
                <w:rFonts w:ascii="宋体" w:hAnsi="宋体"/>
                <w:color w:val="auto"/>
                <w:sz w:val="24"/>
                <w:highlight w:val="none"/>
              </w:rPr>
            </w:pPr>
          </w:p>
        </w:tc>
        <w:tc>
          <w:tcPr>
            <w:tcW w:w="1995" w:type="dxa"/>
          </w:tcPr>
          <w:p>
            <w:pPr>
              <w:spacing w:line="480" w:lineRule="auto"/>
              <w:jc w:val="left"/>
              <w:rPr>
                <w:rFonts w:ascii="宋体" w:hAnsi="宋体"/>
                <w:color w:val="auto"/>
                <w:sz w:val="24"/>
                <w:highlight w:val="none"/>
              </w:rPr>
            </w:pPr>
          </w:p>
        </w:tc>
        <w:tc>
          <w:tcPr>
            <w:tcW w:w="1890" w:type="dxa"/>
          </w:tcPr>
          <w:p>
            <w:pPr>
              <w:spacing w:line="480"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tcPr>
          <w:p>
            <w:pPr>
              <w:spacing w:line="480" w:lineRule="auto"/>
              <w:jc w:val="left"/>
              <w:rPr>
                <w:rFonts w:ascii="宋体" w:hAnsi="宋体"/>
                <w:color w:val="auto"/>
                <w:sz w:val="24"/>
                <w:highlight w:val="none"/>
              </w:rPr>
            </w:pPr>
          </w:p>
        </w:tc>
        <w:tc>
          <w:tcPr>
            <w:tcW w:w="1785" w:type="dxa"/>
          </w:tcPr>
          <w:p>
            <w:pPr>
              <w:spacing w:line="480" w:lineRule="auto"/>
              <w:jc w:val="left"/>
              <w:rPr>
                <w:rFonts w:ascii="宋体" w:hAnsi="宋体"/>
                <w:color w:val="auto"/>
                <w:sz w:val="24"/>
                <w:highlight w:val="none"/>
              </w:rPr>
            </w:pPr>
          </w:p>
        </w:tc>
        <w:tc>
          <w:tcPr>
            <w:tcW w:w="2100" w:type="dxa"/>
          </w:tcPr>
          <w:p>
            <w:pPr>
              <w:spacing w:line="480" w:lineRule="auto"/>
              <w:jc w:val="left"/>
              <w:rPr>
                <w:rFonts w:ascii="宋体" w:hAnsi="宋体"/>
                <w:color w:val="auto"/>
                <w:sz w:val="24"/>
                <w:highlight w:val="none"/>
              </w:rPr>
            </w:pPr>
          </w:p>
        </w:tc>
        <w:tc>
          <w:tcPr>
            <w:tcW w:w="1995" w:type="dxa"/>
          </w:tcPr>
          <w:p>
            <w:pPr>
              <w:spacing w:line="480" w:lineRule="auto"/>
              <w:jc w:val="left"/>
              <w:rPr>
                <w:rFonts w:ascii="宋体" w:hAnsi="宋体"/>
                <w:color w:val="auto"/>
                <w:sz w:val="24"/>
                <w:highlight w:val="none"/>
              </w:rPr>
            </w:pPr>
          </w:p>
        </w:tc>
        <w:tc>
          <w:tcPr>
            <w:tcW w:w="1890" w:type="dxa"/>
          </w:tcPr>
          <w:p>
            <w:pPr>
              <w:spacing w:line="480"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tcPr>
          <w:p>
            <w:pPr>
              <w:spacing w:line="480" w:lineRule="auto"/>
              <w:jc w:val="left"/>
              <w:rPr>
                <w:rFonts w:ascii="宋体" w:hAnsi="宋体"/>
                <w:color w:val="auto"/>
                <w:sz w:val="24"/>
                <w:highlight w:val="none"/>
              </w:rPr>
            </w:pPr>
          </w:p>
        </w:tc>
        <w:tc>
          <w:tcPr>
            <w:tcW w:w="1785" w:type="dxa"/>
          </w:tcPr>
          <w:p>
            <w:pPr>
              <w:spacing w:line="480" w:lineRule="auto"/>
              <w:jc w:val="left"/>
              <w:rPr>
                <w:rFonts w:ascii="宋体" w:hAnsi="宋体"/>
                <w:color w:val="auto"/>
                <w:sz w:val="24"/>
                <w:highlight w:val="none"/>
              </w:rPr>
            </w:pPr>
          </w:p>
        </w:tc>
        <w:tc>
          <w:tcPr>
            <w:tcW w:w="2100" w:type="dxa"/>
          </w:tcPr>
          <w:p>
            <w:pPr>
              <w:spacing w:line="480" w:lineRule="auto"/>
              <w:jc w:val="left"/>
              <w:rPr>
                <w:rFonts w:ascii="宋体" w:hAnsi="宋体"/>
                <w:color w:val="auto"/>
                <w:sz w:val="24"/>
                <w:highlight w:val="none"/>
              </w:rPr>
            </w:pPr>
          </w:p>
        </w:tc>
        <w:tc>
          <w:tcPr>
            <w:tcW w:w="1995" w:type="dxa"/>
          </w:tcPr>
          <w:p>
            <w:pPr>
              <w:spacing w:line="480" w:lineRule="auto"/>
              <w:jc w:val="left"/>
              <w:rPr>
                <w:rFonts w:ascii="宋体" w:hAnsi="宋体"/>
                <w:color w:val="auto"/>
                <w:sz w:val="24"/>
                <w:highlight w:val="none"/>
              </w:rPr>
            </w:pPr>
          </w:p>
        </w:tc>
        <w:tc>
          <w:tcPr>
            <w:tcW w:w="1890" w:type="dxa"/>
          </w:tcPr>
          <w:p>
            <w:pPr>
              <w:spacing w:line="480"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tcPr>
          <w:p>
            <w:pPr>
              <w:spacing w:line="480" w:lineRule="auto"/>
              <w:jc w:val="left"/>
              <w:rPr>
                <w:rFonts w:ascii="宋体" w:hAnsi="宋体"/>
                <w:color w:val="auto"/>
                <w:sz w:val="24"/>
                <w:highlight w:val="none"/>
              </w:rPr>
            </w:pPr>
          </w:p>
        </w:tc>
        <w:tc>
          <w:tcPr>
            <w:tcW w:w="1785" w:type="dxa"/>
          </w:tcPr>
          <w:p>
            <w:pPr>
              <w:spacing w:line="480" w:lineRule="auto"/>
              <w:jc w:val="left"/>
              <w:rPr>
                <w:rFonts w:ascii="宋体" w:hAnsi="宋体"/>
                <w:color w:val="auto"/>
                <w:sz w:val="24"/>
                <w:highlight w:val="none"/>
              </w:rPr>
            </w:pPr>
          </w:p>
        </w:tc>
        <w:tc>
          <w:tcPr>
            <w:tcW w:w="2100" w:type="dxa"/>
          </w:tcPr>
          <w:p>
            <w:pPr>
              <w:spacing w:line="480" w:lineRule="auto"/>
              <w:jc w:val="left"/>
              <w:rPr>
                <w:rFonts w:ascii="宋体" w:hAnsi="宋体"/>
                <w:color w:val="auto"/>
                <w:sz w:val="24"/>
                <w:highlight w:val="none"/>
              </w:rPr>
            </w:pPr>
          </w:p>
        </w:tc>
        <w:tc>
          <w:tcPr>
            <w:tcW w:w="1995" w:type="dxa"/>
          </w:tcPr>
          <w:p>
            <w:pPr>
              <w:spacing w:line="480" w:lineRule="auto"/>
              <w:jc w:val="left"/>
              <w:rPr>
                <w:rFonts w:ascii="宋体" w:hAnsi="宋体"/>
                <w:color w:val="auto"/>
                <w:sz w:val="24"/>
                <w:highlight w:val="none"/>
              </w:rPr>
            </w:pPr>
          </w:p>
        </w:tc>
        <w:tc>
          <w:tcPr>
            <w:tcW w:w="1890" w:type="dxa"/>
          </w:tcPr>
          <w:p>
            <w:pPr>
              <w:spacing w:line="480"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tcPr>
          <w:p>
            <w:pPr>
              <w:spacing w:line="480" w:lineRule="auto"/>
              <w:jc w:val="left"/>
              <w:rPr>
                <w:rFonts w:ascii="宋体" w:hAnsi="宋体"/>
                <w:color w:val="auto"/>
                <w:sz w:val="24"/>
                <w:highlight w:val="none"/>
              </w:rPr>
            </w:pPr>
          </w:p>
        </w:tc>
        <w:tc>
          <w:tcPr>
            <w:tcW w:w="1785" w:type="dxa"/>
          </w:tcPr>
          <w:p>
            <w:pPr>
              <w:spacing w:line="480" w:lineRule="auto"/>
              <w:jc w:val="left"/>
              <w:rPr>
                <w:rFonts w:ascii="宋体" w:hAnsi="宋体"/>
                <w:color w:val="auto"/>
                <w:sz w:val="24"/>
                <w:highlight w:val="none"/>
              </w:rPr>
            </w:pPr>
          </w:p>
        </w:tc>
        <w:tc>
          <w:tcPr>
            <w:tcW w:w="2100" w:type="dxa"/>
          </w:tcPr>
          <w:p>
            <w:pPr>
              <w:spacing w:line="480" w:lineRule="auto"/>
              <w:jc w:val="left"/>
              <w:rPr>
                <w:rFonts w:ascii="宋体" w:hAnsi="宋体"/>
                <w:color w:val="auto"/>
                <w:sz w:val="24"/>
                <w:highlight w:val="none"/>
              </w:rPr>
            </w:pPr>
          </w:p>
        </w:tc>
        <w:tc>
          <w:tcPr>
            <w:tcW w:w="1995" w:type="dxa"/>
          </w:tcPr>
          <w:p>
            <w:pPr>
              <w:spacing w:line="480" w:lineRule="auto"/>
              <w:jc w:val="left"/>
              <w:rPr>
                <w:rFonts w:ascii="宋体" w:hAnsi="宋体"/>
                <w:color w:val="auto"/>
                <w:sz w:val="24"/>
                <w:highlight w:val="none"/>
              </w:rPr>
            </w:pPr>
          </w:p>
        </w:tc>
        <w:tc>
          <w:tcPr>
            <w:tcW w:w="1890" w:type="dxa"/>
          </w:tcPr>
          <w:p>
            <w:pPr>
              <w:spacing w:line="480"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tcPr>
          <w:p>
            <w:pPr>
              <w:spacing w:line="480" w:lineRule="auto"/>
              <w:jc w:val="left"/>
              <w:rPr>
                <w:rFonts w:ascii="宋体" w:hAnsi="宋体"/>
                <w:color w:val="auto"/>
                <w:sz w:val="24"/>
                <w:highlight w:val="none"/>
              </w:rPr>
            </w:pPr>
          </w:p>
        </w:tc>
        <w:tc>
          <w:tcPr>
            <w:tcW w:w="1785" w:type="dxa"/>
          </w:tcPr>
          <w:p>
            <w:pPr>
              <w:spacing w:line="480" w:lineRule="auto"/>
              <w:jc w:val="left"/>
              <w:rPr>
                <w:rFonts w:ascii="宋体" w:hAnsi="宋体"/>
                <w:color w:val="auto"/>
                <w:sz w:val="24"/>
                <w:highlight w:val="none"/>
              </w:rPr>
            </w:pPr>
          </w:p>
        </w:tc>
        <w:tc>
          <w:tcPr>
            <w:tcW w:w="2100" w:type="dxa"/>
          </w:tcPr>
          <w:p>
            <w:pPr>
              <w:spacing w:line="480" w:lineRule="auto"/>
              <w:jc w:val="left"/>
              <w:rPr>
                <w:rFonts w:ascii="宋体" w:hAnsi="宋体"/>
                <w:color w:val="auto"/>
                <w:sz w:val="24"/>
                <w:highlight w:val="none"/>
              </w:rPr>
            </w:pPr>
          </w:p>
        </w:tc>
        <w:tc>
          <w:tcPr>
            <w:tcW w:w="1995" w:type="dxa"/>
          </w:tcPr>
          <w:p>
            <w:pPr>
              <w:spacing w:line="480" w:lineRule="auto"/>
              <w:jc w:val="left"/>
              <w:rPr>
                <w:rFonts w:ascii="宋体" w:hAnsi="宋体"/>
                <w:color w:val="auto"/>
                <w:sz w:val="24"/>
                <w:highlight w:val="none"/>
              </w:rPr>
            </w:pPr>
          </w:p>
        </w:tc>
        <w:tc>
          <w:tcPr>
            <w:tcW w:w="1890" w:type="dxa"/>
          </w:tcPr>
          <w:p>
            <w:pPr>
              <w:spacing w:line="480"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tcPr>
          <w:p>
            <w:pPr>
              <w:spacing w:line="480" w:lineRule="auto"/>
              <w:jc w:val="left"/>
              <w:rPr>
                <w:rFonts w:ascii="宋体" w:hAnsi="宋体"/>
                <w:color w:val="auto"/>
                <w:sz w:val="24"/>
                <w:highlight w:val="none"/>
              </w:rPr>
            </w:pPr>
          </w:p>
        </w:tc>
        <w:tc>
          <w:tcPr>
            <w:tcW w:w="1785" w:type="dxa"/>
          </w:tcPr>
          <w:p>
            <w:pPr>
              <w:spacing w:line="480" w:lineRule="auto"/>
              <w:jc w:val="left"/>
              <w:rPr>
                <w:rFonts w:ascii="宋体" w:hAnsi="宋体"/>
                <w:color w:val="auto"/>
                <w:sz w:val="24"/>
                <w:highlight w:val="none"/>
              </w:rPr>
            </w:pPr>
          </w:p>
        </w:tc>
        <w:tc>
          <w:tcPr>
            <w:tcW w:w="2100" w:type="dxa"/>
          </w:tcPr>
          <w:p>
            <w:pPr>
              <w:spacing w:line="480" w:lineRule="auto"/>
              <w:jc w:val="left"/>
              <w:rPr>
                <w:rFonts w:ascii="宋体" w:hAnsi="宋体"/>
                <w:color w:val="auto"/>
                <w:sz w:val="24"/>
                <w:highlight w:val="none"/>
              </w:rPr>
            </w:pPr>
          </w:p>
        </w:tc>
        <w:tc>
          <w:tcPr>
            <w:tcW w:w="1995" w:type="dxa"/>
          </w:tcPr>
          <w:p>
            <w:pPr>
              <w:spacing w:line="480" w:lineRule="auto"/>
              <w:jc w:val="left"/>
              <w:rPr>
                <w:rFonts w:ascii="宋体" w:hAnsi="宋体"/>
                <w:color w:val="auto"/>
                <w:sz w:val="24"/>
                <w:highlight w:val="none"/>
              </w:rPr>
            </w:pPr>
          </w:p>
        </w:tc>
        <w:tc>
          <w:tcPr>
            <w:tcW w:w="1890" w:type="dxa"/>
          </w:tcPr>
          <w:p>
            <w:pPr>
              <w:spacing w:line="480"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tcPr>
          <w:p>
            <w:pPr>
              <w:spacing w:line="480" w:lineRule="auto"/>
              <w:jc w:val="left"/>
              <w:rPr>
                <w:rFonts w:ascii="宋体" w:hAnsi="宋体"/>
                <w:color w:val="auto"/>
                <w:sz w:val="24"/>
                <w:highlight w:val="none"/>
              </w:rPr>
            </w:pPr>
          </w:p>
        </w:tc>
        <w:tc>
          <w:tcPr>
            <w:tcW w:w="1785" w:type="dxa"/>
          </w:tcPr>
          <w:p>
            <w:pPr>
              <w:spacing w:line="480" w:lineRule="auto"/>
              <w:jc w:val="left"/>
              <w:rPr>
                <w:rFonts w:ascii="宋体" w:hAnsi="宋体"/>
                <w:color w:val="auto"/>
                <w:sz w:val="24"/>
                <w:highlight w:val="none"/>
              </w:rPr>
            </w:pPr>
          </w:p>
        </w:tc>
        <w:tc>
          <w:tcPr>
            <w:tcW w:w="2100" w:type="dxa"/>
          </w:tcPr>
          <w:p>
            <w:pPr>
              <w:spacing w:line="480" w:lineRule="auto"/>
              <w:jc w:val="left"/>
              <w:rPr>
                <w:rFonts w:ascii="宋体" w:hAnsi="宋体"/>
                <w:color w:val="auto"/>
                <w:sz w:val="24"/>
                <w:highlight w:val="none"/>
              </w:rPr>
            </w:pPr>
          </w:p>
        </w:tc>
        <w:tc>
          <w:tcPr>
            <w:tcW w:w="1995" w:type="dxa"/>
          </w:tcPr>
          <w:p>
            <w:pPr>
              <w:pStyle w:val="26"/>
              <w:widowControl w:val="0"/>
              <w:spacing w:before="0" w:after="0" w:line="480" w:lineRule="auto"/>
              <w:ind w:left="0" w:firstLine="0"/>
              <w:rPr>
                <w:rFonts w:cs="Times New Roman"/>
                <w:color w:val="auto"/>
                <w:kern w:val="2"/>
                <w:szCs w:val="24"/>
                <w:highlight w:val="none"/>
              </w:rPr>
            </w:pPr>
          </w:p>
        </w:tc>
        <w:tc>
          <w:tcPr>
            <w:tcW w:w="1890" w:type="dxa"/>
          </w:tcPr>
          <w:p>
            <w:pPr>
              <w:spacing w:line="480" w:lineRule="auto"/>
              <w:jc w:val="left"/>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0" w:type="dxa"/>
          </w:tcPr>
          <w:p>
            <w:pPr>
              <w:spacing w:line="480" w:lineRule="auto"/>
              <w:jc w:val="left"/>
              <w:rPr>
                <w:rFonts w:ascii="宋体" w:hAnsi="宋体"/>
                <w:color w:val="auto"/>
                <w:sz w:val="24"/>
                <w:highlight w:val="none"/>
              </w:rPr>
            </w:pPr>
          </w:p>
        </w:tc>
        <w:tc>
          <w:tcPr>
            <w:tcW w:w="1785" w:type="dxa"/>
          </w:tcPr>
          <w:p>
            <w:pPr>
              <w:spacing w:line="480" w:lineRule="auto"/>
              <w:jc w:val="left"/>
              <w:rPr>
                <w:rFonts w:ascii="宋体" w:hAnsi="宋体"/>
                <w:color w:val="auto"/>
                <w:sz w:val="24"/>
                <w:highlight w:val="none"/>
              </w:rPr>
            </w:pPr>
          </w:p>
        </w:tc>
        <w:tc>
          <w:tcPr>
            <w:tcW w:w="2100" w:type="dxa"/>
          </w:tcPr>
          <w:p>
            <w:pPr>
              <w:spacing w:line="480" w:lineRule="auto"/>
              <w:jc w:val="left"/>
              <w:rPr>
                <w:rFonts w:ascii="宋体" w:hAnsi="宋体"/>
                <w:color w:val="auto"/>
                <w:sz w:val="24"/>
                <w:highlight w:val="none"/>
              </w:rPr>
            </w:pPr>
          </w:p>
        </w:tc>
        <w:tc>
          <w:tcPr>
            <w:tcW w:w="1995" w:type="dxa"/>
          </w:tcPr>
          <w:p>
            <w:pPr>
              <w:spacing w:line="480" w:lineRule="auto"/>
              <w:jc w:val="left"/>
              <w:rPr>
                <w:rFonts w:ascii="宋体" w:hAnsi="宋体"/>
                <w:color w:val="auto"/>
                <w:sz w:val="24"/>
                <w:highlight w:val="none"/>
              </w:rPr>
            </w:pPr>
          </w:p>
        </w:tc>
        <w:tc>
          <w:tcPr>
            <w:tcW w:w="1890" w:type="dxa"/>
          </w:tcPr>
          <w:p>
            <w:pPr>
              <w:spacing w:line="480" w:lineRule="auto"/>
              <w:jc w:val="left"/>
              <w:rPr>
                <w:rFonts w:ascii="宋体" w:hAnsi="宋体"/>
                <w:color w:val="auto"/>
                <w:sz w:val="24"/>
                <w:highlight w:val="none"/>
              </w:rPr>
            </w:pPr>
          </w:p>
        </w:tc>
      </w:tr>
    </w:tbl>
    <w:p>
      <w:pPr>
        <w:pStyle w:val="25"/>
        <w:spacing w:line="240" w:lineRule="auto"/>
        <w:rPr>
          <w:rFonts w:ascii="宋体" w:hAnsi="宋体"/>
          <w:color w:val="auto"/>
          <w:sz w:val="24"/>
          <w:highlight w:val="none"/>
          <w:u w:val="wave"/>
        </w:rPr>
      </w:pPr>
      <w:r>
        <w:rPr>
          <w:rFonts w:ascii="宋体" w:hAnsi="宋体"/>
          <w:color w:val="auto"/>
          <w:sz w:val="24"/>
          <w:highlight w:val="none"/>
          <w:u w:val="wave"/>
        </w:rPr>
        <w:t>注：响应人要将竞争性谈判文件与响应文件的差异之处汇集成表；如无差异亦需注明。如响应人提出的差异造成实质不响应竞争性谈判文件，其投标可能被拒绝。</w:t>
      </w:r>
    </w:p>
    <w:p>
      <w:pPr>
        <w:autoSpaceDE w:val="0"/>
        <w:autoSpaceDN w:val="0"/>
        <w:adjustRightInd w:val="0"/>
        <w:spacing w:line="360" w:lineRule="auto"/>
        <w:ind w:firstLine="480" w:firstLineChars="200"/>
        <w:jc w:val="left"/>
        <w:rPr>
          <w:rFonts w:ascii="宋体" w:hAnsi="宋体"/>
          <w:color w:val="auto"/>
          <w:sz w:val="24"/>
          <w:highlight w:val="none"/>
          <w:lang w:val="zh-CN"/>
        </w:rPr>
      </w:pPr>
    </w:p>
    <w:p>
      <w:pPr>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法定代表人或委托代理人签字：</w:t>
      </w:r>
    </w:p>
    <w:p>
      <w:pPr>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响应人公章：</w:t>
      </w:r>
    </w:p>
    <w:p>
      <w:pPr>
        <w:autoSpaceDE w:val="0"/>
        <w:autoSpaceDN w:val="0"/>
        <w:adjustRightInd w:val="0"/>
        <w:spacing w:line="360" w:lineRule="auto"/>
        <w:ind w:firstLine="480" w:firstLineChars="200"/>
        <w:jc w:val="left"/>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jc w:val="left"/>
        <w:rPr>
          <w:rFonts w:ascii="宋体" w:hAnsi="宋体"/>
          <w:b/>
          <w:color w:val="auto"/>
          <w:sz w:val="24"/>
          <w:highlight w:val="none"/>
          <w:u w:val="single"/>
        </w:rPr>
      </w:pPr>
    </w:p>
    <w:p>
      <w:pPr>
        <w:spacing w:line="360" w:lineRule="auto"/>
        <w:jc w:val="center"/>
        <w:rPr>
          <w:rFonts w:ascii="宋体" w:hAnsi="宋体"/>
          <w:b/>
          <w:color w:val="auto"/>
          <w:spacing w:val="40"/>
          <w:sz w:val="24"/>
          <w:highlight w:val="none"/>
        </w:rPr>
      </w:pPr>
    </w:p>
    <w:p>
      <w:pPr>
        <w:pStyle w:val="3"/>
        <w:keepNext w:val="0"/>
        <w:keepLines w:val="0"/>
        <w:widowControl w:val="0"/>
        <w:rPr>
          <w:rFonts w:ascii="宋体" w:hAnsi="宋体" w:eastAsia="宋体"/>
          <w:b w:val="0"/>
          <w:color w:val="auto"/>
          <w:sz w:val="24"/>
          <w:szCs w:val="24"/>
          <w:highlight w:val="none"/>
          <w:lang w:val="zh-CN"/>
        </w:rPr>
      </w:pPr>
      <w:r>
        <w:rPr>
          <w:rFonts w:ascii="宋体" w:hAnsi="宋体" w:eastAsia="宋体"/>
          <w:color w:val="auto"/>
          <w:sz w:val="30"/>
          <w:szCs w:val="28"/>
          <w:highlight w:val="none"/>
        </w:rPr>
        <w:br w:type="page"/>
      </w:r>
      <w:bookmarkEnd w:id="12"/>
      <w:bookmarkEnd w:id="13"/>
      <w:bookmarkEnd w:id="14"/>
      <w:bookmarkEnd w:id="15"/>
      <w:bookmarkStart w:id="16" w:name="_Toc223777450"/>
      <w:r>
        <w:rPr>
          <w:rFonts w:ascii="宋体" w:hAnsi="宋体" w:eastAsia="宋体"/>
          <w:b w:val="0"/>
          <w:color w:val="auto"/>
          <w:sz w:val="24"/>
          <w:szCs w:val="24"/>
          <w:highlight w:val="none"/>
          <w:lang w:val="zh-CN"/>
        </w:rPr>
        <w:t>附件7</w:t>
      </w:r>
    </w:p>
    <w:p>
      <w:pPr>
        <w:pStyle w:val="2"/>
        <w:keepNext w:val="0"/>
        <w:keepLines w:val="0"/>
        <w:ind w:firstLine="0" w:firstLineChars="0"/>
        <w:jc w:val="center"/>
        <w:rPr>
          <w:rFonts w:ascii="宋体" w:hAnsi="宋体" w:eastAsia="宋体"/>
          <w:color w:val="auto"/>
          <w:sz w:val="30"/>
          <w:szCs w:val="30"/>
          <w:highlight w:val="none"/>
        </w:rPr>
      </w:pPr>
      <w:r>
        <w:rPr>
          <w:rFonts w:ascii="宋体" w:hAnsi="宋体" w:eastAsia="宋体"/>
          <w:color w:val="auto"/>
          <w:sz w:val="30"/>
          <w:szCs w:val="30"/>
          <w:highlight w:val="none"/>
        </w:rPr>
        <w:t>报价单</w:t>
      </w:r>
    </w:p>
    <w:p>
      <w:pPr>
        <w:pStyle w:val="15"/>
        <w:spacing w:line="500" w:lineRule="exact"/>
        <w:rPr>
          <w:rFonts w:hAnsi="宋体" w:cs="Times New Roman"/>
          <w:color w:val="auto"/>
          <w:sz w:val="24"/>
          <w:szCs w:val="24"/>
          <w:highlight w:val="none"/>
          <w:u w:val="single"/>
        </w:rPr>
      </w:pPr>
      <w:r>
        <w:rPr>
          <w:rFonts w:hAnsi="宋体" w:cs="Times New Roman"/>
          <w:color w:val="auto"/>
          <w:sz w:val="24"/>
          <w:szCs w:val="24"/>
          <w:highlight w:val="none"/>
        </w:rPr>
        <w:t>致：</w:t>
      </w:r>
      <w:r>
        <w:rPr>
          <w:rFonts w:hAnsi="宋体" w:cs="Times New Roman"/>
          <w:color w:val="auto"/>
          <w:sz w:val="24"/>
          <w:szCs w:val="24"/>
          <w:highlight w:val="none"/>
          <w:u w:val="single"/>
        </w:rPr>
        <w:t>佛山市恒益环保建材有限公司</w:t>
      </w:r>
    </w:p>
    <w:p>
      <w:pPr>
        <w:pStyle w:val="15"/>
        <w:spacing w:line="500" w:lineRule="exact"/>
        <w:ind w:firstLine="480" w:firstLineChars="200"/>
        <w:jc w:val="left"/>
        <w:rPr>
          <w:rFonts w:hAnsi="宋体" w:cs="Times New Roman"/>
          <w:color w:val="auto"/>
          <w:sz w:val="24"/>
          <w:szCs w:val="24"/>
          <w:highlight w:val="none"/>
        </w:rPr>
      </w:pPr>
      <w:r>
        <w:rPr>
          <w:rFonts w:hAnsi="宋体" w:cs="Times New Roman"/>
          <w:color w:val="auto"/>
          <w:sz w:val="24"/>
          <w:szCs w:val="24"/>
          <w:highlight w:val="none"/>
        </w:rPr>
        <w:t>我公司的报价如下表，本报价单的有效日期至</w:t>
      </w:r>
      <w:r>
        <w:rPr>
          <w:rFonts w:hAnsi="宋体" w:cs="Times New Roman"/>
          <w:color w:val="auto"/>
          <w:sz w:val="24"/>
          <w:szCs w:val="24"/>
          <w:highlight w:val="none"/>
          <w:u w:val="single"/>
        </w:rPr>
        <w:t xml:space="preserve"> （与</w:t>
      </w:r>
      <w:bookmarkStart w:id="17" w:name="OLE_LINK5"/>
      <w:bookmarkStart w:id="18" w:name="OLE_LINK6"/>
      <w:r>
        <w:rPr>
          <w:rFonts w:hAnsi="宋体" w:cs="Times New Roman"/>
          <w:color w:val="auto"/>
          <w:sz w:val="24"/>
          <w:szCs w:val="24"/>
          <w:highlight w:val="none"/>
          <w:u w:val="single"/>
        </w:rPr>
        <w:t>响应文件有效期</w:t>
      </w:r>
      <w:bookmarkEnd w:id="17"/>
      <w:bookmarkEnd w:id="18"/>
      <w:r>
        <w:rPr>
          <w:rFonts w:hAnsi="宋体" w:cs="Times New Roman"/>
          <w:color w:val="auto"/>
          <w:sz w:val="24"/>
          <w:szCs w:val="24"/>
          <w:highlight w:val="none"/>
          <w:u w:val="single"/>
        </w:rPr>
        <w:t>相同）</w:t>
      </w:r>
      <w:r>
        <w:rPr>
          <w:rFonts w:hAnsi="宋体" w:cs="Times New Roman"/>
          <w:color w:val="auto"/>
          <w:sz w:val="24"/>
          <w:szCs w:val="24"/>
          <w:highlight w:val="none"/>
        </w:rPr>
        <w:t>。本报价单中的价格为固定不变价。</w:t>
      </w:r>
    </w:p>
    <w:p>
      <w:pPr>
        <w:pStyle w:val="15"/>
        <w:spacing w:line="500" w:lineRule="exact"/>
        <w:ind w:firstLine="5040" w:firstLineChars="2100"/>
        <w:rPr>
          <w:rFonts w:hAnsi="宋体" w:cs="Times New Roman"/>
          <w:color w:val="auto"/>
          <w:sz w:val="24"/>
          <w:szCs w:val="24"/>
          <w:highlight w:val="none"/>
        </w:rPr>
      </w:pPr>
      <w:r>
        <w:rPr>
          <w:rFonts w:hAnsi="宋体" w:cs="Times New Roman"/>
          <w:color w:val="auto"/>
          <w:sz w:val="24"/>
          <w:szCs w:val="24"/>
          <w:highlight w:val="none"/>
        </w:rPr>
        <w:t>单位：人民币元</w:t>
      </w:r>
    </w:p>
    <w:tbl>
      <w:tblPr>
        <w:tblStyle w:val="28"/>
        <w:tblW w:w="8946" w:type="dxa"/>
        <w:jc w:val="center"/>
        <w:tblInd w:w="1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78"/>
        <w:gridCol w:w="3134"/>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jc w:val="center"/>
        </w:trPr>
        <w:tc>
          <w:tcPr>
            <w:tcW w:w="900" w:type="dxa"/>
            <w:tcBorders>
              <w:top w:val="single" w:color="auto" w:sz="4" w:space="0"/>
              <w:left w:val="single" w:color="auto" w:sz="4" w:space="0"/>
            </w:tcBorders>
          </w:tcPr>
          <w:p>
            <w:pPr>
              <w:pStyle w:val="15"/>
              <w:spacing w:line="500" w:lineRule="exact"/>
              <w:jc w:val="center"/>
              <w:rPr>
                <w:rFonts w:hAnsi="宋体" w:cs="Times New Roman"/>
                <w:color w:val="auto"/>
                <w:sz w:val="24"/>
                <w:szCs w:val="24"/>
                <w:highlight w:val="none"/>
              </w:rPr>
            </w:pPr>
            <w:r>
              <w:rPr>
                <w:rFonts w:hAnsi="宋体" w:cs="Times New Roman"/>
                <w:color w:val="auto"/>
                <w:sz w:val="24"/>
                <w:szCs w:val="24"/>
                <w:highlight w:val="none"/>
              </w:rPr>
              <w:t>序号</w:t>
            </w:r>
          </w:p>
        </w:tc>
        <w:tc>
          <w:tcPr>
            <w:tcW w:w="1778" w:type="dxa"/>
            <w:tcBorders>
              <w:top w:val="single" w:color="auto" w:sz="4" w:space="0"/>
            </w:tcBorders>
          </w:tcPr>
          <w:p>
            <w:pPr>
              <w:pStyle w:val="15"/>
              <w:spacing w:line="500" w:lineRule="exact"/>
              <w:jc w:val="center"/>
              <w:rPr>
                <w:rFonts w:hAnsi="宋体" w:cs="Times New Roman"/>
                <w:color w:val="auto"/>
                <w:sz w:val="24"/>
                <w:szCs w:val="24"/>
                <w:highlight w:val="none"/>
              </w:rPr>
            </w:pPr>
            <w:r>
              <w:rPr>
                <w:rFonts w:hAnsi="宋体" w:cs="Times New Roman"/>
                <w:color w:val="auto"/>
                <w:sz w:val="24"/>
                <w:szCs w:val="24"/>
                <w:highlight w:val="none"/>
              </w:rPr>
              <w:t>名称</w:t>
            </w:r>
          </w:p>
        </w:tc>
        <w:tc>
          <w:tcPr>
            <w:tcW w:w="3134" w:type="dxa"/>
            <w:tcBorders>
              <w:top w:val="single" w:color="auto" w:sz="4" w:space="0"/>
            </w:tcBorders>
          </w:tcPr>
          <w:p>
            <w:pPr>
              <w:pStyle w:val="15"/>
              <w:spacing w:line="500" w:lineRule="exact"/>
              <w:jc w:val="center"/>
              <w:rPr>
                <w:rFonts w:hAnsi="宋体" w:cs="Times New Roman"/>
                <w:color w:val="auto"/>
                <w:sz w:val="24"/>
                <w:szCs w:val="24"/>
                <w:highlight w:val="none"/>
              </w:rPr>
            </w:pPr>
            <w:r>
              <w:rPr>
                <w:rFonts w:hAnsi="宋体" w:cs="Times New Roman"/>
                <w:color w:val="auto"/>
                <w:sz w:val="24"/>
                <w:szCs w:val="24"/>
                <w:highlight w:val="none"/>
              </w:rPr>
              <w:t>报价：元/吨</w:t>
            </w:r>
          </w:p>
        </w:tc>
        <w:tc>
          <w:tcPr>
            <w:tcW w:w="3134" w:type="dxa"/>
            <w:tcBorders>
              <w:top w:val="single" w:color="auto" w:sz="4" w:space="0"/>
            </w:tcBorders>
          </w:tcPr>
          <w:p>
            <w:pPr>
              <w:pStyle w:val="15"/>
              <w:spacing w:line="500" w:lineRule="exact"/>
              <w:jc w:val="center"/>
              <w:rPr>
                <w:rFonts w:hAnsi="宋体" w:cs="Times New Roman"/>
                <w:color w:val="auto"/>
                <w:sz w:val="24"/>
                <w:szCs w:val="24"/>
                <w:highlight w:val="none"/>
              </w:rPr>
            </w:pPr>
            <w:r>
              <w:rPr>
                <w:rFonts w:hAnsi="宋体"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jc w:val="center"/>
        </w:trPr>
        <w:tc>
          <w:tcPr>
            <w:tcW w:w="900" w:type="dxa"/>
            <w:tcBorders>
              <w:left w:val="single" w:color="auto" w:sz="4" w:space="0"/>
            </w:tcBorders>
          </w:tcPr>
          <w:p>
            <w:pPr>
              <w:pStyle w:val="15"/>
              <w:spacing w:line="500" w:lineRule="exact"/>
              <w:jc w:val="center"/>
              <w:rPr>
                <w:rFonts w:hAnsi="宋体" w:cs="Times New Roman"/>
                <w:color w:val="auto"/>
                <w:sz w:val="24"/>
                <w:szCs w:val="24"/>
                <w:highlight w:val="none"/>
              </w:rPr>
            </w:pPr>
            <w:r>
              <w:rPr>
                <w:rFonts w:hAnsi="宋体" w:cs="Times New Roman"/>
                <w:color w:val="auto"/>
                <w:sz w:val="24"/>
                <w:szCs w:val="24"/>
                <w:highlight w:val="none"/>
              </w:rPr>
              <w:t>1</w:t>
            </w:r>
          </w:p>
        </w:tc>
        <w:tc>
          <w:tcPr>
            <w:tcW w:w="1778" w:type="dxa"/>
            <w:vAlign w:val="center"/>
          </w:tcPr>
          <w:p>
            <w:pPr>
              <w:pStyle w:val="15"/>
              <w:spacing w:line="500" w:lineRule="exact"/>
              <w:jc w:val="center"/>
              <w:rPr>
                <w:rFonts w:hAnsi="宋体" w:cs="Times New Roman"/>
                <w:color w:val="auto"/>
                <w:sz w:val="24"/>
                <w:szCs w:val="24"/>
                <w:highlight w:val="none"/>
              </w:rPr>
            </w:pPr>
            <w:r>
              <w:rPr>
                <w:rFonts w:hint="eastAsia" w:hAnsi="宋体" w:cs="Times New Roman"/>
                <w:color w:val="auto"/>
                <w:sz w:val="24"/>
                <w:szCs w:val="24"/>
                <w:highlight w:val="none"/>
              </w:rPr>
              <w:t>脱硫石膏</w:t>
            </w:r>
          </w:p>
        </w:tc>
        <w:tc>
          <w:tcPr>
            <w:tcW w:w="3134" w:type="dxa"/>
          </w:tcPr>
          <w:p>
            <w:pPr>
              <w:pStyle w:val="15"/>
              <w:spacing w:line="500" w:lineRule="exact"/>
              <w:ind w:right="315" w:rightChars="150"/>
              <w:jc w:val="right"/>
              <w:rPr>
                <w:rFonts w:hAnsi="宋体" w:cs="Times New Roman"/>
                <w:color w:val="auto"/>
                <w:sz w:val="24"/>
                <w:szCs w:val="24"/>
                <w:highlight w:val="none"/>
              </w:rPr>
            </w:pPr>
          </w:p>
        </w:tc>
        <w:tc>
          <w:tcPr>
            <w:tcW w:w="3134" w:type="dxa"/>
          </w:tcPr>
          <w:p>
            <w:pPr>
              <w:pStyle w:val="15"/>
              <w:spacing w:line="500" w:lineRule="exact"/>
              <w:rPr>
                <w:rFonts w:hAnsi="宋体" w:cs="Times New Roman"/>
                <w:color w:val="auto"/>
                <w:sz w:val="24"/>
                <w:szCs w:val="24"/>
                <w:highlight w:val="none"/>
              </w:rPr>
            </w:pPr>
            <w:r>
              <w:rPr>
                <w:rFonts w:hint="eastAsia" w:hAnsi="宋体"/>
                <w:bCs/>
                <w:color w:val="auto"/>
                <w:sz w:val="24"/>
                <w:highlight w:val="none"/>
              </w:rPr>
              <w:t>发包人</w:t>
            </w:r>
            <w:r>
              <w:rPr>
                <w:rFonts w:hint="eastAsia" w:hAnsi="宋体"/>
                <w:bCs/>
                <w:vanish/>
                <w:color w:val="auto"/>
                <w:sz w:val="24"/>
                <w:highlight w:val="none"/>
              </w:rPr>
              <w:t>% 应人的，</w:t>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int="eastAsia" w:hAnsi="宋体"/>
                <w:bCs/>
                <w:vanish/>
                <w:color w:val="auto"/>
                <w:sz w:val="24"/>
                <w:highlight w:val="none"/>
              </w:rPr>
              <w:pgNum/>
            </w:r>
            <w:r>
              <w:rPr>
                <w:rFonts w:hAnsi="宋体"/>
                <w:bCs/>
                <w:color w:val="auto"/>
                <w:sz w:val="24"/>
                <w:highlight w:val="none"/>
              </w:rPr>
              <w:t>开具</w:t>
            </w:r>
            <w:r>
              <w:rPr>
                <w:rFonts w:hint="eastAsia" w:hAnsi="宋体"/>
                <w:bCs/>
                <w:color w:val="auto"/>
                <w:sz w:val="24"/>
                <w:highlight w:val="none"/>
              </w:rPr>
              <w:t>13%</w:t>
            </w:r>
            <w:r>
              <w:rPr>
                <w:rFonts w:hAnsi="宋体"/>
                <w:bCs/>
                <w:color w:val="auto"/>
                <w:sz w:val="24"/>
                <w:highlight w:val="none"/>
              </w:rPr>
              <w:t>增值税专用发票。</w:t>
            </w:r>
          </w:p>
        </w:tc>
      </w:tr>
    </w:tbl>
    <w:p>
      <w:pPr>
        <w:pStyle w:val="15"/>
        <w:snapToGrid w:val="0"/>
        <w:spacing w:line="500" w:lineRule="exact"/>
        <w:rPr>
          <w:rFonts w:hAnsi="宋体" w:cs="Times New Roman"/>
          <w:color w:val="auto"/>
          <w:sz w:val="24"/>
          <w:szCs w:val="24"/>
          <w:highlight w:val="none"/>
        </w:rPr>
      </w:pPr>
      <w:r>
        <w:rPr>
          <w:rFonts w:hAnsi="宋体" w:cs="Times New Roman"/>
          <w:color w:val="auto"/>
          <w:sz w:val="24"/>
          <w:szCs w:val="24"/>
          <w:highlight w:val="none"/>
        </w:rPr>
        <w:t>响应人认为有必要说明的事项</w:t>
      </w:r>
      <w:r>
        <w:rPr>
          <w:rFonts w:hint="eastAsia" w:hAnsi="宋体" w:cs="Times New Roman"/>
          <w:color w:val="auto"/>
          <w:sz w:val="24"/>
          <w:szCs w:val="24"/>
          <w:highlight w:val="none"/>
        </w:rPr>
        <w:t>：</w:t>
      </w:r>
    </w:p>
    <w:p>
      <w:pPr>
        <w:pStyle w:val="15"/>
        <w:spacing w:line="500" w:lineRule="exact"/>
        <w:rPr>
          <w:rFonts w:hAnsi="宋体" w:cs="Times New Roman"/>
          <w:color w:val="auto"/>
          <w:sz w:val="24"/>
          <w:szCs w:val="24"/>
          <w:highlight w:val="none"/>
        </w:rPr>
      </w:pPr>
    </w:p>
    <w:p>
      <w:pPr>
        <w:pStyle w:val="15"/>
        <w:spacing w:line="500" w:lineRule="exact"/>
        <w:rPr>
          <w:rFonts w:hAnsi="宋体" w:cs="Times New Roman"/>
          <w:color w:val="auto"/>
          <w:sz w:val="24"/>
          <w:szCs w:val="24"/>
          <w:highlight w:val="none"/>
        </w:rPr>
      </w:pPr>
    </w:p>
    <w:p>
      <w:pPr>
        <w:pStyle w:val="15"/>
        <w:spacing w:line="500" w:lineRule="exact"/>
        <w:rPr>
          <w:rFonts w:hAnsi="宋体" w:cs="Times New Roman"/>
          <w:color w:val="auto"/>
          <w:sz w:val="24"/>
          <w:szCs w:val="24"/>
          <w:highlight w:val="none"/>
        </w:rPr>
      </w:pPr>
    </w:p>
    <w:p>
      <w:pPr>
        <w:pStyle w:val="15"/>
        <w:spacing w:line="500" w:lineRule="exact"/>
        <w:rPr>
          <w:rFonts w:hAnsi="宋体" w:cs="Times New Roman"/>
          <w:color w:val="auto"/>
          <w:sz w:val="24"/>
          <w:szCs w:val="24"/>
          <w:highlight w:val="none"/>
        </w:rPr>
      </w:pPr>
    </w:p>
    <w:p>
      <w:pPr>
        <w:pStyle w:val="15"/>
        <w:spacing w:line="500" w:lineRule="exact"/>
        <w:rPr>
          <w:rFonts w:hAnsi="宋体" w:cs="Times New Roman"/>
          <w:color w:val="auto"/>
          <w:sz w:val="24"/>
          <w:szCs w:val="24"/>
          <w:highlight w:val="none"/>
        </w:rPr>
      </w:pPr>
    </w:p>
    <w:p>
      <w:pPr>
        <w:pStyle w:val="15"/>
        <w:tabs>
          <w:tab w:val="left" w:pos="0"/>
        </w:tabs>
        <w:spacing w:line="500" w:lineRule="exact"/>
        <w:ind w:left="26"/>
        <w:rPr>
          <w:rFonts w:hAnsi="宋体" w:cs="Times New Roman"/>
          <w:color w:val="auto"/>
          <w:sz w:val="24"/>
          <w:szCs w:val="24"/>
          <w:highlight w:val="none"/>
          <w:u w:val="single"/>
        </w:rPr>
      </w:pPr>
      <w:r>
        <w:rPr>
          <w:rFonts w:hAnsi="宋体" w:cs="Times New Roman"/>
          <w:color w:val="auto"/>
          <w:sz w:val="24"/>
          <w:szCs w:val="24"/>
          <w:highlight w:val="none"/>
        </w:rPr>
        <w:t>响应人法定代表人或委托代理人签字：</w:t>
      </w:r>
    </w:p>
    <w:p>
      <w:pPr>
        <w:pStyle w:val="15"/>
        <w:tabs>
          <w:tab w:val="left" w:pos="0"/>
        </w:tabs>
        <w:spacing w:line="500" w:lineRule="exact"/>
        <w:ind w:left="26"/>
        <w:rPr>
          <w:rFonts w:hAnsi="宋体" w:cs="Times New Roman"/>
          <w:color w:val="auto"/>
          <w:sz w:val="24"/>
          <w:szCs w:val="24"/>
          <w:highlight w:val="none"/>
          <w:u w:val="single"/>
        </w:rPr>
      </w:pPr>
      <w:r>
        <w:rPr>
          <w:rFonts w:hAnsi="宋体" w:cs="Times New Roman"/>
          <w:color w:val="auto"/>
          <w:sz w:val="24"/>
          <w:szCs w:val="24"/>
          <w:highlight w:val="none"/>
        </w:rPr>
        <w:t>响应人公章：</w:t>
      </w:r>
    </w:p>
    <w:p>
      <w:pPr>
        <w:pStyle w:val="15"/>
        <w:tabs>
          <w:tab w:val="left" w:pos="0"/>
        </w:tabs>
        <w:spacing w:line="500" w:lineRule="exact"/>
        <w:ind w:left="26"/>
        <w:rPr>
          <w:rFonts w:hAnsi="宋体" w:cs="Times New Roman"/>
          <w:color w:val="auto"/>
          <w:sz w:val="24"/>
          <w:szCs w:val="24"/>
          <w:highlight w:val="none"/>
        </w:rPr>
      </w:pPr>
      <w:r>
        <w:rPr>
          <w:rFonts w:hint="eastAsia" w:hAnsi="宋体" w:cs="Times New Roman"/>
          <w:color w:val="auto"/>
          <w:sz w:val="24"/>
          <w:szCs w:val="24"/>
          <w:highlight w:val="none"/>
        </w:rPr>
        <w:t>报价日期：</w:t>
      </w:r>
    </w:p>
    <w:p>
      <w:pPr>
        <w:jc w:val="left"/>
        <w:rPr>
          <w:rFonts w:ascii="宋体" w:hAnsi="宋体"/>
          <w:color w:val="auto"/>
          <w:sz w:val="24"/>
          <w:highlight w:val="none"/>
        </w:rPr>
      </w:pPr>
    </w:p>
    <w:p>
      <w:pPr>
        <w:pStyle w:val="3"/>
        <w:keepNext w:val="0"/>
        <w:keepLines w:val="0"/>
        <w:widowControl w:val="0"/>
        <w:jc w:val="center"/>
        <w:rPr>
          <w:rFonts w:ascii="宋体" w:hAnsi="宋体" w:eastAsia="宋体"/>
          <w:color w:val="auto"/>
          <w:sz w:val="30"/>
          <w:szCs w:val="30"/>
          <w:highlight w:val="none"/>
        </w:rPr>
        <w:sectPr>
          <w:headerReference r:id="rId7" w:type="default"/>
          <w:footerReference r:id="rId9" w:type="default"/>
          <w:headerReference r:id="rId8" w:type="even"/>
          <w:pgSz w:w="11906" w:h="16838"/>
          <w:pgMar w:top="1418" w:right="1418" w:bottom="1418" w:left="1418" w:header="851" w:footer="851" w:gutter="0"/>
          <w:cols w:space="425" w:num="1"/>
          <w:titlePg/>
          <w:docGrid w:type="lines" w:linePitch="312" w:charSpace="0"/>
        </w:sectPr>
      </w:pPr>
      <w:bookmarkStart w:id="19" w:name="_Toc419294631"/>
      <w:bookmarkStart w:id="20" w:name="_Toc419297580"/>
    </w:p>
    <w:p>
      <w:pPr>
        <w:jc w:val="left"/>
        <w:rPr>
          <w:rFonts w:ascii="宋体" w:hAnsi="宋体"/>
          <w:color w:val="auto"/>
          <w:sz w:val="24"/>
          <w:highlight w:val="none"/>
        </w:rPr>
      </w:pPr>
      <w:r>
        <w:rPr>
          <w:rFonts w:ascii="宋体" w:hAnsi="宋体"/>
          <w:color w:val="auto"/>
          <w:sz w:val="24"/>
          <w:highlight w:val="none"/>
        </w:rPr>
        <w:t>附件</w:t>
      </w:r>
      <w:r>
        <w:rPr>
          <w:rFonts w:hint="eastAsia" w:ascii="宋体" w:hAnsi="宋体"/>
          <w:color w:val="auto"/>
          <w:sz w:val="24"/>
          <w:highlight w:val="none"/>
        </w:rPr>
        <w:t>8</w:t>
      </w:r>
    </w:p>
    <w:p>
      <w:pPr>
        <w:pStyle w:val="3"/>
        <w:keepNext w:val="0"/>
        <w:keepLines w:val="0"/>
        <w:widowControl w:val="0"/>
        <w:jc w:val="center"/>
        <w:rPr>
          <w:rFonts w:ascii="宋体" w:hAnsi="宋体" w:eastAsia="宋体"/>
          <w:b w:val="0"/>
          <w:color w:val="auto"/>
          <w:sz w:val="30"/>
          <w:szCs w:val="30"/>
          <w:highlight w:val="none"/>
        </w:rPr>
      </w:pPr>
      <w:r>
        <w:rPr>
          <w:rFonts w:hint="eastAsia" w:ascii="宋体" w:hAnsi="宋体" w:eastAsia="宋体"/>
          <w:color w:val="auto"/>
          <w:sz w:val="30"/>
          <w:szCs w:val="30"/>
          <w:highlight w:val="none"/>
        </w:rPr>
        <w:t>资格审查</w:t>
      </w:r>
      <w:bookmarkEnd w:id="19"/>
      <w:bookmarkEnd w:id="20"/>
      <w:r>
        <w:rPr>
          <w:rFonts w:hint="eastAsia" w:ascii="宋体" w:hAnsi="宋体" w:eastAsia="宋体"/>
          <w:color w:val="auto"/>
          <w:sz w:val="30"/>
          <w:szCs w:val="30"/>
          <w:highlight w:val="none"/>
        </w:rPr>
        <w:t>及响应文件符合性审查表</w:t>
      </w:r>
    </w:p>
    <w:p>
      <w:pPr>
        <w:jc w:val="center"/>
        <w:rPr>
          <w:rFonts w:ascii="宋体" w:hAnsi="宋体"/>
          <w:color w:val="auto"/>
          <w:sz w:val="24"/>
          <w:highlight w:val="none"/>
        </w:rPr>
      </w:pPr>
    </w:p>
    <w:p>
      <w:pPr>
        <w:spacing w:line="276" w:lineRule="auto"/>
        <w:rPr>
          <w:rFonts w:ascii="宋体" w:hAnsi="宋体"/>
          <w:color w:val="auto"/>
          <w:sz w:val="24"/>
          <w:highlight w:val="none"/>
        </w:rPr>
      </w:pPr>
      <w:r>
        <w:rPr>
          <w:rFonts w:ascii="宋体" w:hAnsi="宋体"/>
          <w:color w:val="auto"/>
          <w:sz w:val="24"/>
          <w:highlight w:val="none"/>
        </w:rPr>
        <w:t>项目名称：</w:t>
      </w:r>
      <w:r>
        <w:rPr>
          <w:rFonts w:hint="eastAsia" w:ascii="宋体" w:hAnsi="宋体"/>
          <w:color w:val="auto"/>
          <w:sz w:val="24"/>
          <w:highlight w:val="none"/>
        </w:rPr>
        <w:t>佛山市恒益环保建材有限公司</w:t>
      </w:r>
      <w:r>
        <w:rPr>
          <w:rFonts w:ascii="宋体" w:hAnsi="宋体"/>
          <w:color w:val="auto"/>
          <w:sz w:val="24"/>
          <w:highlight w:val="none"/>
        </w:rPr>
        <w:t>脱硫石膏销售项目</w:t>
      </w:r>
    </w:p>
    <w:p>
      <w:pPr>
        <w:spacing w:line="276" w:lineRule="auto"/>
        <w:rPr>
          <w:rFonts w:ascii="宋体" w:hAnsi="宋体"/>
          <w:color w:val="auto"/>
          <w:sz w:val="24"/>
          <w:highlight w:val="none"/>
        </w:rPr>
      </w:pPr>
      <w:r>
        <w:rPr>
          <w:rFonts w:ascii="宋体" w:hAnsi="宋体"/>
          <w:color w:val="auto"/>
          <w:sz w:val="24"/>
          <w:highlight w:val="none"/>
        </w:rPr>
        <w:t>日期：</w:t>
      </w:r>
    </w:p>
    <w:tbl>
      <w:tblPr>
        <w:tblStyle w:val="2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2"/>
        <w:gridCol w:w="1134"/>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r>
              <w:rPr>
                <w:rFonts w:ascii="宋体" w:hAnsi="宋体"/>
                <w:color w:val="auto"/>
                <w:sz w:val="24"/>
                <w:highlight w:val="none"/>
              </w:rPr>
              <w:t>序号</w:t>
            </w:r>
          </w:p>
        </w:tc>
        <w:tc>
          <w:tcPr>
            <w:tcW w:w="4252" w:type="dxa"/>
            <w:tcBorders>
              <w:top w:val="single" w:color="auto" w:sz="4" w:space="0"/>
              <w:left w:val="single" w:color="auto" w:sz="4" w:space="0"/>
              <w:bottom w:val="single" w:color="auto" w:sz="4" w:space="0"/>
              <w:right w:val="single" w:color="auto" w:sz="4" w:space="0"/>
              <w:tl2br w:val="single" w:color="auto" w:sz="4" w:space="0"/>
            </w:tcBorders>
            <w:vAlign w:val="center"/>
          </w:tcPr>
          <w:p>
            <w:pPr>
              <w:spacing w:line="276" w:lineRule="auto"/>
              <w:ind w:firstLine="2880" w:firstLineChars="1200"/>
              <w:rPr>
                <w:rFonts w:ascii="宋体" w:hAnsi="宋体"/>
                <w:color w:val="auto"/>
                <w:sz w:val="24"/>
                <w:highlight w:val="none"/>
              </w:rPr>
            </w:pPr>
            <w:r>
              <w:rPr>
                <w:rFonts w:ascii="宋体" w:hAnsi="宋体"/>
                <w:color w:val="auto"/>
                <w:sz w:val="24"/>
                <w:highlight w:val="none"/>
              </w:rPr>
              <w:t>响应</w:t>
            </w:r>
            <w:r>
              <w:rPr>
                <w:rFonts w:hint="eastAsia" w:ascii="宋体" w:hAnsi="宋体"/>
                <w:color w:val="auto"/>
                <w:sz w:val="24"/>
                <w:highlight w:val="none"/>
              </w:rPr>
              <w:t>人</w:t>
            </w:r>
          </w:p>
          <w:p>
            <w:pPr>
              <w:spacing w:line="276" w:lineRule="auto"/>
              <w:ind w:firstLine="240" w:firstLineChars="100"/>
              <w:rPr>
                <w:rFonts w:ascii="宋体" w:hAnsi="宋体"/>
                <w:color w:val="auto"/>
                <w:sz w:val="24"/>
                <w:highlight w:val="none"/>
              </w:rPr>
            </w:pPr>
            <w:r>
              <w:rPr>
                <w:rFonts w:ascii="宋体" w:hAnsi="宋体"/>
                <w:color w:val="auto"/>
                <w:sz w:val="24"/>
                <w:highlight w:val="none"/>
              </w:rPr>
              <w:t>审查内容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r>
              <w:rPr>
                <w:rFonts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 w:val="24"/>
                <w:highlight w:val="none"/>
              </w:rPr>
            </w:pPr>
            <w:r>
              <w:rPr>
                <w:rFonts w:ascii="宋体" w:hAnsi="宋体"/>
                <w:color w:val="auto"/>
                <w:sz w:val="24"/>
                <w:highlight w:val="none"/>
              </w:rPr>
              <w:t>1</w:t>
            </w:r>
          </w:p>
        </w:tc>
        <w:tc>
          <w:tcPr>
            <w:tcW w:w="425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ascii="宋体" w:hAnsi="宋体"/>
                <w:color w:val="auto"/>
                <w:sz w:val="24"/>
                <w:highlight w:val="none"/>
              </w:rPr>
              <w:t>响应人符合谈判文件对响应人资质要求</w:t>
            </w:r>
            <w:r>
              <w:rPr>
                <w:rFonts w:hint="eastAsia" w:ascii="宋体" w:hAnsi="宋体"/>
                <w:color w:val="auto"/>
                <w:sz w:val="24"/>
                <w:highlight w:val="none"/>
              </w:rPr>
              <w:t>。（</w:t>
            </w:r>
            <w:r>
              <w:rPr>
                <w:rFonts w:hint="eastAsia" w:ascii="宋体" w:hAnsi="宋体"/>
                <w:b/>
                <w:color w:val="auto"/>
                <w:sz w:val="24"/>
                <w:highlight w:val="none"/>
              </w:rPr>
              <w:t>符合“</w:t>
            </w:r>
            <w:r>
              <w:rPr>
                <w:rFonts w:ascii="宋体" w:hAnsi="宋体"/>
                <w:b/>
                <w:color w:val="auto"/>
                <w:sz w:val="24"/>
                <w:highlight w:val="none"/>
                <w:lang w:val="zh-CN"/>
              </w:rPr>
              <w:t>第一章</w:t>
            </w:r>
            <w:r>
              <w:rPr>
                <w:rFonts w:hint="eastAsia" w:ascii="宋体" w:hAnsi="宋体"/>
                <w:b/>
                <w:color w:val="auto"/>
                <w:sz w:val="24"/>
                <w:highlight w:val="none"/>
                <w:lang w:val="zh-CN"/>
              </w:rPr>
              <w:t xml:space="preserve"> </w:t>
            </w:r>
            <w:r>
              <w:rPr>
                <w:rFonts w:hint="eastAsia" w:ascii="宋体" w:hAnsi="宋体" w:cs="黑体"/>
                <w:b/>
                <w:color w:val="auto"/>
                <w:sz w:val="24"/>
                <w:highlight w:val="none"/>
                <w:lang w:val="zh-CN"/>
              </w:rPr>
              <w:t xml:space="preserve">公开竞争性谈判公告   </w:t>
            </w:r>
            <w:r>
              <w:rPr>
                <w:rFonts w:ascii="宋体" w:hAnsi="宋体" w:cs="黑体"/>
                <w:b/>
                <w:color w:val="auto"/>
                <w:sz w:val="24"/>
                <w:highlight w:val="none"/>
                <w:lang w:val="zh-CN"/>
              </w:rPr>
              <w:t>5</w:t>
            </w:r>
            <w:r>
              <w:rPr>
                <w:rFonts w:hint="eastAsia" w:ascii="宋体" w:hAnsi="宋体" w:cs="黑体"/>
                <w:b/>
                <w:color w:val="auto"/>
                <w:sz w:val="24"/>
                <w:highlight w:val="none"/>
                <w:lang w:val="zh-CN"/>
              </w:rPr>
              <w:t>、</w:t>
            </w:r>
            <w:r>
              <w:rPr>
                <w:rFonts w:ascii="宋体" w:hAnsi="宋体"/>
                <w:b/>
                <w:color w:val="auto"/>
                <w:sz w:val="24"/>
                <w:highlight w:val="none"/>
                <w:lang w:val="zh-CN"/>
              </w:rPr>
              <w:t>响应人资质要求”</w:t>
            </w:r>
            <w:r>
              <w:rPr>
                <w:rFonts w:hint="eastAsia" w:ascii="宋体" w:hAnsi="宋体"/>
                <w:b/>
                <w:color w:val="auto"/>
                <w:sz w:val="24"/>
                <w:highlight w:val="none"/>
                <w:lang w:val="zh-CN"/>
              </w:rPr>
              <w:t>中的内容</w:t>
            </w:r>
            <w:r>
              <w:rPr>
                <w:rFonts w:hint="eastAsia" w:ascii="宋体" w:hAnsi="宋体"/>
                <w:color w:val="auto"/>
                <w:sz w:val="24"/>
                <w:highlight w:val="none"/>
                <w:lang w:val="zh-CN"/>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2</w:t>
            </w:r>
          </w:p>
        </w:tc>
        <w:tc>
          <w:tcPr>
            <w:tcW w:w="425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hint="eastAsia" w:ascii="宋体" w:hAnsi="宋体"/>
                <w:color w:val="auto"/>
                <w:sz w:val="24"/>
                <w:highlight w:val="none"/>
              </w:rPr>
              <w:t>投</w:t>
            </w:r>
            <w:r>
              <w:rPr>
                <w:rFonts w:ascii="宋体" w:hAnsi="宋体"/>
                <w:color w:val="auto"/>
                <w:sz w:val="24"/>
                <w:highlight w:val="none"/>
              </w:rPr>
              <w:t>标文件按规定标识、密封</w:t>
            </w:r>
            <w:r>
              <w:rPr>
                <w:rFonts w:hint="eastAsia" w:ascii="宋体" w:hAnsi="宋体"/>
                <w:color w:val="auto"/>
                <w:sz w:val="24"/>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3</w:t>
            </w:r>
          </w:p>
        </w:tc>
        <w:tc>
          <w:tcPr>
            <w:tcW w:w="425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ascii="宋体" w:hAnsi="宋体"/>
                <w:color w:val="auto"/>
                <w:sz w:val="24"/>
                <w:highlight w:val="none"/>
              </w:rPr>
              <w:t>按规定的格式填写，无内容不全或字迹模糊、辨认不清的</w:t>
            </w:r>
            <w:r>
              <w:rPr>
                <w:rFonts w:hint="eastAsia" w:ascii="宋体" w:hAnsi="宋体"/>
                <w:color w:val="auto"/>
                <w:sz w:val="24"/>
                <w:highlight w:val="none"/>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4</w:t>
            </w:r>
          </w:p>
        </w:tc>
        <w:tc>
          <w:tcPr>
            <w:tcW w:w="425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hint="eastAsia" w:ascii="宋体" w:hAnsi="宋体"/>
                <w:color w:val="auto"/>
                <w:sz w:val="24"/>
                <w:highlight w:val="none"/>
              </w:rPr>
              <w:t>响应人法定代表人证明书原件（如法定代表人授权需同时提交响应人法定代表人授权书原件）和法人或被授权代表身份证复印件。</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5</w:t>
            </w:r>
          </w:p>
        </w:tc>
        <w:tc>
          <w:tcPr>
            <w:tcW w:w="425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ascii="宋体" w:hAnsi="宋体"/>
                <w:color w:val="auto"/>
                <w:sz w:val="24"/>
                <w:highlight w:val="none"/>
              </w:rPr>
              <w:t>响应人响应文件按照谈判文件要求提供、且内容齐全</w:t>
            </w:r>
            <w:r>
              <w:rPr>
                <w:rFonts w:hint="eastAsia" w:ascii="宋体" w:hAnsi="宋体"/>
                <w:color w:val="auto"/>
                <w:sz w:val="24"/>
                <w:highlight w:val="none"/>
              </w:rPr>
              <w:t>。（</w:t>
            </w:r>
            <w:r>
              <w:rPr>
                <w:rFonts w:hint="eastAsia" w:ascii="宋体" w:hAnsi="宋体"/>
                <w:b/>
                <w:color w:val="auto"/>
                <w:sz w:val="24"/>
                <w:highlight w:val="none"/>
              </w:rPr>
              <w:t>符合“</w:t>
            </w:r>
            <w:r>
              <w:rPr>
                <w:rFonts w:ascii="宋体" w:hAnsi="宋体"/>
                <w:b/>
                <w:color w:val="auto"/>
                <w:sz w:val="24"/>
                <w:highlight w:val="none"/>
                <w:lang w:val="zh-CN"/>
              </w:rPr>
              <w:t xml:space="preserve"> 第二章 竞争性谈判须知</w:t>
            </w:r>
            <w:r>
              <w:rPr>
                <w:rFonts w:hint="eastAsia" w:ascii="宋体" w:hAnsi="宋体"/>
                <w:b/>
                <w:color w:val="auto"/>
                <w:sz w:val="24"/>
                <w:highlight w:val="none"/>
                <w:lang w:val="zh-CN"/>
              </w:rPr>
              <w:t xml:space="preserve">  二、响应人响应文件 </w:t>
            </w:r>
            <w:r>
              <w:rPr>
                <w:rFonts w:ascii="宋体" w:hAnsi="宋体"/>
                <w:b/>
                <w:color w:val="auto"/>
                <w:sz w:val="24"/>
                <w:highlight w:val="none"/>
                <w:lang w:val="zh-CN"/>
              </w:rPr>
              <w:t>1）商务文件（单独装订密封）</w:t>
            </w:r>
            <w:r>
              <w:rPr>
                <w:rFonts w:hint="eastAsia" w:ascii="宋体" w:hAnsi="宋体"/>
                <w:b/>
                <w:color w:val="auto"/>
                <w:sz w:val="24"/>
                <w:highlight w:val="none"/>
                <w:lang w:val="zh-CN"/>
              </w:rPr>
              <w:t>”中的内容</w:t>
            </w:r>
            <w:r>
              <w:rPr>
                <w:rFonts w:hint="eastAsia" w:ascii="宋体" w:hAnsi="宋体"/>
                <w:color w:val="auto"/>
                <w:sz w:val="24"/>
                <w:highlight w:val="none"/>
                <w:lang w:val="zh-CN"/>
              </w:rPr>
              <w: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6</w:t>
            </w:r>
          </w:p>
        </w:tc>
        <w:tc>
          <w:tcPr>
            <w:tcW w:w="425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hint="eastAsia" w:ascii="宋体" w:hAnsi="宋体"/>
                <w:color w:val="auto"/>
                <w:sz w:val="24"/>
                <w:highlight w:val="none"/>
              </w:rPr>
              <w:t>响应人按谈判文件要求的金额提交投标保证金的。</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7</w:t>
            </w:r>
          </w:p>
        </w:tc>
        <w:tc>
          <w:tcPr>
            <w:tcW w:w="425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hint="eastAsia" w:ascii="宋体" w:hAnsi="宋体"/>
                <w:color w:val="auto"/>
                <w:sz w:val="24"/>
                <w:highlight w:val="none"/>
              </w:rPr>
              <w:t>响应文件实质性响应谈判文件的要求；</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5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8</w:t>
            </w:r>
          </w:p>
        </w:tc>
        <w:tc>
          <w:tcPr>
            <w:tcW w:w="425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hint="eastAsia" w:ascii="宋体" w:hAnsi="宋体"/>
                <w:color w:val="auto"/>
                <w:sz w:val="24"/>
                <w:highlight w:val="none"/>
              </w:rPr>
              <w:t>响应人及其响应文件内容没有违反国家和地方政府有关政策法规。</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exact"/>
        </w:trPr>
        <w:tc>
          <w:tcPr>
            <w:tcW w:w="4786"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ind w:firstLine="240" w:firstLineChars="100"/>
              <w:rPr>
                <w:rFonts w:ascii="宋体" w:hAnsi="宋体"/>
                <w:color w:val="auto"/>
                <w:sz w:val="24"/>
                <w:highlight w:val="none"/>
              </w:rPr>
            </w:pPr>
            <w:r>
              <w:rPr>
                <w:rFonts w:ascii="宋体" w:hAnsi="宋体"/>
                <w:color w:val="auto"/>
                <w:sz w:val="24"/>
                <w:highlight w:val="none"/>
              </w:rPr>
              <w:t>结    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r>
              <w:rPr>
                <w:rFonts w:ascii="宋体" w:hAnsi="宋体"/>
                <w:color w:val="auto"/>
                <w:sz w:val="24"/>
                <w:highlight w:val="none"/>
              </w:rPr>
              <w:t>注： 1、符合打“○”，不符合打“×”，结论行填“通过”与“不通过”。</w:t>
            </w:r>
            <w:r>
              <w:rPr>
                <w:rFonts w:ascii="宋体" w:hAnsi="宋体"/>
                <w:color w:val="auto"/>
                <w:sz w:val="24"/>
                <w:highlight w:val="none"/>
              </w:rPr>
              <w:br w:type="textWrapping"/>
            </w:r>
            <w:r>
              <w:rPr>
                <w:rFonts w:ascii="宋体" w:hAnsi="宋体"/>
                <w:color w:val="auto"/>
                <w:sz w:val="24"/>
                <w:highlight w:val="none"/>
              </w:rPr>
              <w:t xml:space="preserve">     2、以上文件内容，只要有一项“×”，则资格预审资料视为不通过。</w:t>
            </w:r>
            <w:r>
              <w:rPr>
                <w:rFonts w:ascii="宋体" w:hAnsi="宋体"/>
                <w:color w:val="auto"/>
                <w:sz w:val="24"/>
                <w:highlight w:val="none"/>
              </w:rPr>
              <w:br w:type="textWrapping"/>
            </w:r>
            <w:r>
              <w:rPr>
                <w:rFonts w:ascii="宋体" w:hAnsi="宋体"/>
                <w:color w:val="auto"/>
                <w:sz w:val="24"/>
                <w:highlight w:val="none"/>
              </w:rPr>
              <w:t xml:space="preserve">     3、当评委意见不一致时，按照“少数服从多数”的原则。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r>
              <w:rPr>
                <w:rFonts w:hint="eastAsia" w:ascii="宋体" w:hAnsi="宋体"/>
                <w:color w:val="auto"/>
                <w:sz w:val="24"/>
                <w:highlight w:val="none"/>
              </w:rPr>
              <w:t>谈判小组</w:t>
            </w:r>
            <w:r>
              <w:rPr>
                <w:rFonts w:ascii="宋体" w:hAnsi="宋体"/>
                <w:color w:val="auto"/>
                <w:sz w:val="24"/>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4"/>
                <w:highlight w:val="none"/>
              </w:rPr>
            </w:pPr>
            <w:r>
              <w:rPr>
                <w:rFonts w:hint="eastAsia" w:ascii="宋体" w:hAnsi="宋体"/>
                <w:color w:val="auto"/>
                <w:sz w:val="24"/>
                <w:highlight w:val="none"/>
              </w:rPr>
              <w:t>招标监督</w:t>
            </w:r>
            <w:r>
              <w:rPr>
                <w:rFonts w:ascii="宋体" w:hAnsi="宋体"/>
                <w:color w:val="auto"/>
                <w:sz w:val="24"/>
                <w:highlight w:val="none"/>
              </w:rPr>
              <w:t>人员签名：</w:t>
            </w:r>
          </w:p>
        </w:tc>
      </w:tr>
    </w:tbl>
    <w:p>
      <w:pPr>
        <w:pStyle w:val="2"/>
        <w:keepNext w:val="0"/>
        <w:keepLines w:val="0"/>
        <w:spacing w:line="500" w:lineRule="exact"/>
        <w:ind w:firstLine="0" w:firstLineChars="0"/>
        <w:jc w:val="left"/>
        <w:rPr>
          <w:rFonts w:asciiTheme="majorEastAsia" w:hAnsiTheme="majorEastAsia" w:eastAsiaTheme="majorEastAsia"/>
          <w:color w:val="auto"/>
          <w:sz w:val="24"/>
          <w:highlight w:val="none"/>
          <w:lang w:val="zh-CN"/>
        </w:rPr>
      </w:pPr>
      <w:r>
        <w:rPr>
          <w:rFonts w:ascii="宋体" w:hAnsi="宋体"/>
          <w:color w:val="auto"/>
          <w:sz w:val="24"/>
          <w:highlight w:val="none"/>
          <w:lang w:val="zh-CN"/>
        </w:rPr>
        <w:br w:type="page"/>
      </w:r>
      <w:r>
        <w:rPr>
          <w:rFonts w:asciiTheme="majorEastAsia" w:hAnsiTheme="majorEastAsia" w:eastAsiaTheme="majorEastAsia"/>
          <w:color w:val="auto"/>
          <w:sz w:val="24"/>
          <w:highlight w:val="none"/>
          <w:lang w:val="zh-CN"/>
        </w:rPr>
        <w:t>附件9</w:t>
      </w:r>
    </w:p>
    <w:p>
      <w:pPr>
        <w:jc w:val="center"/>
        <w:rPr>
          <w:b/>
          <w:color w:val="auto"/>
          <w:sz w:val="30"/>
          <w:szCs w:val="30"/>
          <w:highlight w:val="none"/>
          <w:lang w:val="zh-CN"/>
        </w:rPr>
      </w:pPr>
      <w:r>
        <w:rPr>
          <w:rFonts w:hint="eastAsia"/>
          <w:b/>
          <w:color w:val="auto"/>
          <w:sz w:val="30"/>
          <w:szCs w:val="30"/>
          <w:highlight w:val="none"/>
          <w:lang w:val="zh-CN"/>
        </w:rPr>
        <w:t>定标表</w:t>
      </w: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ascii="宋体" w:hAnsi="宋体"/>
          <w:color w:val="auto"/>
          <w:sz w:val="24"/>
          <w:highlight w:val="none"/>
        </w:rPr>
        <w:t>项目名称：</w:t>
      </w:r>
      <w:r>
        <w:rPr>
          <w:rFonts w:hint="eastAsia" w:ascii="宋体" w:hAnsi="宋体"/>
          <w:color w:val="auto"/>
          <w:sz w:val="24"/>
          <w:highlight w:val="none"/>
        </w:rPr>
        <w:t>佛山市恒益环保建材有限公司</w:t>
      </w:r>
      <w:r>
        <w:rPr>
          <w:rFonts w:ascii="宋体" w:hAnsi="宋体"/>
          <w:color w:val="auto"/>
          <w:sz w:val="24"/>
          <w:highlight w:val="none"/>
        </w:rPr>
        <w:t>脱硫石膏销售项目</w:t>
      </w:r>
    </w:p>
    <w:p>
      <w:pPr>
        <w:jc w:val="left"/>
        <w:rPr>
          <w:color w:val="auto"/>
          <w:sz w:val="30"/>
          <w:szCs w:val="30"/>
          <w:highlight w:val="none"/>
          <w:lang w:val="zh-CN"/>
        </w:rPr>
      </w:pPr>
      <w:r>
        <w:rPr>
          <w:rFonts w:ascii="宋体" w:hAnsi="宋体"/>
          <w:color w:val="auto"/>
          <w:sz w:val="24"/>
          <w:highlight w:val="none"/>
        </w:rPr>
        <w:t>日期：</w:t>
      </w:r>
    </w:p>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6"/>
        <w:gridCol w:w="2461"/>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480" w:lineRule="auto"/>
              <w:jc w:val="center"/>
              <w:rPr>
                <w:rFonts w:asciiTheme="minorEastAsia" w:hAnsiTheme="minorEastAsia" w:eastAsiaTheme="minorEastAsia"/>
                <w:color w:val="auto"/>
                <w:kern w:val="44"/>
                <w:sz w:val="24"/>
                <w:highlight w:val="none"/>
                <w:lang w:val="zh-CN"/>
              </w:rPr>
            </w:pPr>
            <w:r>
              <w:rPr>
                <w:rFonts w:hint="eastAsia" w:asciiTheme="minorEastAsia" w:hAnsiTheme="minorEastAsia" w:eastAsiaTheme="minorEastAsia"/>
                <w:color w:val="auto"/>
                <w:kern w:val="44"/>
                <w:sz w:val="24"/>
                <w:highlight w:val="none"/>
                <w:lang w:val="zh-CN"/>
              </w:rPr>
              <w:t>序号</w:t>
            </w:r>
          </w:p>
        </w:tc>
        <w:tc>
          <w:tcPr>
            <w:tcW w:w="3686" w:type="dxa"/>
            <w:vAlign w:val="bottom"/>
          </w:tcPr>
          <w:p>
            <w:pPr>
              <w:spacing w:line="480" w:lineRule="auto"/>
              <w:jc w:val="center"/>
              <w:rPr>
                <w:rFonts w:asciiTheme="minorEastAsia" w:hAnsiTheme="minorEastAsia" w:eastAsiaTheme="minorEastAsia"/>
                <w:color w:val="auto"/>
                <w:kern w:val="44"/>
                <w:sz w:val="24"/>
                <w:highlight w:val="none"/>
                <w:lang w:val="zh-CN"/>
              </w:rPr>
            </w:pPr>
            <w:r>
              <w:rPr>
                <w:rFonts w:hint="eastAsia" w:asciiTheme="minorEastAsia" w:hAnsiTheme="minorEastAsia" w:eastAsiaTheme="minorEastAsia"/>
                <w:color w:val="auto"/>
                <w:kern w:val="44"/>
                <w:sz w:val="24"/>
                <w:highlight w:val="none"/>
                <w:lang w:val="zh-CN"/>
              </w:rPr>
              <w:t>响应单位名称</w:t>
            </w:r>
          </w:p>
        </w:tc>
        <w:tc>
          <w:tcPr>
            <w:tcW w:w="2461" w:type="dxa"/>
            <w:vAlign w:val="bottom"/>
          </w:tcPr>
          <w:p>
            <w:pPr>
              <w:spacing w:line="480" w:lineRule="auto"/>
              <w:jc w:val="center"/>
              <w:rPr>
                <w:rFonts w:asciiTheme="minorEastAsia" w:hAnsiTheme="minorEastAsia" w:eastAsiaTheme="minorEastAsia"/>
                <w:color w:val="auto"/>
                <w:kern w:val="44"/>
                <w:sz w:val="24"/>
                <w:highlight w:val="none"/>
                <w:lang w:val="zh-CN"/>
              </w:rPr>
            </w:pPr>
            <w:r>
              <w:rPr>
                <w:rFonts w:hint="eastAsia" w:asciiTheme="minorEastAsia" w:hAnsiTheme="minorEastAsia" w:eastAsiaTheme="minorEastAsia"/>
                <w:color w:val="auto"/>
                <w:kern w:val="44"/>
                <w:sz w:val="24"/>
                <w:highlight w:val="none"/>
                <w:lang w:val="zh-CN"/>
              </w:rPr>
              <w:t>最终报价：元／吨</w:t>
            </w:r>
          </w:p>
        </w:tc>
        <w:tc>
          <w:tcPr>
            <w:tcW w:w="2322" w:type="dxa"/>
            <w:vAlign w:val="bottom"/>
          </w:tcPr>
          <w:p>
            <w:pPr>
              <w:spacing w:line="480" w:lineRule="auto"/>
              <w:jc w:val="center"/>
              <w:rPr>
                <w:rFonts w:asciiTheme="minorEastAsia" w:hAnsiTheme="minorEastAsia" w:eastAsiaTheme="minorEastAsia"/>
                <w:color w:val="auto"/>
                <w:kern w:val="44"/>
                <w:sz w:val="24"/>
                <w:highlight w:val="none"/>
                <w:lang w:val="zh-CN"/>
              </w:rPr>
            </w:pPr>
            <w:r>
              <w:rPr>
                <w:rFonts w:hint="eastAsia" w:asciiTheme="minorEastAsia" w:hAnsiTheme="minorEastAsia" w:eastAsiaTheme="minorEastAsia"/>
                <w:color w:val="auto"/>
                <w:kern w:val="44"/>
                <w:sz w:val="24"/>
                <w:highlight w:val="none"/>
                <w:lang w:val="zh-CN"/>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480" w:lineRule="auto"/>
              <w:rPr>
                <w:rFonts w:eastAsia="黑体"/>
                <w:color w:val="auto"/>
                <w:kern w:val="44"/>
                <w:sz w:val="30"/>
                <w:szCs w:val="30"/>
                <w:highlight w:val="none"/>
                <w:lang w:val="zh-CN"/>
              </w:rPr>
            </w:pPr>
          </w:p>
        </w:tc>
        <w:tc>
          <w:tcPr>
            <w:tcW w:w="3686" w:type="dxa"/>
          </w:tcPr>
          <w:p>
            <w:pPr>
              <w:spacing w:line="480" w:lineRule="auto"/>
              <w:rPr>
                <w:rFonts w:eastAsia="黑体"/>
                <w:color w:val="auto"/>
                <w:kern w:val="44"/>
                <w:sz w:val="30"/>
                <w:szCs w:val="30"/>
                <w:highlight w:val="none"/>
                <w:lang w:val="zh-CN"/>
              </w:rPr>
            </w:pPr>
          </w:p>
        </w:tc>
        <w:tc>
          <w:tcPr>
            <w:tcW w:w="2461" w:type="dxa"/>
          </w:tcPr>
          <w:p>
            <w:pPr>
              <w:spacing w:line="480" w:lineRule="auto"/>
              <w:rPr>
                <w:rFonts w:eastAsia="黑体"/>
                <w:color w:val="auto"/>
                <w:kern w:val="44"/>
                <w:sz w:val="30"/>
                <w:szCs w:val="30"/>
                <w:highlight w:val="none"/>
                <w:lang w:val="zh-CN"/>
              </w:rPr>
            </w:pPr>
          </w:p>
        </w:tc>
        <w:tc>
          <w:tcPr>
            <w:tcW w:w="2322" w:type="dxa"/>
          </w:tcPr>
          <w:p>
            <w:pPr>
              <w:spacing w:line="480" w:lineRule="auto"/>
              <w:rPr>
                <w:rFonts w:eastAsia="黑体"/>
                <w:color w:val="auto"/>
                <w:kern w:val="44"/>
                <w:sz w:val="30"/>
                <w:szCs w:val="3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480" w:lineRule="auto"/>
              <w:rPr>
                <w:rFonts w:eastAsia="黑体"/>
                <w:color w:val="auto"/>
                <w:kern w:val="44"/>
                <w:sz w:val="30"/>
                <w:szCs w:val="30"/>
                <w:highlight w:val="none"/>
                <w:lang w:val="zh-CN"/>
              </w:rPr>
            </w:pPr>
          </w:p>
        </w:tc>
        <w:tc>
          <w:tcPr>
            <w:tcW w:w="3686" w:type="dxa"/>
          </w:tcPr>
          <w:p>
            <w:pPr>
              <w:spacing w:line="480" w:lineRule="auto"/>
              <w:rPr>
                <w:rFonts w:eastAsia="黑体"/>
                <w:color w:val="auto"/>
                <w:kern w:val="44"/>
                <w:sz w:val="30"/>
                <w:szCs w:val="30"/>
                <w:highlight w:val="none"/>
                <w:lang w:val="zh-CN"/>
              </w:rPr>
            </w:pPr>
          </w:p>
        </w:tc>
        <w:tc>
          <w:tcPr>
            <w:tcW w:w="2461" w:type="dxa"/>
          </w:tcPr>
          <w:p>
            <w:pPr>
              <w:spacing w:line="480" w:lineRule="auto"/>
              <w:rPr>
                <w:rFonts w:eastAsia="黑体"/>
                <w:color w:val="auto"/>
                <w:kern w:val="44"/>
                <w:sz w:val="30"/>
                <w:szCs w:val="30"/>
                <w:highlight w:val="none"/>
                <w:lang w:val="zh-CN"/>
              </w:rPr>
            </w:pPr>
          </w:p>
        </w:tc>
        <w:tc>
          <w:tcPr>
            <w:tcW w:w="2322" w:type="dxa"/>
          </w:tcPr>
          <w:p>
            <w:pPr>
              <w:spacing w:line="480" w:lineRule="auto"/>
              <w:rPr>
                <w:rFonts w:eastAsia="黑体"/>
                <w:color w:val="auto"/>
                <w:kern w:val="44"/>
                <w:sz w:val="30"/>
                <w:szCs w:val="3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480" w:lineRule="auto"/>
              <w:rPr>
                <w:rFonts w:eastAsia="黑体"/>
                <w:color w:val="auto"/>
                <w:kern w:val="44"/>
                <w:sz w:val="30"/>
                <w:szCs w:val="30"/>
                <w:highlight w:val="none"/>
                <w:lang w:val="zh-CN"/>
              </w:rPr>
            </w:pPr>
          </w:p>
        </w:tc>
        <w:tc>
          <w:tcPr>
            <w:tcW w:w="3686" w:type="dxa"/>
          </w:tcPr>
          <w:p>
            <w:pPr>
              <w:spacing w:line="480" w:lineRule="auto"/>
              <w:rPr>
                <w:rFonts w:eastAsia="黑体"/>
                <w:color w:val="auto"/>
                <w:kern w:val="44"/>
                <w:sz w:val="30"/>
                <w:szCs w:val="30"/>
                <w:highlight w:val="none"/>
                <w:lang w:val="zh-CN"/>
              </w:rPr>
            </w:pPr>
          </w:p>
        </w:tc>
        <w:tc>
          <w:tcPr>
            <w:tcW w:w="2461" w:type="dxa"/>
          </w:tcPr>
          <w:p>
            <w:pPr>
              <w:spacing w:line="480" w:lineRule="auto"/>
              <w:rPr>
                <w:rFonts w:eastAsia="黑体"/>
                <w:color w:val="auto"/>
                <w:kern w:val="44"/>
                <w:sz w:val="30"/>
                <w:szCs w:val="30"/>
                <w:highlight w:val="none"/>
                <w:lang w:val="zh-CN"/>
              </w:rPr>
            </w:pPr>
          </w:p>
        </w:tc>
        <w:tc>
          <w:tcPr>
            <w:tcW w:w="2322" w:type="dxa"/>
          </w:tcPr>
          <w:p>
            <w:pPr>
              <w:spacing w:line="480" w:lineRule="auto"/>
              <w:rPr>
                <w:rFonts w:eastAsia="黑体"/>
                <w:color w:val="auto"/>
                <w:kern w:val="44"/>
                <w:sz w:val="30"/>
                <w:szCs w:val="3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480" w:lineRule="auto"/>
              <w:rPr>
                <w:rFonts w:eastAsia="黑体"/>
                <w:color w:val="auto"/>
                <w:kern w:val="44"/>
                <w:sz w:val="30"/>
                <w:szCs w:val="30"/>
                <w:highlight w:val="none"/>
                <w:lang w:val="zh-CN"/>
              </w:rPr>
            </w:pPr>
          </w:p>
        </w:tc>
        <w:tc>
          <w:tcPr>
            <w:tcW w:w="3686" w:type="dxa"/>
          </w:tcPr>
          <w:p>
            <w:pPr>
              <w:spacing w:line="480" w:lineRule="auto"/>
              <w:rPr>
                <w:rFonts w:eastAsia="黑体"/>
                <w:color w:val="auto"/>
                <w:kern w:val="44"/>
                <w:sz w:val="30"/>
                <w:szCs w:val="30"/>
                <w:highlight w:val="none"/>
                <w:lang w:val="zh-CN"/>
              </w:rPr>
            </w:pPr>
          </w:p>
        </w:tc>
        <w:tc>
          <w:tcPr>
            <w:tcW w:w="2461" w:type="dxa"/>
          </w:tcPr>
          <w:p>
            <w:pPr>
              <w:spacing w:line="480" w:lineRule="auto"/>
              <w:rPr>
                <w:rFonts w:eastAsia="黑体"/>
                <w:color w:val="auto"/>
                <w:kern w:val="44"/>
                <w:sz w:val="30"/>
                <w:szCs w:val="30"/>
                <w:highlight w:val="none"/>
                <w:lang w:val="zh-CN"/>
              </w:rPr>
            </w:pPr>
          </w:p>
        </w:tc>
        <w:tc>
          <w:tcPr>
            <w:tcW w:w="2322" w:type="dxa"/>
          </w:tcPr>
          <w:p>
            <w:pPr>
              <w:spacing w:line="480" w:lineRule="auto"/>
              <w:rPr>
                <w:rFonts w:eastAsia="黑体"/>
                <w:color w:val="auto"/>
                <w:kern w:val="44"/>
                <w:sz w:val="30"/>
                <w:szCs w:val="3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480" w:lineRule="auto"/>
              <w:rPr>
                <w:rFonts w:eastAsia="黑体"/>
                <w:color w:val="auto"/>
                <w:kern w:val="44"/>
                <w:sz w:val="30"/>
                <w:szCs w:val="30"/>
                <w:highlight w:val="none"/>
                <w:lang w:val="zh-CN"/>
              </w:rPr>
            </w:pPr>
          </w:p>
        </w:tc>
        <w:tc>
          <w:tcPr>
            <w:tcW w:w="3686" w:type="dxa"/>
          </w:tcPr>
          <w:p>
            <w:pPr>
              <w:spacing w:line="480" w:lineRule="auto"/>
              <w:rPr>
                <w:rFonts w:eastAsia="黑体"/>
                <w:color w:val="auto"/>
                <w:kern w:val="44"/>
                <w:sz w:val="30"/>
                <w:szCs w:val="30"/>
                <w:highlight w:val="none"/>
                <w:lang w:val="zh-CN"/>
              </w:rPr>
            </w:pPr>
          </w:p>
        </w:tc>
        <w:tc>
          <w:tcPr>
            <w:tcW w:w="2461" w:type="dxa"/>
          </w:tcPr>
          <w:p>
            <w:pPr>
              <w:spacing w:line="480" w:lineRule="auto"/>
              <w:rPr>
                <w:rFonts w:eastAsia="黑体"/>
                <w:color w:val="auto"/>
                <w:kern w:val="44"/>
                <w:sz w:val="30"/>
                <w:szCs w:val="30"/>
                <w:highlight w:val="none"/>
                <w:lang w:val="zh-CN"/>
              </w:rPr>
            </w:pPr>
          </w:p>
        </w:tc>
        <w:tc>
          <w:tcPr>
            <w:tcW w:w="2322" w:type="dxa"/>
          </w:tcPr>
          <w:p>
            <w:pPr>
              <w:spacing w:line="480" w:lineRule="auto"/>
              <w:rPr>
                <w:rFonts w:eastAsia="黑体"/>
                <w:color w:val="auto"/>
                <w:kern w:val="44"/>
                <w:sz w:val="30"/>
                <w:szCs w:val="30"/>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4"/>
          </w:tcPr>
          <w:p>
            <w:pPr>
              <w:spacing w:line="480" w:lineRule="auto"/>
              <w:rPr>
                <w:rFonts w:eastAsia="黑体"/>
                <w:color w:val="auto"/>
                <w:kern w:val="44"/>
                <w:sz w:val="30"/>
                <w:szCs w:val="30"/>
                <w:highlight w:val="none"/>
                <w:lang w:val="zh-CN"/>
              </w:rPr>
            </w:pPr>
            <w:r>
              <w:rPr>
                <w:rFonts w:hint="eastAsia" w:eastAsia="黑体"/>
                <w:color w:val="auto"/>
                <w:kern w:val="44"/>
                <w:sz w:val="30"/>
                <w:szCs w:val="30"/>
                <w:highlight w:val="none"/>
                <w:lang w:val="zh-CN"/>
              </w:rPr>
              <w:t>招标人标底价（元／吨）：</w:t>
            </w:r>
          </w:p>
        </w:tc>
      </w:tr>
    </w:tbl>
    <w:p>
      <w:pPr>
        <w:rPr>
          <w:rFonts w:eastAsia="黑体"/>
          <w:color w:val="auto"/>
          <w:kern w:val="44"/>
          <w:sz w:val="30"/>
          <w:szCs w:val="30"/>
          <w:highlight w:val="none"/>
          <w:lang w:val="zh-CN"/>
        </w:rPr>
      </w:pPr>
    </w:p>
    <w:p>
      <w:pPr>
        <w:pStyle w:val="2"/>
        <w:keepNext w:val="0"/>
        <w:keepLines w:val="0"/>
        <w:spacing w:line="500" w:lineRule="exact"/>
        <w:ind w:firstLine="0" w:firstLineChars="0"/>
        <w:jc w:val="center"/>
        <w:rPr>
          <w:rFonts w:ascii="宋体" w:hAnsi="宋体"/>
          <w:color w:val="auto"/>
          <w:sz w:val="24"/>
          <w:highlight w:val="none"/>
          <w:lang w:val="zh-CN"/>
        </w:rPr>
      </w:pPr>
    </w:p>
    <w:p>
      <w:pPr>
        <w:pStyle w:val="2"/>
        <w:keepNext w:val="0"/>
        <w:keepLines w:val="0"/>
        <w:spacing w:line="500" w:lineRule="exact"/>
        <w:ind w:firstLine="0" w:firstLineChars="0"/>
        <w:jc w:val="center"/>
        <w:rPr>
          <w:rFonts w:ascii="宋体" w:hAnsi="宋体"/>
          <w:color w:val="auto"/>
          <w:sz w:val="24"/>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2"/>
        <w:keepNext w:val="0"/>
        <w:keepLines w:val="0"/>
        <w:spacing w:line="500" w:lineRule="exact"/>
        <w:ind w:firstLine="0" w:firstLineChars="0"/>
        <w:jc w:val="center"/>
        <w:rPr>
          <w:rFonts w:ascii="宋体" w:hAnsi="宋体" w:eastAsia="宋体"/>
          <w:b w:val="0"/>
          <w:color w:val="auto"/>
          <w:sz w:val="36"/>
          <w:highlight w:val="none"/>
          <w:lang w:val="zh-CN"/>
        </w:rPr>
      </w:pPr>
    </w:p>
    <w:p>
      <w:pPr>
        <w:pStyle w:val="2"/>
        <w:keepNext w:val="0"/>
        <w:keepLines w:val="0"/>
        <w:spacing w:line="500" w:lineRule="exact"/>
        <w:ind w:firstLine="0" w:firstLineChars="0"/>
        <w:jc w:val="center"/>
        <w:rPr>
          <w:rFonts w:ascii="宋体" w:hAnsi="宋体" w:eastAsia="宋体"/>
          <w:b w:val="0"/>
          <w:color w:val="auto"/>
          <w:sz w:val="36"/>
          <w:highlight w:val="none"/>
          <w:lang w:val="zh-CN"/>
        </w:rPr>
      </w:pPr>
    </w:p>
    <w:p>
      <w:pPr>
        <w:pStyle w:val="2"/>
        <w:keepNext w:val="0"/>
        <w:keepLines w:val="0"/>
        <w:spacing w:line="500" w:lineRule="exact"/>
        <w:ind w:firstLine="0" w:firstLineChars="0"/>
        <w:jc w:val="center"/>
        <w:rPr>
          <w:rFonts w:ascii="宋体" w:hAnsi="宋体" w:eastAsia="宋体"/>
          <w:b w:val="0"/>
          <w:color w:val="auto"/>
          <w:sz w:val="36"/>
          <w:highlight w:val="none"/>
          <w:lang w:val="zh-CN"/>
        </w:rPr>
      </w:pPr>
    </w:p>
    <w:p>
      <w:pPr>
        <w:pStyle w:val="2"/>
        <w:keepNext w:val="0"/>
        <w:keepLines w:val="0"/>
        <w:spacing w:line="500" w:lineRule="exact"/>
        <w:ind w:firstLine="0" w:firstLineChars="0"/>
        <w:jc w:val="center"/>
        <w:rPr>
          <w:rFonts w:ascii="宋体" w:hAnsi="宋体" w:eastAsia="宋体"/>
          <w:b w:val="0"/>
          <w:color w:val="auto"/>
          <w:sz w:val="36"/>
          <w:highlight w:val="none"/>
          <w:lang w:val="zh-CN"/>
        </w:rPr>
      </w:pPr>
    </w:p>
    <w:p>
      <w:pPr>
        <w:pStyle w:val="2"/>
        <w:keepNext w:val="0"/>
        <w:keepLines w:val="0"/>
        <w:spacing w:line="500" w:lineRule="exact"/>
        <w:ind w:firstLine="0" w:firstLineChars="0"/>
        <w:jc w:val="center"/>
        <w:rPr>
          <w:rFonts w:ascii="宋体" w:hAnsi="宋体" w:eastAsia="宋体"/>
          <w:b w:val="0"/>
          <w:color w:val="auto"/>
          <w:sz w:val="36"/>
          <w:highlight w:val="none"/>
          <w:lang w:val="zh-CN"/>
        </w:rPr>
      </w:pPr>
      <w:r>
        <w:rPr>
          <w:rFonts w:ascii="宋体" w:hAnsi="宋体" w:eastAsia="宋体"/>
          <w:b w:val="0"/>
          <w:color w:val="auto"/>
          <w:sz w:val="36"/>
          <w:highlight w:val="none"/>
          <w:lang w:val="zh-CN"/>
        </w:rPr>
        <w:t>第三章  合同文本</w:t>
      </w:r>
      <w:bookmarkEnd w:id="16"/>
    </w:p>
    <w:p>
      <w:pPr>
        <w:spacing w:line="500" w:lineRule="exact"/>
        <w:rPr>
          <w:rFonts w:ascii="宋体" w:hAnsi="宋体"/>
          <w:color w:val="auto"/>
          <w:sz w:val="44"/>
          <w:highlight w:val="none"/>
        </w:rPr>
      </w:pPr>
    </w:p>
    <w:p>
      <w:pPr>
        <w:spacing w:line="500" w:lineRule="exact"/>
        <w:rPr>
          <w:rFonts w:ascii="宋体" w:hAnsi="宋体"/>
          <w:color w:val="auto"/>
          <w:sz w:val="44"/>
          <w:highlight w:val="none"/>
        </w:rPr>
      </w:pPr>
    </w:p>
    <w:p>
      <w:pPr>
        <w:spacing w:line="500" w:lineRule="exact"/>
        <w:rPr>
          <w:rFonts w:ascii="宋体" w:hAnsi="宋体"/>
          <w:color w:val="auto"/>
          <w:sz w:val="44"/>
          <w:highlight w:val="none"/>
        </w:rPr>
      </w:pPr>
      <w:r>
        <w:rPr>
          <w:rFonts w:ascii="宋体" w:hAnsi="宋体"/>
          <w:color w:val="auto"/>
          <w:sz w:val="44"/>
          <w:highlight w:val="none"/>
        </w:rPr>
        <w:br w:type="page"/>
      </w:r>
    </w:p>
    <w:p>
      <w:pPr>
        <w:spacing w:line="500" w:lineRule="exact"/>
        <w:rPr>
          <w:rFonts w:ascii="宋体" w:hAnsi="宋体"/>
          <w:color w:val="auto"/>
          <w:sz w:val="44"/>
          <w:highlight w:val="none"/>
        </w:rPr>
      </w:pPr>
    </w:p>
    <w:p>
      <w:pPr>
        <w:spacing w:line="300" w:lineRule="auto"/>
        <w:jc w:val="center"/>
        <w:rPr>
          <w:rFonts w:ascii="宋体" w:hAnsi="宋体"/>
          <w:color w:val="auto"/>
          <w:sz w:val="24"/>
          <w:highlight w:val="none"/>
        </w:rPr>
      </w:pPr>
      <w:r>
        <w:rPr>
          <w:rFonts w:ascii="宋体" w:hAnsi="宋体"/>
          <w:snapToGrid w:val="0"/>
          <w:color w:val="auto"/>
          <w:spacing w:val="12"/>
          <w:kern w:val="0"/>
          <w:sz w:val="44"/>
          <w:highlight w:val="none"/>
        </w:rPr>
        <w:t>佛山市恒益环保建材有限公司</w:t>
      </w:r>
    </w:p>
    <w:p>
      <w:pPr>
        <w:spacing w:line="300" w:lineRule="auto"/>
        <w:jc w:val="center"/>
        <w:rPr>
          <w:rFonts w:ascii="宋体" w:hAnsi="宋体"/>
          <w:snapToGrid w:val="0"/>
          <w:color w:val="auto"/>
          <w:spacing w:val="12"/>
          <w:kern w:val="0"/>
          <w:sz w:val="44"/>
          <w:highlight w:val="none"/>
        </w:rPr>
      </w:pPr>
      <w:r>
        <w:rPr>
          <w:rFonts w:ascii="宋体" w:hAnsi="宋体"/>
          <w:snapToGrid w:val="0"/>
          <w:color w:val="auto"/>
          <w:spacing w:val="12"/>
          <w:kern w:val="0"/>
          <w:sz w:val="44"/>
          <w:highlight w:val="none"/>
        </w:rPr>
        <w:t>脱硫石膏销售合同</w:t>
      </w:r>
    </w:p>
    <w:p>
      <w:pPr>
        <w:jc w:val="center"/>
        <w:rPr>
          <w:rFonts w:ascii="宋体" w:hAnsi="宋体"/>
          <w:color w:val="auto"/>
          <w:kern w:val="0"/>
          <w:sz w:val="48"/>
          <w:highlight w:val="none"/>
        </w:rPr>
      </w:pPr>
      <w:bookmarkStart w:id="21" w:name="_Toc59159120"/>
      <w:bookmarkStart w:id="22" w:name="_Toc59468154"/>
      <w:bookmarkStart w:id="23" w:name="_Toc59468153"/>
      <w:bookmarkStart w:id="24" w:name="_Toc59180123"/>
      <w:bookmarkStart w:id="25" w:name="_Toc59687378"/>
      <w:bookmarkStart w:id="26" w:name="_Toc59159784"/>
      <w:bookmarkStart w:id="27" w:name="_Toc59468273"/>
      <w:bookmarkStart w:id="28" w:name="_Toc59159785"/>
      <w:bookmarkStart w:id="29" w:name="_Toc59468272"/>
      <w:bookmarkStart w:id="30" w:name="_Toc59180124"/>
      <w:bookmarkStart w:id="31" w:name="_Toc59159121"/>
      <w:bookmarkStart w:id="32" w:name="_Toc59158250"/>
      <w:bookmarkStart w:id="33" w:name="_Toc59687379"/>
    </w:p>
    <w:p>
      <w:pPr>
        <w:jc w:val="center"/>
        <w:rPr>
          <w:rFonts w:ascii="宋体" w:hAnsi="宋体"/>
          <w:color w:val="auto"/>
          <w:kern w:val="0"/>
          <w:sz w:val="48"/>
          <w:highlight w:val="none"/>
        </w:rPr>
      </w:pPr>
    </w:p>
    <w:p>
      <w:pPr>
        <w:jc w:val="center"/>
        <w:rPr>
          <w:rFonts w:ascii="宋体" w:hAnsi="宋体"/>
          <w:color w:val="auto"/>
          <w:kern w:val="0"/>
          <w:sz w:val="48"/>
          <w:highlight w:val="none"/>
        </w:rPr>
      </w:pPr>
    </w:p>
    <w:p>
      <w:pPr>
        <w:jc w:val="center"/>
        <w:rPr>
          <w:rFonts w:ascii="宋体" w:hAnsi="宋体"/>
          <w:color w:val="auto"/>
          <w:kern w:val="0"/>
          <w:sz w:val="48"/>
          <w:highlight w:val="none"/>
        </w:rPr>
      </w:pPr>
    </w:p>
    <w:p>
      <w:pPr>
        <w:jc w:val="center"/>
        <w:rPr>
          <w:rFonts w:ascii="宋体" w:hAnsi="宋体"/>
          <w:color w:val="auto"/>
          <w:kern w:val="0"/>
          <w:sz w:val="48"/>
          <w:highlight w:val="none"/>
        </w:rPr>
      </w:pPr>
    </w:p>
    <w:p>
      <w:pPr>
        <w:jc w:val="center"/>
        <w:rPr>
          <w:rFonts w:ascii="宋体" w:hAnsi="宋体"/>
          <w:color w:val="auto"/>
          <w:kern w:val="0"/>
          <w:sz w:val="48"/>
          <w:highlight w:val="none"/>
        </w:rPr>
      </w:pPr>
    </w:p>
    <w:p>
      <w:pPr>
        <w:jc w:val="center"/>
        <w:rPr>
          <w:rFonts w:ascii="宋体" w:hAnsi="宋体"/>
          <w:color w:val="auto"/>
          <w:kern w:val="0"/>
          <w:sz w:val="48"/>
          <w:highlight w:val="none"/>
        </w:rPr>
      </w:pPr>
    </w:p>
    <w:p>
      <w:pPr>
        <w:jc w:val="center"/>
        <w:rPr>
          <w:rFonts w:ascii="宋体" w:hAnsi="宋体"/>
          <w:b/>
          <w:color w:val="auto"/>
          <w:kern w:val="0"/>
          <w:sz w:val="48"/>
          <w:highlight w:val="none"/>
        </w:rPr>
      </w:pPr>
    </w:p>
    <w:p>
      <w:pPr>
        <w:rPr>
          <w:rFonts w:ascii="宋体" w:hAnsi="宋体"/>
          <w:b/>
          <w:color w:val="auto"/>
          <w:kern w:val="0"/>
          <w:sz w:val="48"/>
          <w:highlight w:val="none"/>
        </w:rPr>
      </w:pPr>
    </w:p>
    <w:p>
      <w:pPr>
        <w:ind w:firstLine="1800" w:firstLineChars="600"/>
        <w:rPr>
          <w:rFonts w:ascii="宋体" w:hAnsi="宋体"/>
          <w:color w:val="auto"/>
          <w:kern w:val="0"/>
          <w:sz w:val="30"/>
          <w:szCs w:val="30"/>
          <w:highlight w:val="none"/>
        </w:rPr>
      </w:pPr>
      <w:r>
        <w:rPr>
          <w:rFonts w:ascii="宋体" w:hAnsi="宋体"/>
          <w:color w:val="auto"/>
          <w:kern w:val="0"/>
          <w:sz w:val="30"/>
          <w:szCs w:val="30"/>
          <w:highlight w:val="none"/>
        </w:rPr>
        <w:t>甲方：佛山市恒益环保建材有限公司</w:t>
      </w:r>
    </w:p>
    <w:p>
      <w:pPr>
        <w:ind w:firstLine="1800" w:firstLineChars="600"/>
        <w:rPr>
          <w:rFonts w:ascii="宋体" w:hAnsi="宋体"/>
          <w:color w:val="auto"/>
          <w:kern w:val="0"/>
          <w:sz w:val="30"/>
          <w:szCs w:val="30"/>
          <w:highlight w:val="none"/>
        </w:rPr>
      </w:pPr>
    </w:p>
    <w:p>
      <w:pPr>
        <w:ind w:firstLine="1800" w:firstLineChars="600"/>
        <w:rPr>
          <w:rFonts w:ascii="宋体" w:hAnsi="宋体"/>
          <w:color w:val="auto"/>
          <w:kern w:val="0"/>
          <w:sz w:val="30"/>
          <w:szCs w:val="30"/>
          <w:highlight w:val="none"/>
          <w:u w:val="single"/>
        </w:rPr>
      </w:pPr>
      <w:r>
        <w:rPr>
          <w:rFonts w:ascii="宋体" w:hAnsi="宋体"/>
          <w:color w:val="auto"/>
          <w:kern w:val="0"/>
          <w:sz w:val="30"/>
          <w:szCs w:val="30"/>
          <w:highlight w:val="none"/>
        </w:rPr>
        <w:t>乙方：</w:t>
      </w:r>
    </w:p>
    <w:p>
      <w:pPr>
        <w:spacing w:afterLines="50"/>
        <w:jc w:val="center"/>
        <w:rPr>
          <w:rFonts w:ascii="宋体" w:hAnsi="宋体"/>
          <w:color w:val="auto"/>
          <w:sz w:val="32"/>
          <w:szCs w:val="32"/>
          <w:highlight w:val="none"/>
        </w:rPr>
      </w:pPr>
      <w:r>
        <w:rPr>
          <w:rFonts w:ascii="宋体" w:hAnsi="宋体"/>
          <w:b/>
          <w:color w:val="auto"/>
          <w:kern w:val="0"/>
          <w:sz w:val="30"/>
          <w:szCs w:val="30"/>
          <w:highlight w:val="none"/>
        </w:rPr>
        <w:br w:type="page"/>
      </w:r>
      <w:bookmarkEnd w:id="21"/>
      <w:bookmarkEnd w:id="22"/>
      <w:bookmarkEnd w:id="23"/>
      <w:bookmarkEnd w:id="24"/>
      <w:bookmarkEnd w:id="25"/>
      <w:bookmarkEnd w:id="26"/>
      <w:bookmarkEnd w:id="27"/>
      <w:bookmarkEnd w:id="28"/>
      <w:bookmarkEnd w:id="29"/>
      <w:bookmarkEnd w:id="30"/>
      <w:bookmarkEnd w:id="31"/>
      <w:bookmarkEnd w:id="32"/>
      <w:bookmarkEnd w:id="33"/>
      <w:r>
        <w:rPr>
          <w:rFonts w:ascii="宋体" w:hAnsi="宋体"/>
          <w:color w:val="auto"/>
          <w:sz w:val="32"/>
          <w:szCs w:val="32"/>
          <w:highlight w:val="none"/>
        </w:rPr>
        <w:t>脱硫石膏销售合同</w:t>
      </w:r>
    </w:p>
    <w:p>
      <w:pPr>
        <w:spacing w:afterLines="50" w:line="324" w:lineRule="auto"/>
        <w:ind w:right="420"/>
        <w:jc w:val="lef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合同编号：HYJC-201</w:t>
      </w:r>
      <w:r>
        <w:rPr>
          <w:rFonts w:hint="eastAsia" w:ascii="宋体" w:hAnsi="宋体"/>
          <w:color w:val="auto"/>
          <w:szCs w:val="21"/>
          <w:highlight w:val="none"/>
        </w:rPr>
        <w:t>9</w:t>
      </w:r>
      <w:r>
        <w:rPr>
          <w:rFonts w:ascii="宋体" w:hAnsi="宋体"/>
          <w:color w:val="auto"/>
          <w:szCs w:val="21"/>
          <w:highlight w:val="none"/>
        </w:rPr>
        <w:t>- -JJ-QTXS-</w:t>
      </w:r>
    </w:p>
    <w:p>
      <w:pPr>
        <w:spacing w:after="156" w:line="360" w:lineRule="auto"/>
        <w:ind w:right="480"/>
        <w:jc w:val="left"/>
        <w:rPr>
          <w:rFonts w:ascii="宋体" w:hAnsi="宋体"/>
          <w:color w:val="auto"/>
          <w:sz w:val="24"/>
          <w:highlight w:val="none"/>
        </w:rPr>
      </w:pPr>
      <w:r>
        <w:rPr>
          <w:rFonts w:ascii="宋体" w:hAnsi="宋体"/>
          <w:color w:val="auto"/>
          <w:sz w:val="24"/>
          <w:highlight w:val="none"/>
        </w:rPr>
        <w:t>甲方：佛山市恒益环保建材有限公司               订地点：佛山市三水区</w:t>
      </w:r>
    </w:p>
    <w:p>
      <w:pPr>
        <w:spacing w:line="360" w:lineRule="auto"/>
        <w:rPr>
          <w:rFonts w:ascii="宋体" w:hAnsi="宋体"/>
          <w:color w:val="auto"/>
          <w:sz w:val="24"/>
          <w:highlight w:val="none"/>
        </w:rPr>
      </w:pPr>
      <w:r>
        <w:rPr>
          <w:rFonts w:ascii="宋体" w:hAnsi="宋体"/>
          <w:color w:val="auto"/>
          <w:sz w:val="24"/>
          <w:highlight w:val="none"/>
        </w:rPr>
        <w:t xml:space="preserve">乙方： </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乙方承包甲方的脱硫石膏销售项目。为明确甲乙双方的责任，根据《中华人民共和国合同法》及有关法律法规，经甲乙双方协商，特订立本合同，以供双方共同遵守。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一、合同价格及销售方式</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1.脱硫石膏价格：元/吨（出库价，为含税价），</w:t>
      </w:r>
      <w:r>
        <w:rPr>
          <w:rFonts w:ascii="宋体" w:hAnsi="宋体"/>
          <w:color w:val="auto"/>
          <w:sz w:val="24"/>
          <w:highlight w:val="none"/>
        </w:rPr>
        <w:t>脱硫石膏为恒益电厂原状脱硫石膏，甲方负责在石膏库铲装上车，中转运输费用等由乙方自行承担。</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2.数量：除</w:t>
      </w:r>
      <w:r>
        <w:rPr>
          <w:rFonts w:hint="eastAsia" w:ascii="宋体" w:hAnsi="宋体"/>
          <w:bCs/>
          <w:color w:val="auto"/>
          <w:sz w:val="24"/>
          <w:highlight w:val="none"/>
        </w:rPr>
        <w:t>甲方</w:t>
      </w:r>
      <w:r>
        <w:rPr>
          <w:rFonts w:ascii="宋体" w:hAnsi="宋体"/>
          <w:bCs/>
          <w:color w:val="auto"/>
          <w:sz w:val="24"/>
          <w:highlight w:val="none"/>
        </w:rPr>
        <w:t>内部使用外的</w:t>
      </w:r>
      <w:r>
        <w:rPr>
          <w:rFonts w:hint="eastAsia" w:ascii="宋体" w:hAnsi="宋体"/>
          <w:bCs/>
          <w:color w:val="auto"/>
          <w:sz w:val="24"/>
          <w:highlight w:val="none"/>
        </w:rPr>
        <w:t>佛山</w:t>
      </w:r>
      <w:r>
        <w:rPr>
          <w:rFonts w:ascii="宋体" w:hAnsi="宋体"/>
          <w:bCs/>
          <w:color w:val="auto"/>
          <w:sz w:val="24"/>
          <w:highlight w:val="none"/>
        </w:rPr>
        <w:t>恒益电厂脱硫系统产出的所有脱硫石膏。</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二、履约保证及履约地点和提货方式</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1.合同生效后，乙方应在7个工作日内通过银行转账或现金的方式向甲方提交人民币</w:t>
      </w:r>
      <w:r>
        <w:rPr>
          <w:rFonts w:hint="eastAsia" w:ascii="宋体" w:hAnsi="宋体"/>
          <w:b/>
          <w:bCs/>
          <w:color w:val="auto"/>
          <w:sz w:val="24"/>
          <w:highlight w:val="none"/>
          <w:u w:val="single"/>
        </w:rPr>
        <w:t>贰</w:t>
      </w:r>
      <w:r>
        <w:rPr>
          <w:rFonts w:ascii="宋体" w:hAnsi="宋体"/>
          <w:b/>
          <w:bCs/>
          <w:color w:val="auto"/>
          <w:sz w:val="24"/>
          <w:highlight w:val="none"/>
          <w:u w:val="single"/>
        </w:rPr>
        <w:t>佰万元整（按每1%份额</w:t>
      </w:r>
      <w:r>
        <w:rPr>
          <w:rFonts w:hint="eastAsia" w:ascii="宋体" w:hAnsi="宋体"/>
          <w:b/>
          <w:bCs/>
          <w:color w:val="auto"/>
          <w:sz w:val="24"/>
          <w:highlight w:val="none"/>
          <w:u w:val="single"/>
        </w:rPr>
        <w:t>贰</w:t>
      </w:r>
      <w:r>
        <w:rPr>
          <w:rFonts w:ascii="宋体" w:hAnsi="宋体"/>
          <w:b/>
          <w:bCs/>
          <w:color w:val="auto"/>
          <w:sz w:val="24"/>
          <w:highlight w:val="none"/>
          <w:u w:val="single"/>
        </w:rPr>
        <w:t>万元计）</w:t>
      </w:r>
      <w:r>
        <w:rPr>
          <w:rFonts w:ascii="宋体" w:hAnsi="宋体"/>
          <w:bCs/>
          <w:color w:val="auto"/>
          <w:sz w:val="24"/>
          <w:highlight w:val="none"/>
        </w:rPr>
        <w:t>的履约保证金，履约保证金有效期至合同双方履行完合同相关权利与义务时止。因乙方违约，甲方可在履约保证金中直接扣除违约金或赔偿金，履约保证金被扣除后需在10日内补足，履约保证金不足以扣除的，甲方有权继续向乙方追偿；乙方在合同期内未发生违约行为，履约保证金在冲抵最后一批货款或乙方结清合同款项后，余额甲方在15个工作日内无息退还乙方。</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2.交货地点：恒益电厂脱硫石膏仓库。</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3.提货方式：乙方自提。</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三、计量、结算依据及方式</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1.计量方式：甲方实磅计量。</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2.结算依据：以甲方脱硫石膏过磅单为准。</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四、结算方式</w:t>
      </w:r>
    </w:p>
    <w:p>
      <w:pPr>
        <w:pStyle w:val="45"/>
        <w:spacing w:line="360" w:lineRule="auto"/>
        <w:ind w:firstLineChars="175"/>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每月第</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个工作日前甲方开具上月脱硫石膏结算量相应金额的增值税专用发票给乙方，乙方需在每月第</w:t>
      </w:r>
      <w:r>
        <w:rPr>
          <w:rFonts w:asciiTheme="minorEastAsia" w:hAnsiTheme="minorEastAsia" w:eastAsiaTheme="minorEastAsia"/>
          <w:color w:val="auto"/>
          <w:sz w:val="24"/>
          <w:highlight w:val="none"/>
        </w:rPr>
        <w:t>10</w:t>
      </w:r>
      <w:r>
        <w:rPr>
          <w:rFonts w:hint="eastAsia" w:asciiTheme="minorEastAsia" w:hAnsiTheme="minorEastAsia" w:eastAsiaTheme="minorEastAsia"/>
          <w:color w:val="auto"/>
          <w:sz w:val="24"/>
          <w:highlight w:val="none"/>
        </w:rPr>
        <w:t>个工作日前结清上月货款，逾期应负违约责任。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五、违约责任</w:t>
      </w:r>
    </w:p>
    <w:p>
      <w:pPr>
        <w:pStyle w:val="45"/>
        <w:spacing w:line="360" w:lineRule="auto"/>
        <w:ind w:firstLine="480"/>
        <w:jc w:val="left"/>
        <w:rPr>
          <w:rFonts w:ascii="宋体" w:hAnsi="宋体"/>
          <w:color w:val="auto"/>
          <w:sz w:val="24"/>
          <w:highlight w:val="none"/>
        </w:rPr>
      </w:pPr>
      <w:r>
        <w:rPr>
          <w:rFonts w:ascii="宋体" w:hAnsi="宋体"/>
          <w:bCs/>
          <w:color w:val="auto"/>
          <w:sz w:val="24"/>
          <w:highlight w:val="none"/>
        </w:rPr>
        <w:t>1.如乙方不能按期付款超过10天或不能及时清运脱硫石膏影响恒益电厂安全生产的，甲方有权选择以下一种或几种补救措施：①自行组织清运</w:t>
      </w:r>
      <w:r>
        <w:rPr>
          <w:rFonts w:hint="eastAsia" w:ascii="宋体" w:hAnsi="宋体"/>
          <w:bCs/>
          <w:color w:val="auto"/>
          <w:sz w:val="24"/>
          <w:highlight w:val="none"/>
        </w:rPr>
        <w:t>，</w:t>
      </w:r>
      <w:r>
        <w:rPr>
          <w:rFonts w:ascii="宋体" w:hAnsi="宋体"/>
          <w:color w:val="auto"/>
          <w:sz w:val="24"/>
          <w:highlight w:val="none"/>
        </w:rPr>
        <w:t>同时乙方还需支付甲方30元/吨的清运费用；</w:t>
      </w:r>
      <w:r>
        <w:rPr>
          <w:rFonts w:ascii="宋体" w:hAnsi="宋体"/>
          <w:bCs/>
          <w:color w:val="auto"/>
          <w:sz w:val="24"/>
          <w:highlight w:val="none"/>
        </w:rPr>
        <w:t>②解除合同；③要求乙方赔偿因此给甲方造成的一切经济损失。</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2.乙方逾期付款的，每逾期一天，应按应付未付款项的1‰向甲方计付违约金。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六、其它约定事项</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1.合同有效期内，如市场价格变化较大时，经双方协商一致后可对价格进行适当调整，但在正式签订变更协议前仍按此合同执行。</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 本合同附件</w:t>
      </w:r>
      <w:r>
        <w:rPr>
          <w:rFonts w:hint="eastAsia" w:ascii="宋体" w:hAnsi="宋体"/>
          <w:bCs/>
          <w:color w:val="auto"/>
          <w:sz w:val="24"/>
          <w:highlight w:val="none"/>
        </w:rPr>
        <w:t>1</w:t>
      </w:r>
      <w:r>
        <w:rPr>
          <w:rFonts w:ascii="宋体" w:hAnsi="宋体"/>
          <w:bCs/>
          <w:color w:val="auto"/>
          <w:sz w:val="24"/>
          <w:highlight w:val="none"/>
        </w:rPr>
        <w:t>《脱硫石膏</w:t>
      </w:r>
      <w:r>
        <w:rPr>
          <w:rFonts w:hint="eastAsia" w:ascii="宋体" w:hAnsi="宋体"/>
          <w:bCs/>
          <w:color w:val="auto"/>
          <w:sz w:val="24"/>
          <w:highlight w:val="none"/>
        </w:rPr>
        <w:t>销售</w:t>
      </w:r>
      <w:r>
        <w:rPr>
          <w:rFonts w:ascii="宋体" w:hAnsi="宋体"/>
          <w:bCs/>
          <w:color w:val="auto"/>
          <w:sz w:val="24"/>
          <w:highlight w:val="none"/>
        </w:rPr>
        <w:t>安健环管理协议》</w:t>
      </w:r>
      <w:r>
        <w:rPr>
          <w:rFonts w:hint="eastAsia" w:ascii="宋体" w:hAnsi="宋体"/>
          <w:bCs/>
          <w:color w:val="auto"/>
          <w:sz w:val="24"/>
          <w:highlight w:val="none"/>
        </w:rPr>
        <w:t>、附件2《</w:t>
      </w:r>
      <w:r>
        <w:rPr>
          <w:rFonts w:ascii="宋体" w:hAnsi="宋体"/>
          <w:bCs/>
          <w:color w:val="auto"/>
          <w:sz w:val="24"/>
          <w:highlight w:val="none"/>
        </w:rPr>
        <w:t>脱硫石膏</w:t>
      </w:r>
      <w:r>
        <w:rPr>
          <w:rFonts w:hint="eastAsia" w:ascii="宋体" w:hAnsi="宋体"/>
          <w:bCs/>
          <w:color w:val="auto"/>
          <w:sz w:val="24"/>
          <w:highlight w:val="none"/>
        </w:rPr>
        <w:t>销售廉洁协议》</w:t>
      </w:r>
      <w:r>
        <w:rPr>
          <w:rFonts w:ascii="宋体" w:hAnsi="宋体"/>
          <w:bCs/>
          <w:color w:val="auto"/>
          <w:sz w:val="24"/>
          <w:highlight w:val="none"/>
        </w:rPr>
        <w:t>为本合同有效组成部分，与本合同具有同等法律效力。</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3.本合同未尽事宜，由双方协商解决。</w:t>
      </w:r>
    </w:p>
    <w:p>
      <w:pPr>
        <w:spacing w:line="360" w:lineRule="auto"/>
        <w:ind w:firstLine="480" w:firstLineChars="200"/>
        <w:rPr>
          <w:color w:val="auto"/>
          <w:highlight w:val="none"/>
        </w:rPr>
      </w:pPr>
      <w:r>
        <w:rPr>
          <w:rFonts w:ascii="宋体" w:hAnsi="宋体"/>
          <w:bCs/>
          <w:color w:val="auto"/>
          <w:sz w:val="24"/>
          <w:highlight w:val="none"/>
        </w:rPr>
        <w:t>4.</w:t>
      </w:r>
      <w:r>
        <w:rPr>
          <w:rFonts w:hint="eastAsia" w:ascii="宋体" w:hAnsi="宋体"/>
          <w:color w:val="auto"/>
          <w:sz w:val="24"/>
          <w:highlight w:val="none"/>
        </w:rPr>
        <w:t>乙方承诺其供应的产品或技术或服务等不受任何第三方的知识产权等权利主张，若出现第三方主张权利的，由乙方负责处理并承担一切责任，甲方有权根据情况解除本合同并要求乙方赔偿造成的一切损失（包括但不限于第三方赔偿，律师费、诉讼费及调查费用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七、合同争议的解决方式</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因履行本合同而发生争议，由双方当事人协商解决，协商不成的，可以向佛山市三水区人民法院提起诉讼。</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八、合同期限</w:t>
      </w:r>
    </w:p>
    <w:p>
      <w:pPr>
        <w:spacing w:line="360" w:lineRule="auto"/>
        <w:ind w:firstLine="480" w:firstLineChars="200"/>
        <w:rPr>
          <w:rFonts w:ascii="宋体" w:hAnsi="宋体"/>
          <w:bCs/>
          <w:color w:val="auto"/>
          <w:sz w:val="24"/>
          <w:highlight w:val="none"/>
        </w:rPr>
      </w:pPr>
      <w:r>
        <w:rPr>
          <w:rFonts w:asciiTheme="minorEastAsia" w:hAnsiTheme="minorEastAsia" w:eastAsiaTheme="minorEastAsia"/>
          <w:color w:val="auto"/>
          <w:sz w:val="24"/>
          <w:highlight w:val="none"/>
        </w:rPr>
        <w:t>合同服务期为</w:t>
      </w:r>
      <w:r>
        <w:rPr>
          <w:rFonts w:hint="eastAsia" w:asciiTheme="minorEastAsia" w:hAnsiTheme="minorEastAsia" w:eastAsiaTheme="minorEastAsia"/>
          <w:color w:val="auto"/>
          <w:sz w:val="24"/>
          <w:highlight w:val="none"/>
        </w:rPr>
        <w:t>2年，即2020年1月1日至2021年12月31日，2020年1月1月至2020年12月31日为首</w:t>
      </w:r>
      <w:r>
        <w:rPr>
          <w:rFonts w:asciiTheme="minorEastAsia" w:hAnsiTheme="minorEastAsia" w:eastAsiaTheme="minorEastAsia"/>
          <w:color w:val="auto"/>
          <w:sz w:val="24"/>
          <w:highlight w:val="none"/>
        </w:rPr>
        <w:t>个合同服务期，依次类推</w:t>
      </w:r>
      <w:r>
        <w:rPr>
          <w:rFonts w:hint="eastAsia" w:asciiTheme="minorEastAsia" w:hAnsiTheme="minorEastAsia" w:eastAsiaTheme="minorEastAsia"/>
          <w:color w:val="auto"/>
          <w:sz w:val="24"/>
          <w:highlight w:val="none"/>
        </w:rPr>
        <w:t>。</w:t>
      </w:r>
      <w:r>
        <w:rPr>
          <w:rFonts w:hint="eastAsia" w:cs="黑体" w:asciiTheme="minorEastAsia" w:hAnsiTheme="minorEastAsia" w:eastAsiaTheme="minorEastAsia"/>
          <w:color w:val="auto"/>
          <w:kern w:val="0"/>
          <w:sz w:val="24"/>
          <w:highlight w:val="none"/>
        </w:rPr>
        <w:t>首个合同服务期满前</w:t>
      </w:r>
      <w:r>
        <w:rPr>
          <w:rFonts w:cs="黑体" w:asciiTheme="minorEastAsia" w:hAnsiTheme="minorEastAsia" w:eastAsiaTheme="minorEastAsia"/>
          <w:color w:val="auto"/>
          <w:kern w:val="0"/>
          <w:sz w:val="24"/>
          <w:highlight w:val="none"/>
        </w:rPr>
        <w:t>3</w:t>
      </w:r>
      <w:r>
        <w:rPr>
          <w:rFonts w:hint="eastAsia" w:cs="黑体" w:asciiTheme="minorEastAsia" w:hAnsiTheme="minorEastAsia" w:eastAsiaTheme="minorEastAsia"/>
          <w:color w:val="auto"/>
          <w:kern w:val="0"/>
          <w:sz w:val="24"/>
          <w:highlight w:val="none"/>
        </w:rPr>
        <w:t>个月，由甲方组织对乙方进行</w:t>
      </w:r>
      <w:r>
        <w:rPr>
          <w:rFonts w:hint="eastAsia" w:asciiTheme="majorEastAsia" w:hAnsiTheme="majorEastAsia" w:eastAsiaTheme="majorEastAsia"/>
          <w:color w:val="auto"/>
          <w:sz w:val="24"/>
          <w:highlight w:val="none"/>
        </w:rPr>
        <w:t>合同执行情况评定</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若</w:t>
      </w:r>
      <w:r>
        <w:rPr>
          <w:rFonts w:hint="eastAsia" w:asciiTheme="majorEastAsia" w:hAnsiTheme="majorEastAsia" w:eastAsiaTheme="majorEastAsia"/>
          <w:color w:val="auto"/>
          <w:sz w:val="24"/>
          <w:highlight w:val="none"/>
        </w:rPr>
        <w:t>评定</w:t>
      </w:r>
      <w:r>
        <w:rPr>
          <w:rFonts w:hint="eastAsia" w:cs="黑体" w:asciiTheme="minorEastAsia" w:hAnsiTheme="minorEastAsia" w:eastAsiaTheme="minorEastAsia"/>
          <w:color w:val="auto"/>
          <w:kern w:val="0"/>
          <w:sz w:val="24"/>
          <w:highlight w:val="none"/>
        </w:rPr>
        <w:t>不合格</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甲方有权以书面通知的形式单方提出终止合同</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并不就此提前终止向乙方承担任何责任</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乙方亦同意不就此向甲方主张任何权利。若</w:t>
      </w:r>
      <w:r>
        <w:rPr>
          <w:rFonts w:hint="eastAsia" w:asciiTheme="majorEastAsia" w:hAnsiTheme="majorEastAsia" w:eastAsiaTheme="majorEastAsia"/>
          <w:color w:val="auto"/>
          <w:sz w:val="24"/>
          <w:highlight w:val="none"/>
        </w:rPr>
        <w:t>评定</w:t>
      </w:r>
      <w:r>
        <w:rPr>
          <w:rFonts w:hint="eastAsia" w:cs="黑体" w:asciiTheme="minorEastAsia" w:hAnsiTheme="minorEastAsia" w:eastAsiaTheme="minorEastAsia"/>
          <w:color w:val="auto"/>
          <w:kern w:val="0"/>
          <w:sz w:val="24"/>
          <w:highlight w:val="none"/>
        </w:rPr>
        <w:t>合格</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甲方应书面通知乙方</w:t>
      </w:r>
      <w:r>
        <w:rPr>
          <w:rFonts w:cs="黑体" w:asciiTheme="minorEastAsia" w:hAnsiTheme="minorEastAsia" w:eastAsiaTheme="minorEastAsia"/>
          <w:color w:val="auto"/>
          <w:kern w:val="0"/>
          <w:sz w:val="24"/>
          <w:highlight w:val="none"/>
        </w:rPr>
        <w:t>,</w:t>
      </w:r>
      <w:r>
        <w:rPr>
          <w:rFonts w:hint="eastAsia" w:cs="黑体" w:asciiTheme="minorEastAsia" w:hAnsiTheme="minorEastAsia" w:eastAsiaTheme="minorEastAsia"/>
          <w:color w:val="auto"/>
          <w:kern w:val="0"/>
          <w:sz w:val="24"/>
          <w:highlight w:val="none"/>
        </w:rPr>
        <w:t>乙方须按本合同条件执行下一个服务期限。</w:t>
      </w:r>
    </w:p>
    <w:p>
      <w:pPr>
        <w:spacing w:line="360" w:lineRule="auto"/>
        <w:ind w:firstLine="480" w:firstLineChars="200"/>
        <w:rPr>
          <w:rFonts w:ascii="宋体" w:hAnsi="宋体"/>
          <w:color w:val="auto"/>
          <w:sz w:val="24"/>
          <w:highlight w:val="none"/>
        </w:rPr>
      </w:pPr>
      <w:r>
        <w:rPr>
          <w:rFonts w:ascii="宋体" w:hAnsi="宋体"/>
          <w:color w:val="auto"/>
          <w:sz w:val="24"/>
          <w:highlight w:val="none"/>
        </w:rPr>
        <w:t>九、本合同自双方签字盖章之日起生效。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十、本合同壹式陆份，甲方执肆份，乙方执贰份，具有同等法律效力。</w:t>
      </w:r>
    </w:p>
    <w:p>
      <w:pPr>
        <w:spacing w:line="360" w:lineRule="auto"/>
        <w:rPr>
          <w:rFonts w:ascii="宋体" w:hAnsi="宋体"/>
          <w:color w:val="auto"/>
          <w:sz w:val="24"/>
          <w:highlight w:val="none"/>
        </w:rPr>
      </w:pPr>
    </w:p>
    <w:tbl>
      <w:tblPr>
        <w:tblStyle w:val="28"/>
        <w:tblW w:w="8720" w:type="dxa"/>
        <w:tblInd w:w="0" w:type="dxa"/>
        <w:tblLayout w:type="fixed"/>
        <w:tblCellMar>
          <w:top w:w="0" w:type="dxa"/>
          <w:left w:w="108" w:type="dxa"/>
          <w:bottom w:w="0" w:type="dxa"/>
          <w:right w:w="108" w:type="dxa"/>
        </w:tblCellMar>
      </w:tblPr>
      <w:tblGrid>
        <w:gridCol w:w="4495"/>
        <w:gridCol w:w="4225"/>
      </w:tblGrid>
      <w:tr>
        <w:tblPrEx>
          <w:tblLayout w:type="fixed"/>
          <w:tblCellMar>
            <w:top w:w="0" w:type="dxa"/>
            <w:left w:w="108" w:type="dxa"/>
            <w:bottom w:w="0" w:type="dxa"/>
            <w:right w:w="108" w:type="dxa"/>
          </w:tblCellMar>
        </w:tblPrEx>
        <w:trPr>
          <w:trHeight w:val="655" w:hRule="atLeast"/>
        </w:trPr>
        <w:tc>
          <w:tcPr>
            <w:tcW w:w="4495" w:type="dxa"/>
          </w:tcPr>
          <w:p>
            <w:pPr>
              <w:autoSpaceDE w:val="0"/>
              <w:autoSpaceDN w:val="0"/>
              <w:adjustRightInd w:val="0"/>
              <w:snapToGrid w:val="0"/>
              <w:spacing w:line="360" w:lineRule="auto"/>
              <w:ind w:left="1560" w:hanging="1560" w:hangingChars="650"/>
              <w:outlineLvl w:val="0"/>
              <w:rPr>
                <w:rFonts w:ascii="宋体" w:hAnsi="宋体"/>
                <w:color w:val="auto"/>
                <w:sz w:val="24"/>
                <w:highlight w:val="none"/>
              </w:rPr>
            </w:pPr>
            <w:r>
              <w:rPr>
                <w:rFonts w:ascii="宋体" w:hAnsi="宋体"/>
                <w:color w:val="auto"/>
                <w:sz w:val="24"/>
                <w:highlight w:val="none"/>
              </w:rPr>
              <w:t>甲方（盖章）：佛山市恒益环保建材有限公司</w:t>
            </w:r>
          </w:p>
        </w:tc>
        <w:tc>
          <w:tcPr>
            <w:tcW w:w="4225" w:type="dxa"/>
          </w:tcPr>
          <w:p>
            <w:pPr>
              <w:autoSpaceDE w:val="0"/>
              <w:autoSpaceDN w:val="0"/>
              <w:adjustRightInd w:val="0"/>
              <w:snapToGrid w:val="0"/>
              <w:spacing w:line="360" w:lineRule="auto"/>
              <w:ind w:left="1601" w:hanging="1600" w:hangingChars="667"/>
              <w:outlineLvl w:val="0"/>
              <w:rPr>
                <w:rFonts w:ascii="宋体" w:hAnsi="宋体"/>
                <w:color w:val="auto"/>
                <w:sz w:val="24"/>
                <w:highlight w:val="none"/>
              </w:rPr>
            </w:pPr>
            <w:r>
              <w:rPr>
                <w:rFonts w:ascii="宋体" w:hAnsi="宋体"/>
                <w:color w:val="auto"/>
                <w:sz w:val="24"/>
                <w:highlight w:val="none"/>
              </w:rPr>
              <w:t>乙方（盖章）：</w:t>
            </w:r>
          </w:p>
        </w:tc>
      </w:tr>
      <w:tr>
        <w:tblPrEx>
          <w:tblLayout w:type="fixed"/>
          <w:tblCellMar>
            <w:top w:w="0" w:type="dxa"/>
            <w:left w:w="108" w:type="dxa"/>
            <w:bottom w:w="0" w:type="dxa"/>
            <w:right w:w="108" w:type="dxa"/>
          </w:tblCellMar>
        </w:tblPrEx>
        <w:trPr>
          <w:trHeight w:val="583" w:hRule="atLeast"/>
        </w:trPr>
        <w:tc>
          <w:tcPr>
            <w:tcW w:w="4495" w:type="dxa"/>
            <w:vAlign w:val="center"/>
          </w:tcPr>
          <w:p>
            <w:pPr>
              <w:autoSpaceDE w:val="0"/>
              <w:autoSpaceDN w:val="0"/>
              <w:adjustRightInd w:val="0"/>
              <w:snapToGrid w:val="0"/>
              <w:spacing w:beforeLines="50" w:afterLines="50" w:line="360" w:lineRule="auto"/>
              <w:outlineLvl w:val="0"/>
              <w:rPr>
                <w:rFonts w:ascii="宋体" w:hAnsi="宋体"/>
                <w:color w:val="auto"/>
                <w:sz w:val="24"/>
                <w:highlight w:val="none"/>
              </w:rPr>
            </w:pPr>
            <w:r>
              <w:rPr>
                <w:rFonts w:ascii="宋体" w:hAnsi="宋体"/>
                <w:color w:val="auto"/>
                <w:sz w:val="24"/>
                <w:highlight w:val="none"/>
              </w:rPr>
              <w:t>法定代表人：</w:t>
            </w:r>
          </w:p>
        </w:tc>
        <w:tc>
          <w:tcPr>
            <w:tcW w:w="4225" w:type="dxa"/>
            <w:vAlign w:val="center"/>
          </w:tcPr>
          <w:p>
            <w:pPr>
              <w:autoSpaceDE w:val="0"/>
              <w:autoSpaceDN w:val="0"/>
              <w:adjustRightInd w:val="0"/>
              <w:snapToGrid w:val="0"/>
              <w:spacing w:beforeLines="50" w:afterLines="50" w:line="360" w:lineRule="auto"/>
              <w:outlineLvl w:val="0"/>
              <w:rPr>
                <w:rFonts w:ascii="宋体" w:hAnsi="宋体"/>
                <w:color w:val="auto"/>
                <w:sz w:val="24"/>
                <w:highlight w:val="none"/>
              </w:rPr>
            </w:pPr>
            <w:r>
              <w:rPr>
                <w:rFonts w:ascii="宋体" w:hAnsi="宋体"/>
                <w:color w:val="auto"/>
                <w:sz w:val="24"/>
                <w:highlight w:val="none"/>
              </w:rPr>
              <w:t>法定代表人：</w:t>
            </w:r>
          </w:p>
        </w:tc>
      </w:tr>
      <w:tr>
        <w:tblPrEx>
          <w:tblLayout w:type="fixed"/>
          <w:tblCellMar>
            <w:top w:w="0" w:type="dxa"/>
            <w:left w:w="108" w:type="dxa"/>
            <w:bottom w:w="0" w:type="dxa"/>
            <w:right w:w="108" w:type="dxa"/>
          </w:tblCellMar>
        </w:tblPrEx>
        <w:trPr>
          <w:trHeight w:val="458" w:hRule="atLeast"/>
        </w:trPr>
        <w:tc>
          <w:tcPr>
            <w:tcW w:w="4495" w:type="dxa"/>
            <w:vAlign w:val="center"/>
          </w:tcPr>
          <w:p>
            <w:pPr>
              <w:autoSpaceDE w:val="0"/>
              <w:autoSpaceDN w:val="0"/>
              <w:adjustRightInd w:val="0"/>
              <w:snapToGrid w:val="0"/>
              <w:spacing w:beforeLines="50" w:afterLines="50" w:line="360" w:lineRule="auto"/>
              <w:outlineLvl w:val="0"/>
              <w:rPr>
                <w:rFonts w:ascii="宋体" w:hAnsi="宋体"/>
                <w:color w:val="auto"/>
                <w:sz w:val="24"/>
                <w:highlight w:val="none"/>
              </w:rPr>
            </w:pPr>
            <w:r>
              <w:rPr>
                <w:rFonts w:ascii="宋体" w:hAnsi="宋体"/>
                <w:color w:val="auto"/>
                <w:sz w:val="24"/>
                <w:highlight w:val="none"/>
              </w:rPr>
              <w:t>（或）委托代理人：</w:t>
            </w:r>
          </w:p>
        </w:tc>
        <w:tc>
          <w:tcPr>
            <w:tcW w:w="4225" w:type="dxa"/>
            <w:vAlign w:val="center"/>
          </w:tcPr>
          <w:p>
            <w:pPr>
              <w:autoSpaceDE w:val="0"/>
              <w:autoSpaceDN w:val="0"/>
              <w:adjustRightInd w:val="0"/>
              <w:snapToGrid w:val="0"/>
              <w:spacing w:beforeLines="50" w:afterLines="50" w:line="360" w:lineRule="auto"/>
              <w:outlineLvl w:val="0"/>
              <w:rPr>
                <w:rFonts w:ascii="宋体" w:hAnsi="宋体"/>
                <w:color w:val="auto"/>
                <w:sz w:val="24"/>
                <w:highlight w:val="none"/>
              </w:rPr>
            </w:pPr>
            <w:r>
              <w:rPr>
                <w:rFonts w:ascii="宋体" w:hAnsi="宋体"/>
                <w:color w:val="auto"/>
                <w:sz w:val="24"/>
                <w:highlight w:val="none"/>
              </w:rPr>
              <w:t>（或）委托代理人：</w:t>
            </w:r>
          </w:p>
        </w:tc>
      </w:tr>
      <w:tr>
        <w:tblPrEx>
          <w:tblLayout w:type="fixed"/>
          <w:tblCellMar>
            <w:top w:w="0" w:type="dxa"/>
            <w:left w:w="108" w:type="dxa"/>
            <w:bottom w:w="0" w:type="dxa"/>
            <w:right w:w="108" w:type="dxa"/>
          </w:tblCellMar>
        </w:tblPrEx>
        <w:tc>
          <w:tcPr>
            <w:tcW w:w="4495" w:type="dxa"/>
            <w:vAlign w:val="center"/>
          </w:tcPr>
          <w:p>
            <w:pPr>
              <w:autoSpaceDE w:val="0"/>
              <w:autoSpaceDN w:val="0"/>
              <w:adjustRightInd w:val="0"/>
              <w:snapToGrid w:val="0"/>
              <w:spacing w:line="360" w:lineRule="auto"/>
              <w:ind w:left="720" w:hanging="720" w:hangingChars="300"/>
              <w:outlineLvl w:val="0"/>
              <w:rPr>
                <w:rFonts w:ascii="宋体" w:hAnsi="宋体"/>
                <w:color w:val="auto"/>
                <w:sz w:val="24"/>
                <w:highlight w:val="none"/>
              </w:rPr>
            </w:pPr>
            <w:r>
              <w:rPr>
                <w:rFonts w:ascii="宋体" w:hAnsi="宋体"/>
                <w:color w:val="auto"/>
                <w:sz w:val="24"/>
                <w:highlight w:val="none"/>
              </w:rPr>
              <w:t>地址：佛山市三水区白坭</w:t>
            </w:r>
            <w:r>
              <w:rPr>
                <w:rFonts w:hint="eastAsia" w:ascii="宋体" w:hAnsi="宋体"/>
                <w:color w:val="auto"/>
                <w:sz w:val="24"/>
                <w:highlight w:val="none"/>
              </w:rPr>
              <w:t>临江工业城</w:t>
            </w:r>
            <w:r>
              <w:rPr>
                <w:rFonts w:ascii="宋体" w:hAnsi="宋体"/>
                <w:color w:val="auto"/>
                <w:sz w:val="24"/>
                <w:highlight w:val="none"/>
              </w:rPr>
              <w:t>2号</w:t>
            </w:r>
          </w:p>
        </w:tc>
        <w:tc>
          <w:tcPr>
            <w:tcW w:w="4225" w:type="dxa"/>
            <w:vAlign w:val="center"/>
          </w:tcPr>
          <w:p>
            <w:pPr>
              <w:spacing w:line="360" w:lineRule="auto"/>
              <w:ind w:left="641" w:hanging="640" w:hangingChars="267"/>
              <w:rPr>
                <w:rFonts w:ascii="宋体" w:hAnsi="宋体"/>
                <w:color w:val="auto"/>
                <w:sz w:val="24"/>
                <w:highlight w:val="none"/>
              </w:rPr>
            </w:pPr>
            <w:r>
              <w:rPr>
                <w:rFonts w:ascii="宋体" w:hAnsi="宋体"/>
                <w:color w:val="auto"/>
                <w:sz w:val="24"/>
                <w:highlight w:val="none"/>
              </w:rPr>
              <w:t xml:space="preserve">地址: </w:t>
            </w:r>
          </w:p>
        </w:tc>
      </w:tr>
      <w:tr>
        <w:tblPrEx>
          <w:tblLayout w:type="fixed"/>
          <w:tblCellMar>
            <w:top w:w="0" w:type="dxa"/>
            <w:left w:w="108" w:type="dxa"/>
            <w:bottom w:w="0" w:type="dxa"/>
            <w:right w:w="108" w:type="dxa"/>
          </w:tblCellMar>
        </w:tblPrEx>
        <w:trPr>
          <w:trHeight w:val="325" w:hRule="atLeast"/>
        </w:trPr>
        <w:tc>
          <w:tcPr>
            <w:tcW w:w="4495" w:type="dxa"/>
            <w:vAlign w:val="center"/>
          </w:tcPr>
          <w:p>
            <w:pPr>
              <w:autoSpaceDE w:val="0"/>
              <w:autoSpaceDN w:val="0"/>
              <w:adjustRightInd w:val="0"/>
              <w:snapToGrid w:val="0"/>
              <w:spacing w:beforeLines="20" w:afterLines="20" w:line="360" w:lineRule="auto"/>
              <w:outlineLvl w:val="0"/>
              <w:rPr>
                <w:rFonts w:ascii="宋体" w:hAnsi="宋体"/>
                <w:color w:val="auto"/>
                <w:sz w:val="24"/>
                <w:highlight w:val="none"/>
              </w:rPr>
            </w:pPr>
            <w:r>
              <w:rPr>
                <w:rFonts w:hint="eastAsia" w:ascii="宋体" w:hAnsi="宋体"/>
                <w:color w:val="auto"/>
                <w:sz w:val="24"/>
                <w:highlight w:val="none"/>
              </w:rPr>
              <w:t>账</w:t>
            </w:r>
            <w:r>
              <w:rPr>
                <w:rFonts w:ascii="宋体" w:hAnsi="宋体"/>
                <w:color w:val="auto"/>
                <w:sz w:val="24"/>
                <w:highlight w:val="none"/>
              </w:rPr>
              <w:t>号：2013024409200036018</w:t>
            </w:r>
          </w:p>
        </w:tc>
        <w:tc>
          <w:tcPr>
            <w:tcW w:w="4225" w:type="dxa"/>
            <w:vAlign w:val="center"/>
          </w:tcPr>
          <w:p>
            <w:pPr>
              <w:autoSpaceDE w:val="0"/>
              <w:autoSpaceDN w:val="0"/>
              <w:adjustRightInd w:val="0"/>
              <w:snapToGrid w:val="0"/>
              <w:spacing w:beforeLines="20" w:afterLines="20" w:line="360" w:lineRule="auto"/>
              <w:outlineLvl w:val="0"/>
              <w:rPr>
                <w:rFonts w:ascii="宋体" w:hAnsi="宋体"/>
                <w:color w:val="auto"/>
                <w:sz w:val="24"/>
                <w:highlight w:val="none"/>
              </w:rPr>
            </w:pPr>
            <w:r>
              <w:rPr>
                <w:rFonts w:hint="eastAsia" w:ascii="宋体" w:hAnsi="宋体"/>
                <w:color w:val="auto"/>
                <w:sz w:val="24"/>
                <w:highlight w:val="none"/>
              </w:rPr>
              <w:t>账</w:t>
            </w:r>
            <w:r>
              <w:rPr>
                <w:rFonts w:ascii="宋体" w:hAnsi="宋体"/>
                <w:color w:val="auto"/>
                <w:sz w:val="24"/>
                <w:highlight w:val="none"/>
              </w:rPr>
              <w:t>号：</w:t>
            </w:r>
          </w:p>
        </w:tc>
      </w:tr>
      <w:tr>
        <w:tblPrEx>
          <w:tblLayout w:type="fixed"/>
          <w:tblCellMar>
            <w:top w:w="0" w:type="dxa"/>
            <w:left w:w="108" w:type="dxa"/>
            <w:bottom w:w="0" w:type="dxa"/>
            <w:right w:w="108" w:type="dxa"/>
          </w:tblCellMar>
        </w:tblPrEx>
        <w:tc>
          <w:tcPr>
            <w:tcW w:w="4495" w:type="dxa"/>
            <w:vAlign w:val="center"/>
          </w:tcPr>
          <w:p>
            <w:pPr>
              <w:autoSpaceDE w:val="0"/>
              <w:autoSpaceDN w:val="0"/>
              <w:adjustRightInd w:val="0"/>
              <w:snapToGrid w:val="0"/>
              <w:spacing w:beforeLines="20" w:afterLines="20" w:line="360" w:lineRule="auto"/>
              <w:outlineLvl w:val="0"/>
              <w:rPr>
                <w:rFonts w:ascii="宋体" w:hAnsi="宋体"/>
                <w:color w:val="auto"/>
                <w:sz w:val="24"/>
                <w:highlight w:val="none"/>
              </w:rPr>
            </w:pPr>
            <w:r>
              <w:rPr>
                <w:rFonts w:ascii="宋体" w:hAnsi="宋体"/>
                <w:color w:val="auto"/>
                <w:sz w:val="24"/>
                <w:highlight w:val="none"/>
              </w:rPr>
              <w:t>开户银行：工行佛山南海丹灶支行</w:t>
            </w:r>
          </w:p>
        </w:tc>
        <w:tc>
          <w:tcPr>
            <w:tcW w:w="4225" w:type="dxa"/>
            <w:vAlign w:val="center"/>
          </w:tcPr>
          <w:p>
            <w:pPr>
              <w:autoSpaceDE w:val="0"/>
              <w:autoSpaceDN w:val="0"/>
              <w:adjustRightInd w:val="0"/>
              <w:snapToGrid w:val="0"/>
              <w:spacing w:beforeLines="20" w:afterLines="20" w:line="360" w:lineRule="auto"/>
              <w:outlineLvl w:val="0"/>
              <w:rPr>
                <w:rFonts w:ascii="宋体" w:hAnsi="宋体"/>
                <w:color w:val="auto"/>
                <w:sz w:val="24"/>
                <w:highlight w:val="none"/>
              </w:rPr>
            </w:pPr>
            <w:r>
              <w:rPr>
                <w:rFonts w:ascii="宋体" w:hAnsi="宋体"/>
                <w:color w:val="auto"/>
                <w:sz w:val="24"/>
                <w:highlight w:val="none"/>
              </w:rPr>
              <w:t>开户银行：</w:t>
            </w:r>
          </w:p>
        </w:tc>
      </w:tr>
      <w:tr>
        <w:tblPrEx>
          <w:tblLayout w:type="fixed"/>
          <w:tblCellMar>
            <w:top w:w="0" w:type="dxa"/>
            <w:left w:w="108" w:type="dxa"/>
            <w:bottom w:w="0" w:type="dxa"/>
            <w:right w:w="108" w:type="dxa"/>
          </w:tblCellMar>
        </w:tblPrEx>
        <w:tc>
          <w:tcPr>
            <w:tcW w:w="4495" w:type="dxa"/>
            <w:vAlign w:val="center"/>
          </w:tcPr>
          <w:p>
            <w:pPr>
              <w:autoSpaceDE w:val="0"/>
              <w:autoSpaceDN w:val="0"/>
              <w:adjustRightInd w:val="0"/>
              <w:snapToGrid w:val="0"/>
              <w:spacing w:beforeLines="20" w:afterLines="20" w:line="360" w:lineRule="auto"/>
              <w:outlineLvl w:val="0"/>
              <w:rPr>
                <w:rFonts w:ascii="宋体" w:hAnsi="宋体"/>
                <w:color w:val="auto"/>
                <w:sz w:val="24"/>
                <w:highlight w:val="none"/>
              </w:rPr>
            </w:pPr>
            <w:r>
              <w:rPr>
                <w:rFonts w:ascii="宋体" w:hAnsi="宋体"/>
                <w:color w:val="auto"/>
                <w:sz w:val="24"/>
                <w:highlight w:val="none"/>
              </w:rPr>
              <w:t>电话：0757-87655532</w:t>
            </w:r>
          </w:p>
        </w:tc>
        <w:tc>
          <w:tcPr>
            <w:tcW w:w="4225" w:type="dxa"/>
            <w:vAlign w:val="center"/>
          </w:tcPr>
          <w:p>
            <w:pPr>
              <w:autoSpaceDE w:val="0"/>
              <w:autoSpaceDN w:val="0"/>
              <w:adjustRightInd w:val="0"/>
              <w:snapToGrid w:val="0"/>
              <w:spacing w:beforeLines="20" w:afterLines="20" w:line="360" w:lineRule="auto"/>
              <w:outlineLvl w:val="0"/>
              <w:rPr>
                <w:rFonts w:ascii="宋体" w:hAnsi="宋体"/>
                <w:color w:val="auto"/>
                <w:sz w:val="24"/>
                <w:highlight w:val="none"/>
              </w:rPr>
            </w:pPr>
            <w:r>
              <w:rPr>
                <w:rFonts w:ascii="宋体" w:hAnsi="宋体"/>
                <w:color w:val="auto"/>
                <w:sz w:val="24"/>
                <w:highlight w:val="none"/>
              </w:rPr>
              <w:t>电话：</w:t>
            </w:r>
          </w:p>
        </w:tc>
      </w:tr>
      <w:tr>
        <w:tblPrEx>
          <w:tblLayout w:type="fixed"/>
          <w:tblCellMar>
            <w:top w:w="0" w:type="dxa"/>
            <w:left w:w="108" w:type="dxa"/>
            <w:bottom w:w="0" w:type="dxa"/>
            <w:right w:w="108" w:type="dxa"/>
          </w:tblCellMar>
        </w:tblPrEx>
        <w:tc>
          <w:tcPr>
            <w:tcW w:w="4495" w:type="dxa"/>
            <w:vAlign w:val="center"/>
          </w:tcPr>
          <w:p>
            <w:pPr>
              <w:autoSpaceDE w:val="0"/>
              <w:autoSpaceDN w:val="0"/>
              <w:adjustRightInd w:val="0"/>
              <w:snapToGrid w:val="0"/>
              <w:spacing w:beforeLines="20" w:afterLines="20" w:line="360" w:lineRule="auto"/>
              <w:outlineLvl w:val="0"/>
              <w:rPr>
                <w:rFonts w:ascii="宋体" w:hAnsi="宋体"/>
                <w:color w:val="auto"/>
                <w:sz w:val="24"/>
                <w:highlight w:val="none"/>
              </w:rPr>
            </w:pPr>
            <w:r>
              <w:rPr>
                <w:rFonts w:ascii="宋体" w:hAnsi="宋体"/>
                <w:color w:val="auto"/>
                <w:sz w:val="24"/>
                <w:highlight w:val="none"/>
              </w:rPr>
              <w:t>传真：0757-87663907</w:t>
            </w:r>
          </w:p>
        </w:tc>
        <w:tc>
          <w:tcPr>
            <w:tcW w:w="4225" w:type="dxa"/>
            <w:vAlign w:val="center"/>
          </w:tcPr>
          <w:p>
            <w:pPr>
              <w:autoSpaceDE w:val="0"/>
              <w:autoSpaceDN w:val="0"/>
              <w:adjustRightInd w:val="0"/>
              <w:snapToGrid w:val="0"/>
              <w:spacing w:beforeLines="20" w:afterLines="20" w:line="360" w:lineRule="auto"/>
              <w:outlineLvl w:val="0"/>
              <w:rPr>
                <w:rFonts w:ascii="宋体" w:hAnsi="宋体"/>
                <w:color w:val="auto"/>
                <w:sz w:val="24"/>
                <w:highlight w:val="none"/>
              </w:rPr>
            </w:pPr>
            <w:r>
              <w:rPr>
                <w:rFonts w:ascii="宋体" w:hAnsi="宋体"/>
                <w:color w:val="auto"/>
                <w:sz w:val="24"/>
                <w:highlight w:val="none"/>
              </w:rPr>
              <w:t>传真：</w:t>
            </w:r>
          </w:p>
        </w:tc>
      </w:tr>
      <w:tr>
        <w:tblPrEx>
          <w:tblLayout w:type="fixed"/>
          <w:tblCellMar>
            <w:top w:w="0" w:type="dxa"/>
            <w:left w:w="108" w:type="dxa"/>
            <w:bottom w:w="0" w:type="dxa"/>
            <w:right w:w="108" w:type="dxa"/>
          </w:tblCellMar>
        </w:tblPrEx>
        <w:trPr>
          <w:trHeight w:val="589" w:hRule="atLeast"/>
        </w:trPr>
        <w:tc>
          <w:tcPr>
            <w:tcW w:w="8720" w:type="dxa"/>
            <w:gridSpan w:val="2"/>
          </w:tcPr>
          <w:p>
            <w:pPr>
              <w:autoSpaceDE w:val="0"/>
              <w:autoSpaceDN w:val="0"/>
              <w:adjustRightInd w:val="0"/>
              <w:snapToGrid w:val="0"/>
              <w:spacing w:line="360" w:lineRule="auto"/>
              <w:jc w:val="left"/>
              <w:outlineLvl w:val="0"/>
              <w:rPr>
                <w:rFonts w:ascii="宋体" w:hAnsi="宋体"/>
                <w:color w:val="auto"/>
                <w:sz w:val="24"/>
                <w:highlight w:val="none"/>
              </w:rPr>
            </w:pPr>
            <w:r>
              <w:rPr>
                <w:rFonts w:ascii="宋体" w:hAnsi="宋体"/>
                <w:color w:val="auto"/>
                <w:sz w:val="24"/>
                <w:highlight w:val="none"/>
              </w:rPr>
              <w:t>签约日期：年    月    日</w:t>
            </w:r>
          </w:p>
        </w:tc>
      </w:tr>
    </w:tbl>
    <w:p>
      <w:pPr>
        <w:spacing w:line="360" w:lineRule="auto"/>
        <w:jc w:val="center"/>
        <w:rPr>
          <w:rFonts w:ascii="宋体" w:hAnsi="宋体"/>
          <w:color w:val="auto"/>
          <w:sz w:val="30"/>
          <w:szCs w:val="30"/>
          <w:highlight w:val="none"/>
        </w:rPr>
      </w:pPr>
      <w:r>
        <w:rPr>
          <w:rFonts w:ascii="宋体" w:hAnsi="宋体"/>
          <w:color w:val="auto"/>
          <w:sz w:val="30"/>
          <w:szCs w:val="30"/>
          <w:highlight w:val="none"/>
        </w:rPr>
        <w:br w:type="page"/>
      </w:r>
    </w:p>
    <w:p>
      <w:pPr>
        <w:tabs>
          <w:tab w:val="left" w:pos="270"/>
          <w:tab w:val="center" w:pos="4252"/>
        </w:tabs>
        <w:spacing w:line="360" w:lineRule="auto"/>
        <w:jc w:val="left"/>
        <w:rPr>
          <w:rFonts w:ascii="宋体" w:hAnsi="宋体"/>
          <w:color w:val="auto"/>
          <w:sz w:val="30"/>
          <w:szCs w:val="30"/>
          <w:highlight w:val="none"/>
        </w:rPr>
      </w:pPr>
      <w:r>
        <w:rPr>
          <w:rFonts w:ascii="宋体" w:hAnsi="宋体"/>
          <w:color w:val="auto"/>
          <w:sz w:val="30"/>
          <w:szCs w:val="30"/>
          <w:highlight w:val="none"/>
        </w:rPr>
        <w:tab/>
      </w:r>
      <w:r>
        <w:rPr>
          <w:rFonts w:hint="eastAsia" w:ascii="宋体" w:hAnsi="宋体"/>
          <w:color w:val="auto"/>
          <w:sz w:val="24"/>
          <w:highlight w:val="none"/>
        </w:rPr>
        <w:t>附件</w:t>
      </w:r>
      <w:r>
        <w:rPr>
          <w:rFonts w:ascii="宋体" w:hAnsi="宋体"/>
          <w:color w:val="auto"/>
          <w:sz w:val="24"/>
          <w:highlight w:val="none"/>
        </w:rPr>
        <w:t>1</w:t>
      </w:r>
      <w:r>
        <w:rPr>
          <w:rFonts w:ascii="宋体" w:hAnsi="宋体"/>
          <w:color w:val="auto"/>
          <w:sz w:val="30"/>
          <w:szCs w:val="30"/>
          <w:highlight w:val="none"/>
        </w:rPr>
        <w:tab/>
      </w:r>
    </w:p>
    <w:p>
      <w:pPr>
        <w:spacing w:line="360" w:lineRule="auto"/>
        <w:jc w:val="center"/>
        <w:rPr>
          <w:rFonts w:ascii="宋体" w:hAnsi="宋体"/>
          <w:color w:val="auto"/>
          <w:sz w:val="30"/>
          <w:szCs w:val="30"/>
          <w:highlight w:val="none"/>
        </w:rPr>
      </w:pPr>
      <w:r>
        <w:rPr>
          <w:rFonts w:ascii="宋体" w:hAnsi="宋体"/>
          <w:color w:val="auto"/>
          <w:sz w:val="32"/>
          <w:szCs w:val="32"/>
          <w:highlight w:val="none"/>
        </w:rPr>
        <w:t>脱硫石膏销售</w:t>
      </w:r>
      <w:r>
        <w:rPr>
          <w:rFonts w:ascii="宋体" w:hAnsi="宋体"/>
          <w:color w:val="auto"/>
          <w:sz w:val="30"/>
          <w:szCs w:val="30"/>
          <w:highlight w:val="none"/>
        </w:rPr>
        <w:t>安健环管理协议</w:t>
      </w:r>
    </w:p>
    <w:p>
      <w:pPr>
        <w:spacing w:line="360" w:lineRule="auto"/>
        <w:jc w:val="center"/>
        <w:rPr>
          <w:rFonts w:ascii="宋体" w:hAnsi="宋体"/>
          <w:color w:val="auto"/>
          <w:sz w:val="24"/>
          <w:highlight w:val="none"/>
        </w:rPr>
      </w:pPr>
      <w:r>
        <w:rPr>
          <w:rFonts w:ascii="宋体" w:hAnsi="宋体"/>
          <w:b/>
          <w:color w:val="auto"/>
          <w:spacing w:val="-14"/>
          <w:sz w:val="24"/>
          <w:highlight w:val="none"/>
        </w:rPr>
        <w:t xml:space="preserve"> </w:t>
      </w:r>
    </w:p>
    <w:p>
      <w:pPr>
        <w:snapToGrid w:val="0"/>
        <w:spacing w:line="360" w:lineRule="auto"/>
        <w:jc w:val="left"/>
        <w:rPr>
          <w:rFonts w:ascii="宋体"/>
          <w:color w:val="auto"/>
          <w:sz w:val="24"/>
          <w:highlight w:val="none"/>
        </w:rPr>
      </w:pPr>
      <w:r>
        <w:rPr>
          <w:rFonts w:hint="eastAsia" w:ascii="宋体" w:hAnsi="宋体"/>
          <w:color w:val="auto"/>
          <w:sz w:val="24"/>
          <w:highlight w:val="none"/>
        </w:rPr>
        <w:t>甲方：佛山市恒益环保建材有限公司</w:t>
      </w:r>
      <w:r>
        <w:rPr>
          <w:rFonts w:ascii="宋体" w:hAnsi="宋体"/>
          <w:color w:val="auto"/>
          <w:sz w:val="24"/>
          <w:highlight w:val="none"/>
        </w:rPr>
        <w:t xml:space="preserve">    </w:t>
      </w:r>
    </w:p>
    <w:p>
      <w:pPr>
        <w:spacing w:line="360" w:lineRule="auto"/>
        <w:rPr>
          <w:rFonts w:ascii="宋体" w:hAnsi="宋体"/>
          <w:color w:val="auto"/>
          <w:kern w:val="0"/>
          <w:sz w:val="24"/>
          <w:highlight w:val="none"/>
        </w:rPr>
      </w:pPr>
      <w:r>
        <w:rPr>
          <w:rFonts w:hint="eastAsia" w:ascii="宋体" w:hAnsi="宋体"/>
          <w:color w:val="auto"/>
          <w:sz w:val="24"/>
          <w:highlight w:val="none"/>
        </w:rPr>
        <w:t>乙方：</w:t>
      </w:r>
      <w:r>
        <w:rPr>
          <w:rFonts w:ascii="宋体" w:hAnsi="宋体"/>
          <w:color w:val="auto"/>
          <w:kern w:val="0"/>
          <w:sz w:val="24"/>
          <w:highlight w:val="none"/>
        </w:rPr>
        <w:t xml:space="preserve"> </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为确保项目顺利实施，甲方与乙方依照国家和政府的有关法律法规，就本项目实施过程中的安健环管理事项、双方权利与义务协商一致，达成以下协议：</w:t>
      </w:r>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一、甲方安健环管理责任与义务：</w:t>
      </w:r>
    </w:p>
    <w:p>
      <w:pPr>
        <w:pStyle w:val="53"/>
        <w:numPr>
          <w:ilvl w:val="0"/>
          <w:numId w:val="3"/>
        </w:numPr>
        <w:tabs>
          <w:tab w:val="left" w:pos="0"/>
          <w:tab w:val="clear" w:pos="420"/>
        </w:tabs>
        <w:spacing w:line="360" w:lineRule="auto"/>
        <w:ind w:left="0" w:firstLine="42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提供甲方安健环有关制度（含上级主管部门的有关安健环管理文件）复印件给乙方作为安健环教育管理的一项资料；督促乙方制定相应的安全管理制度，要求乙方对其工作人员进行安健环培训教育，并经考核合格后才允许在本项目上岗作业。</w:t>
      </w:r>
    </w:p>
    <w:p>
      <w:pPr>
        <w:pStyle w:val="53"/>
        <w:numPr>
          <w:ilvl w:val="0"/>
          <w:numId w:val="3"/>
        </w:numPr>
        <w:spacing w:line="360" w:lineRule="auto"/>
        <w:ind w:firstLine="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负责对乙方特种作业工作人员入厂上岗前的资格证审查及备案。</w:t>
      </w:r>
    </w:p>
    <w:p>
      <w:pPr>
        <w:pStyle w:val="53"/>
        <w:numPr>
          <w:ilvl w:val="0"/>
          <w:numId w:val="3"/>
        </w:numPr>
        <w:spacing w:line="360" w:lineRule="auto"/>
        <w:ind w:firstLine="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向乙方提供承包项目业务内各岗位职业病防治的专项体检指引。</w:t>
      </w:r>
    </w:p>
    <w:p>
      <w:pPr>
        <w:pStyle w:val="53"/>
        <w:numPr>
          <w:ilvl w:val="0"/>
          <w:numId w:val="3"/>
        </w:numPr>
        <w:tabs>
          <w:tab w:val="clear" w:pos="420"/>
        </w:tabs>
        <w:spacing w:line="360" w:lineRule="auto"/>
        <w:ind w:left="0" w:firstLine="42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向乙方提供恒益电厂内环境、职业危害因素防范及劳动保护、危险源辨识及告知等安全管理规定，要求乙方严格执行。</w:t>
      </w:r>
    </w:p>
    <w:p>
      <w:pPr>
        <w:pStyle w:val="53"/>
        <w:numPr>
          <w:ilvl w:val="0"/>
          <w:numId w:val="3"/>
        </w:numPr>
        <w:spacing w:line="360" w:lineRule="auto"/>
        <w:ind w:firstLine="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对乙方资质进行以下内容审查：</w:t>
      </w:r>
    </w:p>
    <w:p>
      <w:pPr>
        <w:pStyle w:val="53"/>
        <w:numPr>
          <w:ilvl w:val="1"/>
          <w:numId w:val="4"/>
        </w:numPr>
        <w:spacing w:line="360" w:lineRule="auto"/>
        <w:ind w:hanging="414"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政府有关部门核发的营业执照和相关资质证书、法人代表资格证书。</w:t>
      </w:r>
    </w:p>
    <w:p>
      <w:pPr>
        <w:pStyle w:val="53"/>
        <w:numPr>
          <w:ilvl w:val="1"/>
          <w:numId w:val="4"/>
        </w:numPr>
        <w:spacing w:line="360" w:lineRule="auto"/>
        <w:ind w:hanging="414"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相关人员有关本项目的技术资质、安健环资质、身体职业健康证明等。</w:t>
      </w:r>
    </w:p>
    <w:p>
      <w:pPr>
        <w:pStyle w:val="53"/>
        <w:numPr>
          <w:ilvl w:val="1"/>
          <w:numId w:val="4"/>
        </w:numPr>
        <w:spacing w:line="360" w:lineRule="auto"/>
        <w:ind w:hanging="414"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关于本项目的各项安健环管理制度以及人员名单。</w:t>
      </w:r>
    </w:p>
    <w:p>
      <w:pPr>
        <w:pStyle w:val="53"/>
        <w:numPr>
          <w:ilvl w:val="0"/>
          <w:numId w:val="4"/>
        </w:numPr>
        <w:spacing w:line="360" w:lineRule="auto"/>
        <w:ind w:firstLine="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检查乙方所派工作人员是否符合国家、地方、行业的有关法律、法规的要求。</w:t>
      </w:r>
    </w:p>
    <w:p>
      <w:pPr>
        <w:pStyle w:val="53"/>
        <w:numPr>
          <w:ilvl w:val="0"/>
          <w:numId w:val="4"/>
        </w:numPr>
        <w:tabs>
          <w:tab w:val="left" w:pos="0"/>
          <w:tab w:val="clear" w:pos="420"/>
        </w:tabs>
        <w:spacing w:line="360" w:lineRule="auto"/>
        <w:ind w:left="0" w:firstLine="42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有权监督乙方在承包项目业务实施现场的安健环管理、督促乙方落实业务现场安健环防范措施。</w:t>
      </w:r>
    </w:p>
    <w:p>
      <w:pPr>
        <w:pStyle w:val="53"/>
        <w:numPr>
          <w:ilvl w:val="0"/>
          <w:numId w:val="4"/>
        </w:numPr>
        <w:tabs>
          <w:tab w:val="left" w:pos="0"/>
          <w:tab w:val="clear" w:pos="420"/>
        </w:tabs>
        <w:spacing w:line="360" w:lineRule="auto"/>
        <w:ind w:left="0" w:firstLine="42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不得违章指挥或强令乙方工作人员冒险作业，承担因违章指挥导致发生事故的相应责任。</w:t>
      </w:r>
    </w:p>
    <w:p>
      <w:pPr>
        <w:pStyle w:val="53"/>
        <w:numPr>
          <w:ilvl w:val="0"/>
          <w:numId w:val="4"/>
        </w:numPr>
        <w:tabs>
          <w:tab w:val="left" w:pos="142"/>
          <w:tab w:val="clear" w:pos="420"/>
        </w:tabs>
        <w:spacing w:line="360" w:lineRule="auto"/>
        <w:ind w:left="0" w:firstLine="42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有权对乙方进行安健环检查，对发现的问题及时提出整改意见，并限期整改完毕，同时按考核规定给予相应的处罚。</w:t>
      </w:r>
    </w:p>
    <w:p>
      <w:pPr>
        <w:pStyle w:val="53"/>
        <w:numPr>
          <w:ilvl w:val="0"/>
          <w:numId w:val="4"/>
        </w:numPr>
        <w:spacing w:line="360" w:lineRule="auto"/>
        <w:ind w:firstLine="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检查乙方是否按规定向工人配发符合安全标准的卫生防护用品及劳保用品。</w:t>
      </w:r>
    </w:p>
    <w:p>
      <w:pPr>
        <w:pStyle w:val="53"/>
        <w:numPr>
          <w:ilvl w:val="0"/>
          <w:numId w:val="4"/>
        </w:numPr>
        <w:tabs>
          <w:tab w:val="left" w:pos="0"/>
          <w:tab w:val="clear" w:pos="420"/>
        </w:tabs>
        <w:spacing w:line="360" w:lineRule="auto"/>
        <w:ind w:left="0" w:firstLine="426"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甲方管理人员不负责</w:t>
      </w:r>
      <w:r>
        <w:rPr>
          <w:rFonts w:cs="宋体" w:asciiTheme="minorEastAsia" w:hAnsiTheme="minorEastAsia" w:eastAsiaTheme="minorEastAsia"/>
          <w:color w:val="auto"/>
          <w:kern w:val="0"/>
          <w:sz w:val="24"/>
          <w:highlight w:val="none"/>
        </w:rPr>
        <w:t>24</w:t>
      </w:r>
      <w:r>
        <w:rPr>
          <w:rFonts w:hint="eastAsia" w:cs="宋体" w:asciiTheme="minorEastAsia" w:hAnsiTheme="minorEastAsia" w:eastAsiaTheme="minorEastAsia"/>
          <w:color w:val="auto"/>
          <w:kern w:val="0"/>
          <w:sz w:val="24"/>
          <w:highlight w:val="none"/>
        </w:rPr>
        <w:t>小时监督乙方的具体工作，但一经发现乙方有不符合安全及违规行为，有随时制止和处罚的权利。</w:t>
      </w:r>
    </w:p>
    <w:p>
      <w:pPr>
        <w:pStyle w:val="53"/>
        <w:spacing w:line="360" w:lineRule="auto"/>
        <w:ind w:firstLine="48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二、乙方安健环管理责任与义务：</w:t>
      </w:r>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（一）遵守法律法规</w:t>
      </w:r>
    </w:p>
    <w:p>
      <w:pPr>
        <w:spacing w:line="360" w:lineRule="auto"/>
        <w:ind w:firstLine="566" w:firstLineChars="236"/>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．持证上岗：乙方的特种作业人员应持有政府有关部门颁发的有效证件，持证上岗</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提供相关的资质证明，如叉车司机、铲车司机、货车司机、电工、焊工、高空作业等特种作业人员上岗资质证；特种设备及特种工器具也必须持有效合格证件，乙方必须向甲方提供有效从事相关作业的资质证明（或人员特种资质证书），并对其真实性负责。</w:t>
      </w:r>
    </w:p>
    <w:p>
      <w:pPr>
        <w:spacing w:line="360" w:lineRule="auto"/>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．严格遵守《中华人民共和国消防法》和《机关、团体、企业、事业单位消防安全管理规定》，做好施工现场的消防管理工作。</w:t>
      </w:r>
    </w:p>
    <w:p>
      <w:pPr>
        <w:spacing w:line="360" w:lineRule="auto"/>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建立消防安全管理制度和明确消防安全责任。</w:t>
      </w:r>
    </w:p>
    <w:p>
      <w:pPr>
        <w:spacing w:line="360" w:lineRule="auto"/>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对施工人员进行消防安全教育培训。</w:t>
      </w:r>
    </w:p>
    <w:p>
      <w:pPr>
        <w:spacing w:line="420" w:lineRule="exact"/>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确保消防设施和器材齐全、完好、有效。</w:t>
      </w:r>
    </w:p>
    <w:p>
      <w:pPr>
        <w:spacing w:line="420" w:lineRule="exact"/>
        <w:ind w:firstLine="48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．乙方严格遵守国家、地方、行业安全生产、消防、环保及职业病防治等方面法律法规要求，遵守甲方的相关规章制度。</w:t>
      </w:r>
    </w:p>
    <w:p>
      <w:pPr>
        <w:spacing w:line="420" w:lineRule="exact"/>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kern w:val="0"/>
          <w:sz w:val="24"/>
          <w:highlight w:val="none"/>
        </w:rPr>
        <w:t xml:space="preserve"> 严禁使用未成年人、童工和不适合现场安全施工要求的老、弱、病、残人员进行施工，否则造成后果由乙方负责。</w:t>
      </w:r>
    </w:p>
    <w:p>
      <w:pPr>
        <w:pStyle w:val="53"/>
        <w:spacing w:line="360" w:lineRule="auto"/>
        <w:ind w:firstLineChars="175"/>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5.</w:t>
      </w:r>
      <w:r>
        <w:rPr>
          <w:rFonts w:hint="eastAsia" w:cs="宋体" w:asciiTheme="minorEastAsia" w:hAnsiTheme="minorEastAsia" w:eastAsiaTheme="minorEastAsia"/>
          <w:color w:val="auto"/>
          <w:kern w:val="0"/>
          <w:sz w:val="24"/>
          <w:highlight w:val="none"/>
        </w:rPr>
        <w:t xml:space="preserve"> 乙方应建立安健环管理机构和安健环管理制度，提供安全管理责任人及相关业务安全员名单，并向甲方安健环管理部备案。</w:t>
      </w:r>
    </w:p>
    <w:p>
      <w:pPr>
        <w:pStyle w:val="53"/>
        <w:spacing w:line="360" w:lineRule="auto"/>
        <w:ind w:firstLine="424" w:firstLineChars="177"/>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6.</w:t>
      </w:r>
      <w:r>
        <w:rPr>
          <w:rFonts w:hint="eastAsia" w:cs="宋体" w:asciiTheme="minorEastAsia" w:hAnsiTheme="minorEastAsia" w:eastAsiaTheme="minorEastAsia"/>
          <w:color w:val="auto"/>
          <w:kern w:val="0"/>
          <w:sz w:val="24"/>
          <w:highlight w:val="none"/>
        </w:rPr>
        <w:t xml:space="preserve"> 乙方在承包项目业务实施现场工作时需严格执行甲方工作票甲乙双方双签制，工作票签发人、负责人、许可人这三种人对现场施工安全负起相应责任。这三种人的资质需要经过甲方专门培训合格，经甲方批准。</w:t>
      </w:r>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（二）作业人员要求</w:t>
      </w:r>
    </w:p>
    <w:p>
      <w:pPr>
        <w:spacing w:line="360" w:lineRule="auto"/>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7.</w:t>
      </w:r>
      <w:r>
        <w:rPr>
          <w:rFonts w:hint="eastAsia" w:cs="宋体" w:asciiTheme="minorEastAsia" w:hAnsiTheme="minorEastAsia" w:eastAsiaTheme="minorEastAsia"/>
          <w:color w:val="auto"/>
          <w:kern w:val="0"/>
          <w:sz w:val="24"/>
          <w:highlight w:val="none"/>
        </w:rPr>
        <w:t>乙方在甲方厂区、恒益电厂厂区工作的所有人员，乙方需组织进行所承包项目内各项业务的培训和安健环培训教育及考核合格报经甲方同意后，且在进厂前必须接受甲方安排的进厂三级安全教育并经甲方考核合格后，办理出入厂证件后方可进入甲方厂区、恒益电厂厂区工作。</w:t>
      </w:r>
    </w:p>
    <w:p>
      <w:pPr>
        <w:spacing w:line="420" w:lineRule="exact"/>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8.</w:t>
      </w:r>
      <w:r>
        <w:rPr>
          <w:rFonts w:hint="eastAsia" w:cs="宋体" w:asciiTheme="minorEastAsia" w:hAnsiTheme="minorEastAsia" w:eastAsiaTheme="minorEastAsia"/>
          <w:color w:val="auto"/>
          <w:kern w:val="0"/>
          <w:sz w:val="24"/>
          <w:highlight w:val="none"/>
        </w:rPr>
        <w:t>乙方对已录用的在甲方厂区、恒益电厂厂区工作的人员，应做好日常管理和定期安健环教育，并做好记录，受教育者必须签名，接受甲方监督。</w:t>
      </w:r>
    </w:p>
    <w:p>
      <w:pPr>
        <w:spacing w:line="420" w:lineRule="exact"/>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xml:space="preserve">9. </w:t>
      </w:r>
      <w:r>
        <w:rPr>
          <w:rFonts w:hint="eastAsia" w:cs="宋体" w:asciiTheme="minorEastAsia" w:hAnsiTheme="minorEastAsia" w:eastAsiaTheme="minorEastAsia"/>
          <w:color w:val="auto"/>
          <w:kern w:val="0"/>
          <w:sz w:val="24"/>
          <w:highlight w:val="none"/>
        </w:rPr>
        <w:t>乙方作业人员开工前必须接受甲方安排的安全技术交底，全体作业人员均应掌握工程特点及施工安全措施。</w:t>
      </w:r>
    </w:p>
    <w:p>
      <w:pPr>
        <w:pStyle w:val="53"/>
        <w:spacing w:line="360" w:lineRule="auto"/>
        <w:ind w:firstLine="424" w:firstLineChars="177"/>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10.</w:t>
      </w:r>
      <w:r>
        <w:rPr>
          <w:rFonts w:hint="eastAsia" w:cs="宋体" w:asciiTheme="minorEastAsia" w:hAnsiTheme="minorEastAsia" w:eastAsiaTheme="minorEastAsia"/>
          <w:color w:val="auto"/>
          <w:kern w:val="0"/>
          <w:sz w:val="24"/>
          <w:highlight w:val="none"/>
        </w:rPr>
        <w:t>乙方录用在甲方厂区工作的人员，应在上岗前进行职业健康体检并符合要求才准上岗。</w:t>
      </w:r>
    </w:p>
    <w:p>
      <w:pPr>
        <w:pStyle w:val="53"/>
        <w:spacing w:line="360" w:lineRule="auto"/>
        <w:ind w:firstLine="48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xml:space="preserve">11. </w:t>
      </w:r>
      <w:r>
        <w:rPr>
          <w:rFonts w:hint="eastAsia" w:cs="宋体" w:asciiTheme="minorEastAsia" w:hAnsiTheme="minorEastAsia" w:eastAsiaTheme="minorEastAsia"/>
          <w:color w:val="auto"/>
          <w:kern w:val="0"/>
          <w:sz w:val="24"/>
          <w:highlight w:val="none"/>
        </w:rPr>
        <w:t>乙方对已录用的在甲方厂区工作的人员，应按有关法规购买包含工伤保险在内的社会保险或工伤保险，或意外险（雇主险）保额壹佰万元（￥100万元）以上。</w:t>
      </w:r>
    </w:p>
    <w:p>
      <w:pPr>
        <w:pStyle w:val="53"/>
        <w:spacing w:line="360" w:lineRule="auto"/>
        <w:ind w:left="426" w:firstLine="0" w:firstLineChars="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 xml:space="preserve">12. </w:t>
      </w:r>
      <w:r>
        <w:rPr>
          <w:rFonts w:hint="eastAsia" w:cs="宋体" w:asciiTheme="minorEastAsia" w:hAnsiTheme="minorEastAsia" w:eastAsiaTheme="minorEastAsia"/>
          <w:color w:val="auto"/>
          <w:kern w:val="0"/>
          <w:sz w:val="24"/>
          <w:highlight w:val="none"/>
        </w:rPr>
        <w:t>以上工作所涉及费用均由乙方负责。</w:t>
      </w:r>
    </w:p>
    <w:p>
      <w:pPr>
        <w:pStyle w:val="53"/>
        <w:spacing w:line="360" w:lineRule="auto"/>
        <w:ind w:left="426" w:firstLine="0" w:firstLineChars="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(三)作业要求</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13.</w:t>
      </w:r>
      <w:r>
        <w:rPr>
          <w:rFonts w:cs="宋体" w:asciiTheme="minorEastAsia" w:hAnsiTheme="minorEastAsia" w:eastAsiaTheme="minorEastAsia"/>
          <w:color w:val="auto"/>
          <w:kern w:val="0"/>
          <w:sz w:val="24"/>
          <w:highlight w:val="none"/>
        </w:rPr>
        <w:t>乙方必须保证运</w:t>
      </w:r>
      <w:r>
        <w:rPr>
          <w:rFonts w:hint="eastAsia" w:cs="宋体" w:asciiTheme="minorEastAsia" w:hAnsiTheme="minorEastAsia" w:eastAsiaTheme="minorEastAsia"/>
          <w:color w:val="auto"/>
          <w:kern w:val="0"/>
          <w:sz w:val="24"/>
          <w:highlight w:val="none"/>
        </w:rPr>
        <w:t>输</w:t>
      </w:r>
      <w:r>
        <w:rPr>
          <w:rFonts w:cs="宋体" w:asciiTheme="minorEastAsia" w:hAnsiTheme="minorEastAsia" w:eastAsiaTheme="minorEastAsia"/>
          <w:color w:val="auto"/>
          <w:kern w:val="0"/>
          <w:sz w:val="24"/>
          <w:highlight w:val="none"/>
        </w:rPr>
        <w:t>车辆遵守交通法规</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并保证运</w:t>
      </w:r>
      <w:r>
        <w:rPr>
          <w:rFonts w:hint="eastAsia" w:cs="宋体" w:asciiTheme="minorEastAsia" w:hAnsiTheme="minorEastAsia" w:eastAsiaTheme="minorEastAsia"/>
          <w:color w:val="auto"/>
          <w:kern w:val="0"/>
          <w:sz w:val="24"/>
          <w:highlight w:val="none"/>
        </w:rPr>
        <w:t>输</w:t>
      </w:r>
      <w:r>
        <w:rPr>
          <w:rFonts w:cs="宋体" w:asciiTheme="minorEastAsia" w:hAnsiTheme="minorEastAsia" w:eastAsiaTheme="minorEastAsia"/>
          <w:color w:val="auto"/>
          <w:kern w:val="0"/>
          <w:sz w:val="24"/>
          <w:highlight w:val="none"/>
        </w:rPr>
        <w:t>车辆安全性能良好</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符合国家有关运输</w:t>
      </w:r>
      <w:r>
        <w:rPr>
          <w:rFonts w:hint="eastAsia" w:cs="宋体" w:asciiTheme="minorEastAsia" w:hAnsiTheme="minorEastAsia" w:eastAsiaTheme="minorEastAsia"/>
          <w:color w:val="auto"/>
          <w:kern w:val="0"/>
          <w:sz w:val="24"/>
          <w:highlight w:val="none"/>
        </w:rPr>
        <w:t>车辆安全管理规定，无安全隐患，车辆尾气、噪声必须符合国家、地方的机动车辆排放标准。甲方安全部门对乙方未经检验或检验不合格的入场车辆，按台每次扣罚</w:t>
      </w:r>
      <w:r>
        <w:rPr>
          <w:rFonts w:cs="宋体" w:asciiTheme="minorEastAsia" w:hAnsiTheme="minorEastAsia" w:eastAsiaTheme="minorEastAsia"/>
          <w:color w:val="auto"/>
          <w:kern w:val="0"/>
          <w:sz w:val="24"/>
          <w:highlight w:val="none"/>
        </w:rPr>
        <w:t>100元。</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14.</w:t>
      </w:r>
      <w:r>
        <w:rPr>
          <w:rFonts w:cs="宋体" w:asciiTheme="minorEastAsia" w:hAnsiTheme="minorEastAsia" w:eastAsiaTheme="minorEastAsia"/>
          <w:color w:val="auto"/>
          <w:kern w:val="0"/>
          <w:sz w:val="24"/>
          <w:highlight w:val="none"/>
        </w:rPr>
        <w:t>运输车辆应保持外部清洁，严禁装载过量，由于乙方装载过量或车辆等原因造成甲方及恒益电厂范围内</w:t>
      </w:r>
      <w:r>
        <w:rPr>
          <w:rFonts w:hint="eastAsia" w:cs="宋体" w:asciiTheme="minorEastAsia" w:hAnsiTheme="minorEastAsia" w:eastAsiaTheme="minorEastAsia"/>
          <w:color w:val="auto"/>
          <w:kern w:val="0"/>
          <w:sz w:val="24"/>
          <w:highlight w:val="none"/>
        </w:rPr>
        <w:t>撒</w:t>
      </w:r>
      <w:r>
        <w:rPr>
          <w:rFonts w:cs="宋体" w:asciiTheme="minorEastAsia" w:hAnsiTheme="minorEastAsia" w:eastAsiaTheme="minorEastAsia"/>
          <w:color w:val="auto"/>
          <w:kern w:val="0"/>
          <w:sz w:val="24"/>
          <w:highlight w:val="none"/>
        </w:rPr>
        <w:t>漏影响环境卫生或</w:t>
      </w:r>
      <w:r>
        <w:rPr>
          <w:rFonts w:hint="eastAsia" w:cs="宋体" w:asciiTheme="minorEastAsia" w:hAnsiTheme="minorEastAsia" w:eastAsiaTheme="minorEastAsia"/>
          <w:color w:val="auto"/>
          <w:kern w:val="0"/>
          <w:sz w:val="24"/>
          <w:highlight w:val="none"/>
        </w:rPr>
        <w:t>造成</w:t>
      </w:r>
      <w:r>
        <w:rPr>
          <w:rFonts w:cs="宋体" w:asciiTheme="minorEastAsia" w:hAnsiTheme="minorEastAsia" w:eastAsiaTheme="minorEastAsia"/>
          <w:color w:val="auto"/>
          <w:kern w:val="0"/>
          <w:sz w:val="24"/>
          <w:highlight w:val="none"/>
        </w:rPr>
        <w:t>路面等基础设施损坏的，由乙方负全责，每发生一次抛</w:t>
      </w:r>
      <w:r>
        <w:rPr>
          <w:rFonts w:hint="eastAsia" w:cs="宋体" w:asciiTheme="minorEastAsia" w:hAnsiTheme="minorEastAsia" w:eastAsiaTheme="minorEastAsia"/>
          <w:color w:val="auto"/>
          <w:kern w:val="0"/>
          <w:sz w:val="24"/>
          <w:highlight w:val="none"/>
        </w:rPr>
        <w:t>撒</w:t>
      </w:r>
      <w:r>
        <w:rPr>
          <w:rFonts w:cs="宋体" w:asciiTheme="minorEastAsia" w:hAnsiTheme="minorEastAsia" w:eastAsiaTheme="minorEastAsia"/>
          <w:color w:val="auto"/>
          <w:kern w:val="0"/>
          <w:sz w:val="24"/>
          <w:highlight w:val="none"/>
        </w:rPr>
        <w:t>现象扣乙方500元。</w:t>
      </w:r>
      <w:r>
        <w:rPr>
          <w:rFonts w:hint="eastAsia" w:cs="宋体" w:asciiTheme="minorEastAsia" w:hAnsiTheme="minorEastAsia" w:eastAsiaTheme="minorEastAsia"/>
          <w:color w:val="auto"/>
          <w:kern w:val="0"/>
          <w:sz w:val="24"/>
          <w:highlight w:val="none"/>
        </w:rPr>
        <w:t>车辆在装载脱硫石膏时，应严格按当班人员指引装载，不得撒漏，更不能因装载过量而引起溢漏，每发生一次扣乙方</w:t>
      </w:r>
      <w:r>
        <w:rPr>
          <w:rFonts w:cs="宋体" w:asciiTheme="minorEastAsia" w:hAnsiTheme="minorEastAsia" w:eastAsiaTheme="minorEastAsia"/>
          <w:color w:val="auto"/>
          <w:kern w:val="0"/>
          <w:sz w:val="24"/>
          <w:highlight w:val="none"/>
        </w:rPr>
        <w:t>500元，屡教不改或情节特别严重的，</w:t>
      </w:r>
      <w:r>
        <w:rPr>
          <w:rFonts w:hint="eastAsia" w:cs="宋体" w:asciiTheme="minorEastAsia" w:hAnsiTheme="minorEastAsia" w:eastAsiaTheme="minorEastAsia"/>
          <w:color w:val="auto"/>
          <w:kern w:val="0"/>
          <w:sz w:val="24"/>
          <w:highlight w:val="none"/>
        </w:rPr>
        <w:t>乙方除负造成危害的全部责任外，根据严重程度甲方追加扣罚乙方</w:t>
      </w:r>
      <w:r>
        <w:rPr>
          <w:rFonts w:cs="宋体" w:asciiTheme="minorEastAsia" w:hAnsiTheme="minorEastAsia" w:eastAsiaTheme="minorEastAsia"/>
          <w:color w:val="auto"/>
          <w:kern w:val="0"/>
          <w:sz w:val="24"/>
          <w:highlight w:val="none"/>
        </w:rPr>
        <w:t>1000～3000元罚款。</w:t>
      </w:r>
    </w:p>
    <w:p>
      <w:pPr>
        <w:spacing w:line="360" w:lineRule="auto"/>
        <w:ind w:left="1"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15.在物料转运和搬放过程中，易产生较大扬尘。乙方雇佣工人在作业时应遵循轻搬、慢移、轻放的原则，必要时洒水辅助，如因操作不当造成扬尘影响环境时，每发现一次扣罚乙方</w:t>
      </w:r>
      <w:r>
        <w:rPr>
          <w:rFonts w:cs="宋体" w:asciiTheme="minorEastAsia" w:hAnsiTheme="minorEastAsia" w:eastAsiaTheme="minorEastAsia"/>
          <w:color w:val="auto"/>
          <w:kern w:val="0"/>
          <w:sz w:val="24"/>
          <w:highlight w:val="none"/>
        </w:rPr>
        <w:t>300</w:t>
      </w:r>
      <w:r>
        <w:rPr>
          <w:rFonts w:hint="eastAsia" w:cs="宋体" w:asciiTheme="minorEastAsia" w:hAnsiTheme="minorEastAsia" w:eastAsiaTheme="minorEastAsia"/>
          <w:color w:val="auto"/>
          <w:kern w:val="0"/>
          <w:sz w:val="24"/>
          <w:highlight w:val="none"/>
        </w:rPr>
        <w:t>元。</w:t>
      </w:r>
      <w:r>
        <w:rPr>
          <w:rFonts w:cs="宋体" w:asciiTheme="minorEastAsia" w:hAnsiTheme="minorEastAsia" w:eastAsiaTheme="minorEastAsia"/>
          <w:color w:val="auto"/>
          <w:kern w:val="0"/>
          <w:sz w:val="24"/>
          <w:highlight w:val="none"/>
        </w:rPr>
        <w:t>乙方</w:t>
      </w:r>
      <w:r>
        <w:rPr>
          <w:rFonts w:hint="eastAsia" w:cs="宋体" w:asciiTheme="minorEastAsia" w:hAnsiTheme="minorEastAsia" w:eastAsiaTheme="minorEastAsia"/>
          <w:color w:val="auto"/>
          <w:kern w:val="0"/>
          <w:sz w:val="24"/>
          <w:highlight w:val="none"/>
        </w:rPr>
        <w:t>必须废渣煤斗、</w:t>
      </w:r>
      <w:r>
        <w:rPr>
          <w:rFonts w:cs="宋体" w:asciiTheme="minorEastAsia" w:hAnsiTheme="minorEastAsia" w:eastAsiaTheme="minorEastAsia"/>
          <w:color w:val="auto"/>
          <w:kern w:val="0"/>
          <w:sz w:val="24"/>
          <w:highlight w:val="none"/>
        </w:rPr>
        <w:t>石膏库周边及运输道路的卫生清洁</w:t>
      </w:r>
      <w:r>
        <w:rPr>
          <w:rFonts w:hint="eastAsia" w:cs="宋体" w:asciiTheme="minorEastAsia" w:hAnsiTheme="minorEastAsia" w:eastAsiaTheme="minorEastAsia"/>
          <w:color w:val="auto"/>
          <w:kern w:val="0"/>
          <w:sz w:val="24"/>
          <w:highlight w:val="none"/>
        </w:rPr>
        <w:t>，禁止石膏废水经过斜坡溢出电厂</w:t>
      </w:r>
      <w:r>
        <w:rPr>
          <w:rFonts w:cs="宋体" w:asciiTheme="minorEastAsia" w:hAnsiTheme="minorEastAsia" w:eastAsiaTheme="minorEastAsia"/>
          <w:color w:val="auto"/>
          <w:kern w:val="0"/>
          <w:sz w:val="24"/>
          <w:highlight w:val="none"/>
        </w:rPr>
        <w:t>#2门而造成厂外河道的环境污染。</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16.</w:t>
      </w:r>
      <w:r>
        <w:rPr>
          <w:rFonts w:cs="宋体" w:asciiTheme="minorEastAsia" w:hAnsiTheme="minorEastAsia" w:eastAsiaTheme="minorEastAsia"/>
          <w:color w:val="auto"/>
          <w:kern w:val="0"/>
          <w:sz w:val="24"/>
          <w:highlight w:val="none"/>
        </w:rPr>
        <w:t>乙方</w:t>
      </w:r>
      <w:r>
        <w:rPr>
          <w:rFonts w:hint="eastAsia" w:cs="宋体" w:asciiTheme="minorEastAsia" w:hAnsiTheme="minorEastAsia" w:eastAsiaTheme="minorEastAsia"/>
          <w:color w:val="auto"/>
          <w:kern w:val="0"/>
          <w:sz w:val="24"/>
          <w:highlight w:val="none"/>
        </w:rPr>
        <w:t>的</w:t>
      </w:r>
      <w:r>
        <w:rPr>
          <w:rFonts w:cs="宋体" w:asciiTheme="minorEastAsia" w:hAnsiTheme="minorEastAsia" w:eastAsiaTheme="minorEastAsia"/>
          <w:color w:val="auto"/>
          <w:kern w:val="0"/>
          <w:sz w:val="24"/>
          <w:highlight w:val="none"/>
        </w:rPr>
        <w:t>运输车辆必须服从甲方的管理，不得</w:t>
      </w:r>
      <w:r>
        <w:rPr>
          <w:rFonts w:hint="eastAsia" w:cs="宋体" w:asciiTheme="minorEastAsia" w:hAnsiTheme="minorEastAsia" w:eastAsiaTheme="minorEastAsia"/>
          <w:color w:val="auto"/>
          <w:kern w:val="0"/>
          <w:sz w:val="24"/>
          <w:highlight w:val="none"/>
        </w:rPr>
        <w:t>乱停乱放</w:t>
      </w:r>
      <w:r>
        <w:rPr>
          <w:rFonts w:cs="宋体" w:asciiTheme="minorEastAsia" w:hAnsiTheme="minorEastAsia" w:eastAsiaTheme="minorEastAsia"/>
          <w:color w:val="auto"/>
          <w:kern w:val="0"/>
          <w:sz w:val="24"/>
          <w:highlight w:val="none"/>
        </w:rPr>
        <w:t>堵塞道路。每发现一次扣乙方100元。</w:t>
      </w:r>
      <w:r>
        <w:rPr>
          <w:rFonts w:hint="eastAsia" w:cs="宋体" w:asciiTheme="minorEastAsia" w:hAnsiTheme="minorEastAsia" w:eastAsiaTheme="minorEastAsia"/>
          <w:color w:val="auto"/>
          <w:kern w:val="0"/>
          <w:sz w:val="24"/>
          <w:highlight w:val="none"/>
        </w:rPr>
        <w:t>驾驶员应持检审有效的上岗证件。乙方每年应将驾驶证证照复印件交安健环部备案。</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17.</w:t>
      </w:r>
      <w:r>
        <w:rPr>
          <w:rFonts w:cs="宋体" w:asciiTheme="minorEastAsia" w:hAnsiTheme="minorEastAsia" w:eastAsiaTheme="minorEastAsia"/>
          <w:color w:val="auto"/>
          <w:kern w:val="0"/>
          <w:sz w:val="24"/>
          <w:highlight w:val="none"/>
        </w:rPr>
        <w:t>乙方运输车辆必须从恒益电厂</w:t>
      </w:r>
      <w:r>
        <w:rPr>
          <w:rFonts w:hint="eastAsia" w:cs="宋体" w:asciiTheme="minorEastAsia" w:hAnsiTheme="minorEastAsia" w:eastAsiaTheme="minorEastAsia"/>
          <w:color w:val="auto"/>
          <w:kern w:val="0"/>
          <w:sz w:val="24"/>
          <w:highlight w:val="none"/>
        </w:rPr>
        <w:t>指定门口</w:t>
      </w:r>
      <w:r>
        <w:rPr>
          <w:rFonts w:cs="宋体" w:asciiTheme="minorEastAsia" w:hAnsiTheme="minorEastAsia" w:eastAsiaTheme="minorEastAsia"/>
          <w:color w:val="auto"/>
          <w:kern w:val="0"/>
          <w:sz w:val="24"/>
          <w:highlight w:val="none"/>
        </w:rPr>
        <w:t>进出，并按规定路线行驶</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不得扰乱秩序，不得携带无关人员进厂。遵守有关道路限速的规定，乙方在甲方厂区及恒益电厂内车辆驾驶速度必须控制在15公里/小时以内，转弯及车辆行人多的路段车速须低于5公里/小时，切实做好运输车辆在厂区行驶、倒车安全工作，确保安全行车。每发现一次超速扣乙方100元</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发生交通事故</w:t>
      </w: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所有责任由乙方全部负责。</w:t>
      </w:r>
      <w:r>
        <w:rPr>
          <w:rFonts w:hint="eastAsia" w:cs="宋体" w:asciiTheme="minorEastAsia" w:hAnsiTheme="minorEastAsia" w:eastAsiaTheme="minorEastAsia"/>
          <w:color w:val="auto"/>
          <w:kern w:val="0"/>
          <w:sz w:val="24"/>
          <w:highlight w:val="none"/>
        </w:rPr>
        <w:t>乙方必须遵守国家道路交通的有关规定，在厂区外围发现以下行为将予以</w:t>
      </w:r>
      <w:r>
        <w:rPr>
          <w:rFonts w:cs="宋体" w:asciiTheme="minorEastAsia" w:hAnsiTheme="minorEastAsia" w:eastAsiaTheme="minorEastAsia"/>
          <w:color w:val="auto"/>
          <w:kern w:val="0"/>
          <w:sz w:val="24"/>
          <w:highlight w:val="none"/>
        </w:rPr>
        <w:t>500</w:t>
      </w:r>
      <w:r>
        <w:rPr>
          <w:rFonts w:hint="eastAsia" w:cs="宋体" w:asciiTheme="minorEastAsia" w:hAnsiTheme="minorEastAsia" w:eastAsiaTheme="minorEastAsia"/>
          <w:color w:val="auto"/>
          <w:kern w:val="0"/>
          <w:sz w:val="24"/>
          <w:highlight w:val="none"/>
        </w:rPr>
        <w:t>元</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项进行处罚：逆向行驶、沿途撒漏、严重超速</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超载、撞毁公物或绿化、人为使用带故障车辆（车辆有明显的车况故障或性能差）。</w:t>
      </w:r>
      <w:r>
        <w:rPr>
          <w:rFonts w:hint="eastAsia" w:ascii="宋体" w:hAnsi="宋体" w:cs="仿宋_GB2312"/>
          <w:color w:val="auto"/>
          <w:kern w:val="0"/>
          <w:sz w:val="24"/>
          <w:highlight w:val="none"/>
        </w:rPr>
        <w:t>乙方必须严格按照相关法律法规规定“禁止超载”出厂。乙方因超载行驶所产生的一切后果，均由乙方承担。</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18.</w:t>
      </w:r>
      <w:r>
        <w:rPr>
          <w:rFonts w:cs="宋体" w:asciiTheme="minorEastAsia" w:hAnsiTheme="minorEastAsia" w:eastAsiaTheme="minorEastAsia"/>
          <w:color w:val="auto"/>
          <w:kern w:val="0"/>
          <w:sz w:val="24"/>
          <w:highlight w:val="none"/>
        </w:rPr>
        <w:t>装载过程</w:t>
      </w:r>
      <w:r>
        <w:rPr>
          <w:rFonts w:hint="eastAsia" w:cs="宋体" w:asciiTheme="minorEastAsia" w:hAnsiTheme="minorEastAsia" w:eastAsiaTheme="minorEastAsia"/>
          <w:color w:val="auto"/>
          <w:kern w:val="0"/>
          <w:sz w:val="24"/>
          <w:highlight w:val="none"/>
        </w:rPr>
        <w:t>中</w:t>
      </w:r>
      <w:r>
        <w:rPr>
          <w:rFonts w:cs="宋体" w:asciiTheme="minorEastAsia" w:hAnsiTheme="minorEastAsia" w:eastAsiaTheme="minorEastAsia"/>
          <w:color w:val="auto"/>
          <w:kern w:val="0"/>
          <w:sz w:val="24"/>
          <w:highlight w:val="none"/>
        </w:rPr>
        <w:t>，司机应</w:t>
      </w:r>
      <w:r>
        <w:rPr>
          <w:rFonts w:hint="eastAsia" w:cs="宋体" w:asciiTheme="minorEastAsia" w:hAnsiTheme="minorEastAsia" w:eastAsiaTheme="minorEastAsia"/>
          <w:color w:val="auto"/>
          <w:kern w:val="0"/>
          <w:sz w:val="24"/>
          <w:highlight w:val="none"/>
        </w:rPr>
        <w:t>做好安全措施后</w:t>
      </w:r>
      <w:r>
        <w:rPr>
          <w:rFonts w:cs="宋体" w:asciiTheme="minorEastAsia" w:hAnsiTheme="minorEastAsia" w:eastAsiaTheme="minorEastAsia"/>
          <w:color w:val="auto"/>
          <w:kern w:val="0"/>
          <w:sz w:val="24"/>
          <w:highlight w:val="none"/>
        </w:rPr>
        <w:t>离开驾驶室，在车辆附近的安全地点等候。同时，不能随便走动，更不能随便触动现场设备，否则，由此引起的人身及其他安全事故由乙方负全责。</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19.</w:t>
      </w:r>
      <w:r>
        <w:rPr>
          <w:rFonts w:cs="宋体" w:asciiTheme="minorEastAsia" w:hAnsiTheme="minorEastAsia" w:eastAsiaTheme="minorEastAsia"/>
          <w:color w:val="auto"/>
          <w:kern w:val="0"/>
          <w:sz w:val="24"/>
          <w:highlight w:val="none"/>
        </w:rPr>
        <w:t>甲方厂区及恒益电厂内严禁吸烟，也不允许驾驶员在驾驶室内吸烟、赌博，一经发现按恒益电厂和甲方相关规定处罚。每发现一次扣乙方500元。</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20.</w:t>
      </w:r>
      <w:r>
        <w:rPr>
          <w:rFonts w:cs="宋体" w:asciiTheme="minorEastAsia" w:hAnsiTheme="minorEastAsia" w:eastAsiaTheme="minorEastAsia"/>
          <w:color w:val="auto"/>
          <w:kern w:val="0"/>
          <w:sz w:val="24"/>
          <w:highlight w:val="none"/>
        </w:rPr>
        <w:t xml:space="preserve"> 乙方必须保证其工</w:t>
      </w:r>
      <w:r>
        <w:rPr>
          <w:rFonts w:hint="eastAsia" w:cs="宋体" w:asciiTheme="minorEastAsia" w:hAnsiTheme="minorEastAsia" w:eastAsiaTheme="minorEastAsia"/>
          <w:color w:val="auto"/>
          <w:kern w:val="0"/>
          <w:sz w:val="24"/>
          <w:highlight w:val="none"/>
        </w:rPr>
        <w:t>作</w:t>
      </w:r>
      <w:r>
        <w:rPr>
          <w:rFonts w:cs="宋体" w:asciiTheme="minorEastAsia" w:hAnsiTheme="minorEastAsia" w:eastAsiaTheme="minorEastAsia"/>
          <w:color w:val="auto"/>
          <w:kern w:val="0"/>
          <w:sz w:val="24"/>
          <w:highlight w:val="none"/>
        </w:rPr>
        <w:t>人</w:t>
      </w:r>
      <w:r>
        <w:rPr>
          <w:rFonts w:hint="eastAsia" w:cs="宋体" w:asciiTheme="minorEastAsia" w:hAnsiTheme="minorEastAsia" w:eastAsiaTheme="minorEastAsia"/>
          <w:color w:val="auto"/>
          <w:kern w:val="0"/>
          <w:sz w:val="24"/>
          <w:highlight w:val="none"/>
        </w:rPr>
        <w:t>员</w:t>
      </w:r>
      <w:r>
        <w:rPr>
          <w:rFonts w:cs="宋体" w:asciiTheme="minorEastAsia" w:hAnsiTheme="minorEastAsia" w:eastAsiaTheme="minorEastAsia"/>
          <w:color w:val="auto"/>
          <w:kern w:val="0"/>
          <w:sz w:val="24"/>
          <w:highlight w:val="none"/>
        </w:rPr>
        <w:t>服从管理，遵守恒益电厂及甲方的各项规章制度，遵守劳动纪律。在厂区内必须戴安全帽(包括在工作时的铲、叉车驾驶室内),每发现一次不</w:t>
      </w:r>
      <w:r>
        <w:rPr>
          <w:rFonts w:hint="eastAsia" w:cs="宋体" w:asciiTheme="minorEastAsia" w:hAnsiTheme="minorEastAsia" w:eastAsiaTheme="minorEastAsia"/>
          <w:color w:val="auto"/>
          <w:kern w:val="0"/>
          <w:sz w:val="24"/>
          <w:highlight w:val="none"/>
        </w:rPr>
        <w:t>佩戴（或佩戴不规范）</w:t>
      </w:r>
      <w:r>
        <w:rPr>
          <w:rFonts w:cs="宋体" w:asciiTheme="minorEastAsia" w:hAnsiTheme="minorEastAsia" w:eastAsiaTheme="minorEastAsia"/>
          <w:color w:val="auto"/>
          <w:kern w:val="0"/>
          <w:sz w:val="24"/>
          <w:highlight w:val="none"/>
        </w:rPr>
        <w:t>安全帽扣乙方200元。</w:t>
      </w:r>
      <w:r>
        <w:rPr>
          <w:rFonts w:hint="eastAsia" w:cs="宋体" w:asciiTheme="minorEastAsia" w:hAnsiTheme="minorEastAsia" w:eastAsiaTheme="minorEastAsia"/>
          <w:color w:val="auto"/>
          <w:kern w:val="0"/>
          <w:sz w:val="24"/>
          <w:highlight w:val="none"/>
        </w:rPr>
        <w:t>工作人员</w:t>
      </w:r>
      <w:r>
        <w:rPr>
          <w:rFonts w:cs="宋体" w:asciiTheme="minorEastAsia" w:hAnsiTheme="minorEastAsia" w:eastAsiaTheme="minorEastAsia"/>
          <w:color w:val="auto"/>
          <w:kern w:val="0"/>
          <w:sz w:val="24"/>
          <w:highlight w:val="none"/>
        </w:rPr>
        <w:t>不准有穿拖鞋、赤膊等不文明行为，每发现一次扣乙方100元。</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21.</w:t>
      </w:r>
      <w:r>
        <w:rPr>
          <w:rFonts w:cs="宋体" w:asciiTheme="minorEastAsia" w:hAnsiTheme="minorEastAsia" w:eastAsiaTheme="minorEastAsia"/>
          <w:color w:val="auto"/>
          <w:kern w:val="0"/>
          <w:sz w:val="24"/>
          <w:highlight w:val="none"/>
        </w:rPr>
        <w:t>乙方人员应按照</w:t>
      </w:r>
      <w:r>
        <w:rPr>
          <w:rFonts w:hint="eastAsia" w:cs="宋体" w:asciiTheme="minorEastAsia" w:hAnsiTheme="minorEastAsia" w:eastAsiaTheme="minorEastAsia"/>
          <w:color w:val="auto"/>
          <w:kern w:val="0"/>
          <w:sz w:val="24"/>
          <w:highlight w:val="none"/>
        </w:rPr>
        <w:t>甲方及恒益电厂</w:t>
      </w:r>
      <w:r>
        <w:rPr>
          <w:rFonts w:cs="宋体" w:asciiTheme="minorEastAsia" w:hAnsiTheme="minorEastAsia" w:eastAsiaTheme="minorEastAsia"/>
          <w:color w:val="auto"/>
          <w:kern w:val="0"/>
          <w:sz w:val="24"/>
          <w:highlight w:val="none"/>
        </w:rPr>
        <w:t>有关规程、规范、标准和安健环相关要求进行操作，不得违章作业，每发现一次扣乙方300元。</w:t>
      </w:r>
    </w:p>
    <w:p>
      <w:pPr>
        <w:spacing w:line="360" w:lineRule="auto"/>
        <w:ind w:left="1"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22.</w:t>
      </w:r>
      <w:r>
        <w:rPr>
          <w:rFonts w:cs="宋体" w:asciiTheme="minorEastAsia" w:hAnsiTheme="minorEastAsia" w:eastAsiaTheme="minorEastAsia"/>
          <w:color w:val="auto"/>
          <w:kern w:val="0"/>
          <w:sz w:val="24"/>
          <w:highlight w:val="none"/>
        </w:rPr>
        <w:t>乙方</w:t>
      </w:r>
      <w:r>
        <w:rPr>
          <w:rFonts w:hint="eastAsia" w:cs="宋体" w:asciiTheme="minorEastAsia" w:hAnsiTheme="minorEastAsia" w:eastAsiaTheme="minorEastAsia"/>
          <w:color w:val="auto"/>
          <w:kern w:val="0"/>
          <w:sz w:val="24"/>
          <w:highlight w:val="none"/>
        </w:rPr>
        <w:t>管理人员</w:t>
      </w:r>
      <w:r>
        <w:rPr>
          <w:rFonts w:cs="宋体" w:asciiTheme="minorEastAsia" w:hAnsiTheme="minorEastAsia" w:eastAsiaTheme="minorEastAsia"/>
          <w:color w:val="auto"/>
          <w:kern w:val="0"/>
          <w:sz w:val="24"/>
          <w:highlight w:val="none"/>
        </w:rPr>
        <w:t>必须遵守并服从甲方调度管理，遵守现场作业安排。</w:t>
      </w:r>
    </w:p>
    <w:p>
      <w:pPr>
        <w:spacing w:line="360" w:lineRule="auto"/>
        <w:ind w:firstLine="48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（四）遵守甲方制度、规定及违约考核</w:t>
      </w:r>
    </w:p>
    <w:p>
      <w:pPr>
        <w:pStyle w:val="53"/>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23</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乙方应保证其人员遵守甲方的各项规章制度，遵守劳动纪律，违者参照甲方有关制度考核。</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24．施工用电要求：施工用电必须由甲方同意并办理临时用电审批。不得乱拉乱接</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每违反一次扣款</w:t>
      </w:r>
      <w:r>
        <w:rPr>
          <w:rFonts w:cs="宋体" w:asciiTheme="minorEastAsia" w:hAnsiTheme="minorEastAsia" w:eastAsiaTheme="minorEastAsia"/>
          <w:color w:val="auto"/>
          <w:kern w:val="0"/>
          <w:sz w:val="24"/>
          <w:highlight w:val="none"/>
        </w:rPr>
        <w:t>500</w:t>
      </w:r>
      <w:r>
        <w:rPr>
          <w:rFonts w:hint="eastAsia" w:cs="宋体" w:asciiTheme="minorEastAsia" w:hAnsiTheme="minorEastAsia" w:eastAsiaTheme="minorEastAsia"/>
          <w:color w:val="auto"/>
          <w:kern w:val="0"/>
          <w:sz w:val="24"/>
          <w:highlight w:val="none"/>
        </w:rPr>
        <w:t>元。</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25．高空作业要求：高空作业严格执行相关规定，必须做好安全防护措施，应配带安全带</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并有专人监护</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违反规定每次扣款</w:t>
      </w:r>
      <w:r>
        <w:rPr>
          <w:rFonts w:cs="宋体" w:asciiTheme="minorEastAsia" w:hAnsiTheme="minorEastAsia" w:eastAsiaTheme="minorEastAsia"/>
          <w:color w:val="auto"/>
          <w:kern w:val="0"/>
          <w:sz w:val="24"/>
          <w:highlight w:val="none"/>
        </w:rPr>
        <w:t>500</w:t>
      </w:r>
      <w:r>
        <w:rPr>
          <w:rFonts w:hint="eastAsia" w:cs="宋体" w:asciiTheme="minorEastAsia" w:hAnsiTheme="minorEastAsia" w:eastAsiaTheme="minorEastAsia"/>
          <w:color w:val="auto"/>
          <w:kern w:val="0"/>
          <w:sz w:val="24"/>
          <w:highlight w:val="none"/>
        </w:rPr>
        <w:t>元。</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26．易燃、易爆等危险品要求：工程使用的易燃、易爆等危险品</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应专门存放并由专人负责</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存放处要配置专用灭火器材，禁止己开启使用的危险品在施工现场存放过夜</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违反者每次扣款</w:t>
      </w:r>
      <w:r>
        <w:rPr>
          <w:rFonts w:cs="宋体" w:asciiTheme="minorEastAsia" w:hAnsiTheme="minorEastAsia" w:eastAsiaTheme="minorEastAsia"/>
          <w:color w:val="auto"/>
          <w:kern w:val="0"/>
          <w:sz w:val="24"/>
          <w:highlight w:val="none"/>
        </w:rPr>
        <w:t>300</w:t>
      </w:r>
      <w:r>
        <w:rPr>
          <w:rFonts w:hint="eastAsia" w:cs="宋体" w:asciiTheme="minorEastAsia" w:hAnsiTheme="minorEastAsia" w:eastAsiaTheme="minorEastAsia"/>
          <w:color w:val="auto"/>
          <w:kern w:val="0"/>
          <w:sz w:val="24"/>
          <w:highlight w:val="none"/>
        </w:rPr>
        <w:t>元，未配置专用灭火器材，每次扣款</w:t>
      </w:r>
      <w:r>
        <w:rPr>
          <w:rFonts w:cs="宋体" w:asciiTheme="minorEastAsia" w:hAnsiTheme="minorEastAsia" w:eastAsiaTheme="minorEastAsia"/>
          <w:color w:val="auto"/>
          <w:kern w:val="0"/>
          <w:sz w:val="24"/>
          <w:highlight w:val="none"/>
        </w:rPr>
        <w:t>500</w:t>
      </w:r>
      <w:r>
        <w:rPr>
          <w:rFonts w:hint="eastAsia" w:cs="宋体" w:asciiTheme="minorEastAsia" w:hAnsiTheme="minorEastAsia" w:eastAsiaTheme="minorEastAsia"/>
          <w:color w:val="auto"/>
          <w:kern w:val="0"/>
          <w:sz w:val="24"/>
          <w:highlight w:val="none"/>
        </w:rPr>
        <w:t>元。</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27</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动火要求：乙方必须严格执行各类防火、防爆制度，重点防火部位如需动火时由甲方责任单位办理动火工作票。</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28</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动土要求：乙方施工作业如需开挖动土作业，则必须按照甲方规定和程序办理动土作业证。</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29</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施工工具要求：</w:t>
      </w:r>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）开工前应对施工机械、工器具及安全防护设施进行检查，并符合相关规定。</w:t>
      </w:r>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乙方在施工期间所用的设备以及工具等由乙方自备。如乙方向甲方借用或租赁设备和工具，乙方应进行检验，一经接受，就表示乙方确认所借用或租赁的设备和工具合格，乙方负责设备和工具的保管、维修以及使用过程中产生的故障、损坏修复和赔偿，造成人身事故由乙方承担责任。</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30．工程废弃物及生活垃圾要求：乙方必须对施工过程中产生的废弃物（如石棉、含油抹布、废弃电池、废油漆罐、工程垃圾等）单独及时自行回收处理。生活垃圾应按规定集中清倒到甲方指定地点</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有违规乱抛乱洒的。每发现一次扣款</w:t>
      </w:r>
      <w:r>
        <w:rPr>
          <w:rFonts w:cs="宋体" w:asciiTheme="minorEastAsia" w:hAnsiTheme="minorEastAsia" w:eastAsiaTheme="minorEastAsia"/>
          <w:color w:val="auto"/>
          <w:kern w:val="0"/>
          <w:sz w:val="24"/>
          <w:highlight w:val="none"/>
        </w:rPr>
        <w:t>200</w:t>
      </w:r>
      <w:r>
        <w:rPr>
          <w:rFonts w:hint="eastAsia" w:cs="宋体" w:asciiTheme="minorEastAsia" w:hAnsiTheme="minorEastAsia" w:eastAsiaTheme="minorEastAsia"/>
          <w:color w:val="auto"/>
          <w:kern w:val="0"/>
          <w:sz w:val="24"/>
          <w:highlight w:val="none"/>
        </w:rPr>
        <w:t>元。</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31</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施工范围周边环境绿化要求：乙方必须维护周边现场的绿化，保证周围树木、草皮的正常生长，凡发生损坏树木、草皮的，扣乙方该项事故修复费用的</w:t>
      </w:r>
      <w:r>
        <w:rPr>
          <w:rFonts w:cs="宋体" w:asciiTheme="minorEastAsia" w:hAnsiTheme="minorEastAsia" w:eastAsiaTheme="minorEastAsia"/>
          <w:color w:val="auto"/>
          <w:kern w:val="0"/>
          <w:sz w:val="24"/>
          <w:highlight w:val="none"/>
        </w:rPr>
        <w:t>150%</w:t>
      </w:r>
      <w:r>
        <w:rPr>
          <w:rFonts w:hint="eastAsia" w:cs="宋体" w:asciiTheme="minorEastAsia" w:hAnsiTheme="minorEastAsia" w:eastAsiaTheme="minorEastAsia"/>
          <w:color w:val="auto"/>
          <w:kern w:val="0"/>
          <w:sz w:val="24"/>
          <w:highlight w:val="none"/>
        </w:rPr>
        <w:t>。</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32</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施工作业环境要求：</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rPr>
        <w:t>）乙方对所处的施工区域、作业环境等应认真检查，发现隐患应及时向甲方反映，落实整改后方可进行施工，一经施工，就表示乙方确认施工场所符合安全要求和处于安全状态。乙方应对施工过程中产生的后果自行负责。</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）乙方在施工中，应保证地下管道、管线、电缆及高低压架空线、通讯线路的安全，遇有问题应及时与甲方联系，采取保护措施。</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）乙方必须保护好厂区相关设备及建筑物，如因乙方原因造成甲方的相关设备及建筑物损坏，乙方除负责修复外</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还应按甲方直接经济损失的</w:t>
      </w:r>
      <w:r>
        <w:rPr>
          <w:rFonts w:cs="宋体" w:asciiTheme="minorEastAsia" w:hAnsiTheme="minorEastAsia" w:eastAsiaTheme="minorEastAsia"/>
          <w:color w:val="auto"/>
          <w:kern w:val="0"/>
          <w:sz w:val="24"/>
          <w:highlight w:val="none"/>
        </w:rPr>
        <w:t>150%</w:t>
      </w:r>
      <w:r>
        <w:rPr>
          <w:rFonts w:hint="eastAsia" w:cs="宋体" w:asciiTheme="minorEastAsia" w:hAnsiTheme="minorEastAsia" w:eastAsiaTheme="minorEastAsia"/>
          <w:color w:val="auto"/>
          <w:kern w:val="0"/>
          <w:sz w:val="24"/>
          <w:highlight w:val="none"/>
        </w:rPr>
        <w:t>进行赔偿。</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w:t>
      </w:r>
      <w:r>
        <w:rPr>
          <w:rFonts w:cs="宋体" w:asciiTheme="minorEastAsia" w:hAnsiTheme="minorEastAsia" w:eastAsiaTheme="minorEastAsia"/>
          <w:color w:val="auto"/>
          <w:kern w:val="0"/>
          <w:sz w:val="24"/>
          <w:highlight w:val="none"/>
        </w:rPr>
        <w:t>4</w:t>
      </w:r>
      <w:r>
        <w:rPr>
          <w:rFonts w:hint="eastAsia" w:cs="宋体" w:asciiTheme="minorEastAsia" w:hAnsiTheme="minorEastAsia" w:eastAsiaTheme="minorEastAsia"/>
          <w:color w:val="auto"/>
          <w:kern w:val="0"/>
          <w:sz w:val="24"/>
          <w:highlight w:val="none"/>
        </w:rPr>
        <w:t>）甲方各类安全防护设施、遮拦、安全标志牌、警告牌、接地线等不得擅自拆除、更动，如确实需要拆除、更动的，需要经施工负责人和甲乙方指派的安全管理人员同意并办理手续后，并采取必要可靠的安全措施方能拆除、更动现场安全设施。</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33</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生活区要求：临时生活区应遵守甲方有关规定</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禁止使用煤气炉以及电炉、电加热棒等不安全用电产品。有违规使用煤气炉、违规用电的，每次扣款</w:t>
      </w:r>
      <w:r>
        <w:rPr>
          <w:rFonts w:cs="宋体" w:asciiTheme="minorEastAsia" w:hAnsiTheme="minorEastAsia" w:eastAsiaTheme="minorEastAsia"/>
          <w:color w:val="auto"/>
          <w:kern w:val="0"/>
          <w:sz w:val="24"/>
          <w:highlight w:val="none"/>
        </w:rPr>
        <w:t>300</w:t>
      </w:r>
      <w:r>
        <w:rPr>
          <w:rFonts w:hint="eastAsia" w:cs="宋体" w:asciiTheme="minorEastAsia" w:hAnsiTheme="minorEastAsia" w:eastAsiaTheme="minorEastAsia"/>
          <w:color w:val="auto"/>
          <w:kern w:val="0"/>
          <w:sz w:val="24"/>
          <w:highlight w:val="none"/>
        </w:rPr>
        <w:t>元。</w:t>
      </w:r>
    </w:p>
    <w:p>
      <w:pPr>
        <w:pStyle w:val="53"/>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34</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乙方人员必须遵守甲方厂区安全文明卫生制度，进入工作现场必须佩戴卫生防护用品和戴安全帽，配戴厂牌，没有佩戴卫生防护用品每次扣乙方</w:t>
      </w:r>
      <w:r>
        <w:rPr>
          <w:rFonts w:cs="宋体" w:asciiTheme="minorEastAsia" w:hAnsiTheme="minorEastAsia" w:eastAsiaTheme="minorEastAsia"/>
          <w:color w:val="auto"/>
          <w:kern w:val="0"/>
          <w:sz w:val="24"/>
          <w:highlight w:val="none"/>
        </w:rPr>
        <w:t>100</w:t>
      </w:r>
      <w:r>
        <w:rPr>
          <w:rFonts w:hint="eastAsia" w:cs="宋体" w:asciiTheme="minorEastAsia" w:hAnsiTheme="minorEastAsia" w:eastAsiaTheme="minorEastAsia"/>
          <w:color w:val="auto"/>
          <w:kern w:val="0"/>
          <w:sz w:val="24"/>
          <w:highlight w:val="none"/>
        </w:rPr>
        <w:t>元</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次</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人，没有戴安全帽每次扣罚</w:t>
      </w:r>
      <w:r>
        <w:rPr>
          <w:rFonts w:cs="宋体" w:asciiTheme="minorEastAsia" w:hAnsiTheme="minorEastAsia" w:eastAsiaTheme="minorEastAsia"/>
          <w:color w:val="auto"/>
          <w:kern w:val="0"/>
          <w:sz w:val="24"/>
          <w:highlight w:val="none"/>
        </w:rPr>
        <w:t>200</w:t>
      </w:r>
      <w:r>
        <w:rPr>
          <w:rFonts w:hint="eastAsia" w:cs="宋体" w:asciiTheme="minorEastAsia" w:hAnsiTheme="minorEastAsia" w:eastAsiaTheme="minorEastAsia"/>
          <w:color w:val="auto"/>
          <w:kern w:val="0"/>
          <w:sz w:val="24"/>
          <w:highlight w:val="none"/>
        </w:rPr>
        <w:t>元</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次</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人</w:t>
      </w:r>
      <w:r>
        <w:rPr>
          <w:rFonts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rPr>
        <w:t>每发现一次不正确佩戴安全帽的扣罚乙方</w:t>
      </w:r>
      <w:r>
        <w:rPr>
          <w:rFonts w:cs="宋体" w:asciiTheme="minorEastAsia" w:hAnsiTheme="minorEastAsia" w:eastAsiaTheme="minorEastAsia"/>
          <w:color w:val="auto"/>
          <w:kern w:val="0"/>
          <w:sz w:val="24"/>
          <w:highlight w:val="none"/>
        </w:rPr>
        <w:t>100</w:t>
      </w:r>
      <w:r>
        <w:rPr>
          <w:rFonts w:hint="eastAsia" w:cs="宋体" w:asciiTheme="minorEastAsia" w:hAnsiTheme="minorEastAsia" w:eastAsiaTheme="minorEastAsia"/>
          <w:color w:val="auto"/>
          <w:kern w:val="0"/>
          <w:sz w:val="24"/>
          <w:highlight w:val="none"/>
        </w:rPr>
        <w:t>元</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次</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人。乙方在厂区内工作的人员应随时注意避让各种自动移动设备。禁止任何人在移动设备下停留或通过；厂区内非指定区域严禁吸烟、严禁在厂区内赌博，违反扣罚</w:t>
      </w:r>
      <w:r>
        <w:rPr>
          <w:rFonts w:cs="宋体" w:asciiTheme="minorEastAsia" w:hAnsiTheme="minorEastAsia" w:eastAsiaTheme="minorEastAsia"/>
          <w:color w:val="auto"/>
          <w:kern w:val="0"/>
          <w:sz w:val="24"/>
          <w:highlight w:val="none"/>
        </w:rPr>
        <w:t>500</w:t>
      </w:r>
      <w:r>
        <w:rPr>
          <w:rFonts w:hint="eastAsia" w:cs="宋体" w:asciiTheme="minorEastAsia" w:hAnsiTheme="minorEastAsia" w:eastAsiaTheme="minorEastAsia"/>
          <w:color w:val="auto"/>
          <w:kern w:val="0"/>
          <w:sz w:val="24"/>
          <w:highlight w:val="none"/>
        </w:rPr>
        <w:t>元</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次</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人。</w:t>
      </w:r>
    </w:p>
    <w:p>
      <w:pPr>
        <w:pStyle w:val="53"/>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35</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乙方所有工作人员未经甲方许可禁止进入生产厂房及施工区域以外的地方，严禁触动非自身工作范围内的设备、设施。</w:t>
      </w:r>
      <w:r>
        <w:rPr>
          <w:rFonts w:cs="宋体" w:asciiTheme="minorEastAsia" w:hAnsiTheme="minorEastAsia" w:eastAsiaTheme="minorEastAsia"/>
          <w:color w:val="auto"/>
          <w:kern w:val="0"/>
          <w:sz w:val="24"/>
          <w:highlight w:val="none"/>
        </w:rPr>
        <w:t xml:space="preserve"> </w:t>
      </w:r>
    </w:p>
    <w:p>
      <w:pPr>
        <w:pStyle w:val="53"/>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36</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凡发现乙方人员有其他上述未列明的违章行为及未履行上述责任和义务的，除赔偿甲方损失外，按不低于</w:t>
      </w:r>
      <w:r>
        <w:rPr>
          <w:rFonts w:cs="宋体" w:asciiTheme="minorEastAsia" w:hAnsiTheme="minorEastAsia" w:eastAsiaTheme="minorEastAsia"/>
          <w:color w:val="auto"/>
          <w:kern w:val="0"/>
          <w:sz w:val="24"/>
          <w:highlight w:val="none"/>
        </w:rPr>
        <w:t>100</w:t>
      </w:r>
      <w:r>
        <w:rPr>
          <w:rFonts w:hint="eastAsia" w:cs="宋体" w:asciiTheme="minorEastAsia" w:hAnsiTheme="minorEastAsia" w:eastAsiaTheme="minorEastAsia"/>
          <w:color w:val="auto"/>
          <w:kern w:val="0"/>
          <w:sz w:val="24"/>
          <w:highlight w:val="none"/>
        </w:rPr>
        <w:t>元</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项·人</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次的标准扣罚，（参照甲方安健环考核标准执行）并由乙方管理人员对违章人员进行教育。累计处罚达</w:t>
      </w:r>
      <w:r>
        <w:rPr>
          <w:rFonts w:cs="宋体"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次以上的，从第</w:t>
      </w:r>
      <w:r>
        <w:rPr>
          <w:rFonts w:cs="宋体" w:asciiTheme="minorEastAsia" w:hAnsiTheme="minorEastAsia" w:eastAsiaTheme="minorEastAsia"/>
          <w:color w:val="auto"/>
          <w:kern w:val="0"/>
          <w:sz w:val="24"/>
          <w:highlight w:val="none"/>
        </w:rPr>
        <w:t>3</w:t>
      </w:r>
      <w:r>
        <w:rPr>
          <w:rFonts w:hint="eastAsia" w:cs="宋体" w:asciiTheme="minorEastAsia" w:hAnsiTheme="minorEastAsia" w:eastAsiaTheme="minorEastAsia"/>
          <w:color w:val="auto"/>
          <w:kern w:val="0"/>
          <w:sz w:val="24"/>
          <w:highlight w:val="none"/>
        </w:rPr>
        <w:t>次起每次加扣乙方管理责任</w:t>
      </w:r>
      <w:r>
        <w:rPr>
          <w:rFonts w:cs="宋体" w:asciiTheme="minorEastAsia" w:hAnsiTheme="minorEastAsia" w:eastAsiaTheme="minorEastAsia"/>
          <w:color w:val="auto"/>
          <w:kern w:val="0"/>
          <w:sz w:val="24"/>
          <w:highlight w:val="none"/>
        </w:rPr>
        <w:t>500</w:t>
      </w:r>
      <w:r>
        <w:rPr>
          <w:rFonts w:hint="eastAsia" w:cs="宋体" w:asciiTheme="minorEastAsia" w:hAnsiTheme="minorEastAsia" w:eastAsiaTheme="minorEastAsia"/>
          <w:color w:val="auto"/>
          <w:kern w:val="0"/>
          <w:sz w:val="24"/>
          <w:highlight w:val="none"/>
        </w:rPr>
        <w:t>元</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次，同一人重复违章的，甲方有权要求乙方更换人员。</w:t>
      </w:r>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（五）现场安健环管理：</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37</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乙方应接受甲方的安全监督、检查和指导，对甲方的工程管理、安健环部门所提出的意见应及时整改。</w:t>
      </w:r>
    </w:p>
    <w:p>
      <w:pPr>
        <w:pStyle w:val="53"/>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38</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乙方应指定安全管理人员，每天定期巡查现场，纠正违章，做好各项安健环管理工作。</w:t>
      </w:r>
    </w:p>
    <w:p>
      <w:pPr>
        <w:pStyle w:val="53"/>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39</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甲方安全管理标准同样适用于乙方，乙方人员应按照有关规程、规范、标准和甲方作业指导书及安健环相关要求进行操作，不得违章作业和野蛮施工，因乙方违章作业和野蛮施工造成的损失由乙方负全责。</w:t>
      </w:r>
    </w:p>
    <w:p>
      <w:pPr>
        <w:pStyle w:val="53"/>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40</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如乙方不按法规或甲方规章制度的要求落实相关安健环工作的，或者不落实甲方提出的书面整改通知的，除按规定处罚外，相关一切后果及损失由乙方全部承担。</w:t>
      </w:r>
    </w:p>
    <w:p>
      <w:pPr>
        <w:pStyle w:val="53"/>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41</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乙方负责承包项目实施现场的安健环管理并向甲方负责，乙方服从甲方对施工现场的消防安全管理，乙方应配合甲方进行各项专项应急演练，提升乙方人员自救能力。</w:t>
      </w:r>
    </w:p>
    <w:p>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（六）事故责任及事故异常处理</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42</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乙方对本方的工作人员（含驾驶员）在履行本合同中所发生的人身伤害（含伤亡）及一切损失负全部责任，负责承担因乙方及其工人原因所发生的一切事故的全部经济责任及法律责任，并承担事故所造成甲方的损失，甲方对此不承担任何责任。</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43</w:t>
      </w:r>
      <w:r>
        <w:rPr>
          <w:rFonts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发生事故、异常或危及安全生产的情况，乙方必须立即组织处理、并立即报告甲方工程管理、安健环部门。并按甲方要求，提交事故（或事件）报告给甲方，甲方有权根据事件起因责成乙方进行整改和处罚。</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三、乙方确保达到安全目标：无人员伤亡，无设备损坏，无环境污染、无职业病发生、无治安偷盗案件。</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四、乙方负责其工作人员的安全责任（含安全、环保、职业病、消防、治安等方面），因乙方原因造成的一切责任（包括由此所导致的第三方人员及财产损失的经济和法律责任）由乙方完全承担。</w:t>
      </w:r>
    </w:p>
    <w:p>
      <w:pPr>
        <w:spacing w:line="360" w:lineRule="auto"/>
        <w:ind w:firstLine="424" w:firstLineChars="177"/>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五、在合同承包期内，乙方在甲方区域内发生的任何安全、消防、职业病、治安等事故（件）的统计考核指标及一切罚款和赔偿计入乙方责任，由乙方承担相应法律和经济责任。</w:t>
      </w:r>
    </w:p>
    <w:p>
      <w:pPr>
        <w:autoSpaceDE w:val="0"/>
        <w:autoSpaceDN w:val="0"/>
        <w:adjustRightInd w:val="0"/>
        <w:spacing w:line="360" w:lineRule="auto"/>
        <w:ind w:firstLine="480" w:firstLineChars="200"/>
        <w:jc w:val="left"/>
        <w:rPr>
          <w:rFonts w:cs="黑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六、本安健环管理协议双方共同遵守执行，如一方违反给对方造成安健环事件或经济损失，均由违反一方按实际损失或双方协商进行赔偿。</w:t>
      </w:r>
    </w:p>
    <w:p>
      <w:pPr>
        <w:spacing w:line="580" w:lineRule="exact"/>
        <w:jc w:val="center"/>
        <w:rPr>
          <w:rFonts w:ascii="宋体" w:hAnsi="宋体"/>
          <w:color w:val="auto"/>
          <w:sz w:val="24"/>
          <w:highlight w:val="none"/>
        </w:rPr>
      </w:pPr>
    </w:p>
    <w:p>
      <w:pPr>
        <w:pStyle w:val="50"/>
        <w:spacing w:line="360" w:lineRule="auto"/>
        <w:rPr>
          <w:rFonts w:ascii="宋体" w:cs="宋体"/>
          <w:color w:val="auto"/>
          <w:sz w:val="24"/>
          <w:szCs w:val="24"/>
          <w:highlight w:val="none"/>
        </w:rPr>
      </w:pPr>
      <w:r>
        <w:rPr>
          <w:rFonts w:ascii="宋体" w:hAnsi="宋体"/>
          <w:color w:val="auto"/>
          <w:sz w:val="24"/>
          <w:highlight w:val="none"/>
        </w:rPr>
        <w:br w:type="page"/>
      </w:r>
      <w:r>
        <w:rPr>
          <w:rFonts w:hint="eastAsia" w:ascii="宋体" w:cs="宋体"/>
          <w:color w:val="auto"/>
          <w:sz w:val="24"/>
          <w:szCs w:val="24"/>
          <w:highlight w:val="none"/>
        </w:rPr>
        <w:t>附件2</w:t>
      </w:r>
    </w:p>
    <w:p>
      <w:pPr>
        <w:adjustRightInd w:val="0"/>
        <w:snapToGrid w:val="0"/>
        <w:spacing w:line="360" w:lineRule="auto"/>
        <w:jc w:val="center"/>
        <w:rPr>
          <w:b/>
          <w:color w:val="auto"/>
          <w:sz w:val="30"/>
          <w:szCs w:val="30"/>
          <w:highlight w:val="none"/>
        </w:rPr>
      </w:pPr>
      <w:r>
        <w:rPr>
          <w:rFonts w:hint="eastAsia" w:ascii="宋体" w:hAnsi="宋体"/>
          <w:b/>
          <w:color w:val="auto"/>
          <w:sz w:val="28"/>
          <w:szCs w:val="28"/>
          <w:highlight w:val="none"/>
        </w:rPr>
        <w:t>脱硫石膏销售合同</w:t>
      </w:r>
      <w:r>
        <w:rPr>
          <w:rFonts w:hint="eastAsia"/>
          <w:b/>
          <w:color w:val="auto"/>
          <w:sz w:val="30"/>
          <w:szCs w:val="30"/>
          <w:highlight w:val="none"/>
        </w:rPr>
        <w:t>廉洁协议</w:t>
      </w:r>
    </w:p>
    <w:p>
      <w:pPr>
        <w:adjustRightInd w:val="0"/>
        <w:snapToGrid w:val="0"/>
        <w:spacing w:line="360" w:lineRule="auto"/>
        <w:jc w:val="center"/>
        <w:rPr>
          <w:color w:val="auto"/>
          <w:sz w:val="30"/>
          <w:szCs w:val="30"/>
          <w:highlight w:val="none"/>
        </w:rPr>
      </w:pPr>
    </w:p>
    <w:p>
      <w:pPr>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r>
        <w:rPr>
          <w:rFonts w:asciiTheme="minorEastAsia" w:hAnsiTheme="minorEastAsia" w:eastAsiaTheme="minorEastAsia"/>
          <w:color w:val="auto"/>
          <w:sz w:val="24"/>
          <w:highlight w:val="none"/>
        </w:rPr>
        <w:t xml:space="preserve"> 佛山市恒益环保建材有限公司</w:t>
      </w:r>
    </w:p>
    <w:p>
      <w:pPr>
        <w:spacing w:line="5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360" w:lineRule="auto"/>
        <w:rPr>
          <w:color w:val="auto"/>
          <w:sz w:val="28"/>
          <w:szCs w:val="28"/>
          <w:highlight w:val="none"/>
        </w:rPr>
      </w:pPr>
    </w:p>
    <w:p>
      <w:pPr>
        <w:adjustRightInd w:val="0"/>
        <w:snapToGrid w:val="0"/>
        <w:spacing w:line="360" w:lineRule="auto"/>
        <w:rPr>
          <w:rFonts w:asciiTheme="minorEastAsia" w:hAnsiTheme="minorEastAsia" w:eastAsiaTheme="minorEastAsia"/>
          <w:color w:val="auto"/>
          <w:sz w:val="24"/>
          <w:highlight w:val="none"/>
        </w:rPr>
      </w:pPr>
      <w:r>
        <w:rPr>
          <w:rFonts w:hint="eastAsia"/>
          <w:color w:val="auto"/>
          <w:sz w:val="28"/>
          <w:szCs w:val="28"/>
          <w:highlight w:val="none"/>
        </w:rPr>
        <w:t xml:space="preserve">    </w:t>
      </w:r>
      <w:r>
        <w:rPr>
          <w:rFonts w:hint="eastAsia" w:asciiTheme="minorEastAsia" w:hAnsiTheme="minorEastAsia" w:eastAsiaTheme="minorEastAsia"/>
          <w:color w:val="auto"/>
          <w:sz w:val="24"/>
          <w:highlight w:val="none"/>
        </w:rPr>
        <w:t>为了增强甲乙双方依法经营、廉洁从业意识，完善自我约束、自我监督机制，营造守法诚信、廉洁高效的工作环境，防止发生违法违纪行为，保护国家、集体和当事人的合法权益，根据中央、省和佛山市有关党风建设和反腐倡廉工作的各项规定，特订立本廉洁协议：</w:t>
      </w:r>
    </w:p>
    <w:p>
      <w:pPr>
        <w:adjustRightInd w:val="0"/>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 xml:space="preserve">   </w:t>
      </w:r>
      <w:r>
        <w:rPr>
          <w:rFonts w:asciiTheme="minorEastAsia" w:hAnsiTheme="minorEastAsia" w:eastAsiaTheme="minorEastAsia"/>
          <w:b/>
          <w:color w:val="auto"/>
          <w:sz w:val="24"/>
          <w:highlight w:val="none"/>
        </w:rPr>
        <w:t xml:space="preserve"> 第一条 双方共同的责任和义务</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（一）严格遵守关于市场准入、招标投标、工程建设管理、物资采购、投资并购、国有资产处置等市场经济活动的法律法规制度以及党风建设和反腐倡廉工作的各项规定。</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（二）严格履行合同约定，自觉承担合同义务。</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（三）业务活动必须坚持公平、公正、公开和诚实守信的原则（除法律法规另有规定者外），不得为获取不正当利益，损害国家、集体和对方利益。</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（四）建立健全自我监督机制，开展廉洁教育，公布举报电话，监督并认真查处违法违纪行为。</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（五）发现对方在业务活动中有违规、违纪、违法行为的，应及时提醒对方，情节严重的，应向有关纪检监察部门举报。</w:t>
      </w:r>
    </w:p>
    <w:p>
      <w:pPr>
        <w:adjustRightInd w:val="0"/>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color w:val="auto"/>
          <w:sz w:val="24"/>
          <w:highlight w:val="none"/>
        </w:rPr>
        <w:t>第二条</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甲方的责任和义务</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甲方相关工作人员，在业务活动的事前、事中、事后，应遵守以下规定：</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（一）贯彻落实佛山市恒益环保建材有限公司有关党风廉政建设责任制及廉洁从业的规定，建立企业诚信档案； </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（二）按照公平、公正、公开和诚实守信的原则开展各项业务活动，为乙方提供公平的竞争环境与平台； </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（三）不准向乙方泄漏涉及有关业务活动的内部决策机密； </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（四）不准向乙方和相关单位索要或接受回扣、红包、礼金、购物卡、有价证券、贵重物品和好处费、感谢费等； </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（五）不准在乙方和相关单位报销任何应由甲方或个人支付的费用；</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（六）不准要求、暗示或接受乙方和相关单位为个人装修住房、婚丧嫁娶、配偶子女的工作安排以及境内外旅游等提供方便；</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（七）不准向乙方介绍配偶、子女、亲属参与与甲方有关的经济活动，不得以任何理由向乙方和相关单位推荐第三方单位；</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（八）不准参与影响相关工作正常和公正开展的其他活动；</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（九）不准违反《中共中央纪委关于严格禁止利用职务上的便利谋取不正当利益的若干规定》的内容。</w:t>
      </w:r>
    </w:p>
    <w:p>
      <w:pPr>
        <w:adjustRightInd w:val="0"/>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color w:val="auto"/>
          <w:sz w:val="24"/>
          <w:highlight w:val="none"/>
        </w:rPr>
        <w:t>第三条</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乙方的责任和义务</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乙方及其下属企业相关工作人员，在与甲方业务活动的交往过程中，应遵守以下规定： </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（一）不准以任何理由为甲方和相关单位报销应由对方或个人支付的费用；</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（二）不准以任何理由向甲方、甲方的母公司、上级主管部门负责人及其工作人员赠送回扣、红包、礼金、购物卡、有价证券、贵重物品和好处费、感谢费等；</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（三）不准以任何理由为甲方、与甲方相关的单位或个人提供高消费宴请及娱乐活动；</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（四）不准以任何理由为甲方、与甲方相关的单位或个人购置或提供通讯工具、交通工具和高档办公用品；</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（五）不准接受或暗示为甲方、与甲方相关的单位或个人装修住房、婚丧嫁取、配偶子女的工作安排以及境内外旅游等提供方便；</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（六）不准以谋取非正当利益为目的，擅自与甲方工作人员就业务问题进行私下商谈或者达成利益默契；</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（七）发现甲方工作人员有违反本廉洁协议规定的，应向甲方单位举报。佛山市恒益环保建材有限公司受理举报部门：纪检监察室；举报电话：0757-87573071；举报传真：</w:t>
      </w:r>
      <w:r>
        <w:rPr>
          <w:rFonts w:asciiTheme="minorEastAsia" w:hAnsiTheme="minorEastAsia" w:eastAsiaTheme="minorEastAsia"/>
          <w:color w:val="auto"/>
          <w:sz w:val="24"/>
          <w:highlight w:val="none"/>
        </w:rPr>
        <w:t>0757-87663903</w:t>
      </w:r>
      <w:r>
        <w:rPr>
          <w:rFonts w:hint="eastAsia" w:asciiTheme="minorEastAsia" w:hAnsiTheme="minorEastAsia" w:eastAsiaTheme="minorEastAsia"/>
          <w:color w:val="auto"/>
          <w:sz w:val="24"/>
          <w:highlight w:val="none"/>
        </w:rPr>
        <w:t>；举报邮箱：</w:t>
      </w:r>
      <w:r>
        <w:rPr>
          <w:rFonts w:asciiTheme="minorEastAsia" w:hAnsiTheme="minorEastAsia" w:eastAsiaTheme="minorEastAsia"/>
          <w:color w:val="auto"/>
          <w:sz w:val="24"/>
          <w:highlight w:val="none"/>
        </w:rPr>
        <w:t>HYJC_JJJC8@163.com</w:t>
      </w:r>
      <w:r>
        <w:rPr>
          <w:rFonts w:hint="eastAsia" w:asciiTheme="minorEastAsia" w:hAnsiTheme="minorEastAsia" w:eastAsiaTheme="minorEastAsia"/>
          <w:color w:val="auto"/>
          <w:sz w:val="24"/>
          <w:highlight w:val="none"/>
        </w:rPr>
        <w:t>。</w:t>
      </w:r>
    </w:p>
    <w:p>
      <w:pPr>
        <w:adjustRightInd w:val="0"/>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color w:val="auto"/>
          <w:sz w:val="24"/>
          <w:highlight w:val="none"/>
        </w:rPr>
        <w:t>第四条</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法律责任</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一）甲方有违反本廉洁协议第一条、甲方相关工作人员违反本廉洁协议第二条约定的，经查证属实，严格按照管理权限，依据有关法律法规和规章制度给予相关人员纪律处分或组织处理；给乙方单位造成经济损失的，应依法予以赔偿，涉嫌犯罪的移送司法机关依法追究刑事责任。</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二）乙方及其下属企业及其工作人员违反本廉洁协议第一、三条规定的，经查证属实，甲方可视情节轻重对乙方实施一定期限的市场禁入，以及有权立即单方解除与乙方已签订的相关业务合同以终止相关业务合作；给甲方单位造成经济损失的，应依法予以赔偿，涉嫌犯罪的移送司法机关依法追究刑事责任。</w:t>
      </w:r>
    </w:p>
    <w:p>
      <w:pPr>
        <w:adjustRightInd w:val="0"/>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color w:val="auto"/>
          <w:sz w:val="24"/>
          <w:highlight w:val="none"/>
        </w:rPr>
        <w:t>第五条</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协议生效及法律效力</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（一）本廉洁协议作为合同的附件，与合同具有同等法律效力。</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（二）除非甲乙双方另行签订新的廉洁协议，否则本廉洁协议在甲方与乙方存在业务关系期间均对双方产生约束力。</w:t>
      </w:r>
    </w:p>
    <w:p>
      <w:pPr>
        <w:adjustRightInd w:val="0"/>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b/>
          <w:color w:val="auto"/>
          <w:sz w:val="24"/>
          <w:highlight w:val="none"/>
        </w:rPr>
        <w:t>第六条</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协议书份数</w:t>
      </w:r>
    </w:p>
    <w:p>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本廉洁协议一式陆份，甲方肆份，乙方贰份。</w:t>
      </w: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甲乙双方确认在签订合同前已仔细阅读廉洁协议条款内容，甲乙双方对本廉洁协议所产生的法律责任已清楚知悉并承诺遵守。</w:t>
      </w: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adjustRightInd w:val="0"/>
        <w:snapToGrid w:val="0"/>
        <w:spacing w:line="360" w:lineRule="auto"/>
        <w:ind w:firstLine="480" w:firstLineChars="200"/>
        <w:jc w:val="left"/>
        <w:rPr>
          <w:rFonts w:asciiTheme="minorEastAsia" w:hAnsiTheme="minorEastAsia" w:eastAsiaTheme="minorEastAsia"/>
          <w:color w:val="auto"/>
          <w:sz w:val="24"/>
          <w:highlight w:val="none"/>
        </w:rPr>
      </w:pPr>
    </w:p>
    <w:p>
      <w:pPr>
        <w:rPr>
          <w:rFonts w:asciiTheme="majorEastAsia" w:hAnsiTheme="majorEastAsia" w:eastAsiaTheme="majorEastAsia"/>
          <w:color w:val="auto"/>
          <w:sz w:val="32"/>
          <w:szCs w:val="32"/>
          <w:highlight w:val="none"/>
        </w:rPr>
      </w:pPr>
      <w:r>
        <w:rPr>
          <w:rFonts w:hint="eastAsia" w:asciiTheme="majorEastAsia" w:hAnsiTheme="majorEastAsia" w:eastAsiaTheme="majorEastAsia"/>
          <w:color w:val="auto"/>
          <w:sz w:val="24"/>
          <w:highlight w:val="none"/>
        </w:rPr>
        <w:t xml:space="preserve">附件3   </w:t>
      </w:r>
      <w:r>
        <w:rPr>
          <w:rFonts w:hint="eastAsia" w:asciiTheme="majorEastAsia" w:hAnsiTheme="majorEastAsia" w:eastAsiaTheme="majorEastAsia"/>
          <w:color w:val="auto"/>
          <w:sz w:val="32"/>
          <w:szCs w:val="32"/>
          <w:highlight w:val="none"/>
        </w:rPr>
        <w:t xml:space="preserve">            </w:t>
      </w:r>
    </w:p>
    <w:p>
      <w:pPr>
        <w:jc w:val="center"/>
        <w:rPr>
          <w:rFonts w:asciiTheme="majorEastAsia" w:hAnsiTheme="majorEastAsia" w:eastAsiaTheme="majorEastAsia"/>
          <w:color w:val="auto"/>
          <w:sz w:val="32"/>
          <w:szCs w:val="32"/>
          <w:highlight w:val="none"/>
        </w:rPr>
      </w:pPr>
      <w:r>
        <w:rPr>
          <w:rFonts w:hint="eastAsia" w:asciiTheme="majorEastAsia" w:hAnsiTheme="majorEastAsia" w:eastAsiaTheme="majorEastAsia"/>
          <w:color w:val="auto"/>
          <w:sz w:val="32"/>
          <w:szCs w:val="32"/>
          <w:highlight w:val="none"/>
        </w:rPr>
        <w:t>客户合同执行情况评定表</w:t>
      </w:r>
    </w:p>
    <w:tbl>
      <w:tblPr>
        <w:tblStyle w:val="29"/>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7"/>
        <w:gridCol w:w="425"/>
        <w:gridCol w:w="4678"/>
        <w:gridCol w:w="992"/>
        <w:gridCol w:w="7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gridSpan w:val="3"/>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合同名称</w:t>
            </w:r>
          </w:p>
        </w:tc>
        <w:tc>
          <w:tcPr>
            <w:tcW w:w="4678" w:type="dxa"/>
            <w:vAlign w:val="center"/>
          </w:tcPr>
          <w:p>
            <w:pPr>
              <w:pStyle w:val="15"/>
              <w:ind w:firstLine="290"/>
              <w:jc w:val="center"/>
              <w:rPr>
                <w:rFonts w:asciiTheme="minorEastAsia" w:hAnsiTheme="minorEastAsia" w:eastAsiaTheme="minorEastAsia"/>
                <w:color w:val="auto"/>
                <w:highlight w:val="none"/>
              </w:rPr>
            </w:pPr>
            <w:r>
              <w:rPr>
                <w:rFonts w:hint="eastAsia" w:asciiTheme="minorEastAsia" w:hAnsiTheme="minorEastAsia" w:eastAsiaTheme="minorEastAsia"/>
                <w:color w:val="auto"/>
                <w:spacing w:val="40"/>
                <w:highlight w:val="none"/>
              </w:rPr>
              <w:t>脱硫石销售合同</w:t>
            </w:r>
          </w:p>
        </w:tc>
        <w:tc>
          <w:tcPr>
            <w:tcW w:w="1701" w:type="dxa"/>
            <w:gridSpan w:val="2"/>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2410" w:type="dxa"/>
            <w:vAlign w:val="center"/>
          </w:tcPr>
          <w:p>
            <w:pPr>
              <w:spacing w:beforeLines="10" w:afterLines="10"/>
              <w:jc w:val="left"/>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1" w:type="dxa"/>
            <w:gridSpan w:val="3"/>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执行单位</w:t>
            </w:r>
          </w:p>
        </w:tc>
        <w:tc>
          <w:tcPr>
            <w:tcW w:w="4678" w:type="dxa"/>
            <w:vAlign w:val="center"/>
          </w:tcPr>
          <w:p>
            <w:pPr>
              <w:spacing w:beforeLines="10" w:afterLines="10"/>
              <w:jc w:val="center"/>
              <w:rPr>
                <w:rFonts w:asciiTheme="minorEastAsia" w:hAnsiTheme="minorEastAsia" w:eastAsiaTheme="minorEastAsia"/>
                <w:color w:val="auto"/>
                <w:szCs w:val="21"/>
                <w:highlight w:val="none"/>
              </w:rPr>
            </w:pPr>
          </w:p>
        </w:tc>
        <w:tc>
          <w:tcPr>
            <w:tcW w:w="1701" w:type="dxa"/>
            <w:gridSpan w:val="2"/>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合同期限</w:t>
            </w:r>
          </w:p>
        </w:tc>
        <w:tc>
          <w:tcPr>
            <w:tcW w:w="2410" w:type="dxa"/>
            <w:vAlign w:val="center"/>
          </w:tcPr>
          <w:p>
            <w:pPr>
              <w:spacing w:beforeLines="10" w:afterLines="10"/>
              <w:jc w:val="left"/>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评定部门</w:t>
            </w:r>
          </w:p>
        </w:tc>
        <w:tc>
          <w:tcPr>
            <w:tcW w:w="567"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分项</w:t>
            </w: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编号</w:t>
            </w:r>
          </w:p>
        </w:tc>
        <w:tc>
          <w:tcPr>
            <w:tcW w:w="4678" w:type="dxa"/>
            <w:vAlign w:val="center"/>
          </w:tcPr>
          <w:p>
            <w:pPr>
              <w:spacing w:beforeLines="10" w:afterLines="10"/>
              <w:jc w:val="center"/>
              <w:rPr>
                <w:color w:val="auto"/>
                <w:highlight w:val="none"/>
              </w:rPr>
            </w:pPr>
            <w:r>
              <w:rPr>
                <w:color w:val="auto"/>
                <w:highlight w:val="none"/>
              </w:rPr>
              <w:t>评定项目</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评分标准</w:t>
            </w:r>
          </w:p>
        </w:tc>
        <w:tc>
          <w:tcPr>
            <w:tcW w:w="709"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评定得分</w:t>
            </w:r>
          </w:p>
        </w:tc>
        <w:tc>
          <w:tcPr>
            <w:tcW w:w="2410" w:type="dxa"/>
            <w:vAlign w:val="center"/>
          </w:tcPr>
          <w:p>
            <w:pPr>
              <w:spacing w:beforeLines="10" w:afterLines="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备注（意见或建议）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restart"/>
            <w:textDirection w:val="tbRlV"/>
            <w:vAlign w:val="center"/>
          </w:tcPr>
          <w:p>
            <w:pPr>
              <w:spacing w:beforeLines="10" w:afterLines="10"/>
              <w:ind w:left="113" w:right="113"/>
              <w:jc w:val="center"/>
              <w:rPr>
                <w:rFonts w:asciiTheme="minorEastAsia" w:hAnsiTheme="minorEastAsia" w:eastAsiaTheme="minorEastAsia"/>
                <w:color w:val="auto"/>
                <w:spacing w:val="30"/>
                <w:highlight w:val="none"/>
              </w:rPr>
            </w:pPr>
            <w:r>
              <w:rPr>
                <w:rFonts w:asciiTheme="minorEastAsia" w:hAnsiTheme="minorEastAsia" w:eastAsiaTheme="minorEastAsia"/>
                <w:color w:val="auto"/>
                <w:spacing w:val="30"/>
                <w:highlight w:val="none"/>
              </w:rPr>
              <w:t>工程制造部</w:t>
            </w:r>
          </w:p>
        </w:tc>
        <w:tc>
          <w:tcPr>
            <w:tcW w:w="567" w:type="dxa"/>
            <w:vMerge w:val="restart"/>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25</w:t>
            </w: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p>
        </w:tc>
        <w:tc>
          <w:tcPr>
            <w:tcW w:w="4678" w:type="dxa"/>
          </w:tcPr>
          <w:p>
            <w:pPr>
              <w:spacing w:beforeLines="10" w:afterLines="10"/>
              <w:rPr>
                <w:color w:val="auto"/>
                <w:highlight w:val="none"/>
              </w:rPr>
            </w:pPr>
            <w:r>
              <w:rPr>
                <w:color w:val="auto"/>
                <w:highlight w:val="none"/>
              </w:rPr>
              <w:t>管理及工作人员服从性、沟通及态度</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restart"/>
            <w:vAlign w:val="bottom"/>
          </w:tcPr>
          <w:p>
            <w:pPr>
              <w:spacing w:beforeLines="10" w:afterLines="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评分人：    部门经理：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p>
        </w:tc>
        <w:tc>
          <w:tcPr>
            <w:tcW w:w="4678" w:type="dxa"/>
          </w:tcPr>
          <w:p>
            <w:pPr>
              <w:spacing w:beforeLines="10" w:afterLines="10"/>
              <w:rPr>
                <w:color w:val="auto"/>
                <w:highlight w:val="none"/>
              </w:rPr>
            </w:pPr>
            <w:r>
              <w:rPr>
                <w:rFonts w:hint="eastAsia"/>
                <w:color w:val="auto"/>
                <w:highlight w:val="none"/>
              </w:rPr>
              <w:t>未被我司投诉或被我司专业考核，未被工程制造部考核</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p>
        </w:tc>
        <w:tc>
          <w:tcPr>
            <w:tcW w:w="4678" w:type="dxa"/>
          </w:tcPr>
          <w:p>
            <w:pPr>
              <w:spacing w:beforeLines="10" w:afterLines="10"/>
              <w:rPr>
                <w:color w:val="auto"/>
                <w:highlight w:val="none"/>
              </w:rPr>
            </w:pPr>
            <w:r>
              <w:rPr>
                <w:rFonts w:hint="eastAsia"/>
                <w:color w:val="auto"/>
                <w:highlight w:val="none"/>
              </w:rPr>
              <w:t>没有因损坏厂内物资、设备未完成处理</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4</w:t>
            </w:r>
          </w:p>
        </w:tc>
        <w:tc>
          <w:tcPr>
            <w:tcW w:w="4678" w:type="dxa"/>
          </w:tcPr>
          <w:p>
            <w:pPr>
              <w:spacing w:beforeLines="10" w:afterLines="10"/>
              <w:rPr>
                <w:color w:val="auto"/>
                <w:highlight w:val="none"/>
              </w:rPr>
            </w:pPr>
            <w:r>
              <w:rPr>
                <w:color w:val="auto"/>
                <w:highlight w:val="none"/>
              </w:rPr>
              <w:t>现场工作人员按要求着装、安全规范和劳保措施</w:t>
            </w:r>
            <w:r>
              <w:rPr>
                <w:rFonts w:hint="eastAsia"/>
                <w:color w:val="auto"/>
                <w:highlight w:val="none"/>
              </w:rPr>
              <w:t>到位</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w:t>
            </w:r>
          </w:p>
        </w:tc>
        <w:tc>
          <w:tcPr>
            <w:tcW w:w="4678" w:type="dxa"/>
          </w:tcPr>
          <w:p>
            <w:pPr>
              <w:spacing w:beforeLines="10" w:afterLines="10"/>
              <w:rPr>
                <w:color w:val="auto"/>
                <w:highlight w:val="none"/>
              </w:rPr>
            </w:pPr>
            <w:r>
              <w:rPr>
                <w:color w:val="auto"/>
                <w:highlight w:val="none"/>
              </w:rPr>
              <w:t>做好运</w:t>
            </w:r>
            <w:r>
              <w:rPr>
                <w:rFonts w:hint="eastAsia"/>
                <w:color w:val="auto"/>
                <w:highlight w:val="none"/>
              </w:rPr>
              <w:t>输</w:t>
            </w:r>
            <w:r>
              <w:rPr>
                <w:color w:val="auto"/>
                <w:highlight w:val="none"/>
              </w:rPr>
              <w:t>的防</w:t>
            </w:r>
            <w:r>
              <w:rPr>
                <w:rFonts w:hint="eastAsia"/>
                <w:color w:val="auto"/>
                <w:highlight w:val="none"/>
              </w:rPr>
              <w:t>斜倒</w:t>
            </w:r>
            <w:r>
              <w:rPr>
                <w:color w:val="auto"/>
                <w:highlight w:val="none"/>
              </w:rPr>
              <w:t>措施及工作场所环境卫生</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spacing w:val="30"/>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5103" w:type="dxa"/>
            <w:gridSpan w:val="2"/>
            <w:vAlign w:val="center"/>
          </w:tcPr>
          <w:p>
            <w:pPr>
              <w:spacing w:beforeLines="10" w:afterLines="10"/>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部门小计：</w:t>
            </w:r>
          </w:p>
        </w:tc>
        <w:tc>
          <w:tcPr>
            <w:tcW w:w="1701" w:type="dxa"/>
            <w:gridSpan w:val="2"/>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restart"/>
            <w:textDirection w:val="tbRlV"/>
            <w:vAlign w:val="center"/>
          </w:tcPr>
          <w:p>
            <w:pPr>
              <w:spacing w:beforeLines="10" w:afterLines="10"/>
              <w:ind w:left="113" w:right="113"/>
              <w:jc w:val="center"/>
              <w:rPr>
                <w:rFonts w:asciiTheme="minorEastAsia" w:hAnsiTheme="minorEastAsia" w:eastAsiaTheme="minorEastAsia"/>
                <w:color w:val="auto"/>
                <w:spacing w:val="30"/>
                <w:highlight w:val="none"/>
              </w:rPr>
            </w:pPr>
            <w:r>
              <w:rPr>
                <w:rFonts w:asciiTheme="minorEastAsia" w:hAnsiTheme="minorEastAsia" w:eastAsiaTheme="minorEastAsia"/>
                <w:color w:val="auto"/>
                <w:spacing w:val="30"/>
                <w:highlight w:val="none"/>
              </w:rPr>
              <w:t>安健环部</w:t>
            </w:r>
          </w:p>
        </w:tc>
        <w:tc>
          <w:tcPr>
            <w:tcW w:w="567" w:type="dxa"/>
            <w:vMerge w:val="restart"/>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30</w:t>
            </w: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p>
        </w:tc>
        <w:tc>
          <w:tcPr>
            <w:tcW w:w="4678" w:type="dxa"/>
          </w:tcPr>
          <w:p>
            <w:pPr>
              <w:spacing w:beforeLines="10" w:afterLines="10"/>
              <w:rPr>
                <w:color w:val="auto"/>
                <w:highlight w:val="none"/>
              </w:rPr>
            </w:pPr>
            <w:r>
              <w:rPr>
                <w:rFonts w:hint="eastAsia"/>
                <w:color w:val="auto"/>
                <w:highlight w:val="none"/>
              </w:rPr>
              <w:t>未发生过</w:t>
            </w:r>
            <w:r>
              <w:rPr>
                <w:color w:val="auto"/>
                <w:highlight w:val="none"/>
              </w:rPr>
              <w:t>受安健环</w:t>
            </w:r>
            <w:r>
              <w:rPr>
                <w:rFonts w:hint="eastAsia"/>
                <w:color w:val="auto"/>
                <w:highlight w:val="none"/>
              </w:rPr>
              <w:t xml:space="preserve">考核事故 </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10～0分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restart"/>
          </w:tcPr>
          <w:p>
            <w:pPr>
              <w:spacing w:beforeLines="10" w:afterLines="10"/>
              <w:rPr>
                <w:rFonts w:asciiTheme="minorEastAsia" w:hAnsiTheme="minorEastAsia" w:eastAsiaTheme="minorEastAsia"/>
                <w:color w:val="auto"/>
                <w:szCs w:val="21"/>
                <w:highlight w:val="none"/>
              </w:rPr>
            </w:pPr>
          </w:p>
          <w:p>
            <w:pPr>
              <w:spacing w:beforeLines="10" w:afterLines="10"/>
              <w:rPr>
                <w:rFonts w:asciiTheme="minorEastAsia" w:hAnsiTheme="minorEastAsia" w:eastAsiaTheme="minorEastAsia"/>
                <w:color w:val="auto"/>
                <w:szCs w:val="21"/>
                <w:highlight w:val="none"/>
              </w:rPr>
            </w:pPr>
          </w:p>
          <w:p>
            <w:pPr>
              <w:spacing w:beforeLines="10" w:afterLines="10"/>
              <w:rPr>
                <w:rFonts w:asciiTheme="minorEastAsia" w:hAnsiTheme="minorEastAsia" w:eastAsiaTheme="minorEastAsia"/>
                <w:color w:val="auto"/>
                <w:szCs w:val="21"/>
                <w:highlight w:val="none"/>
              </w:rPr>
            </w:pPr>
          </w:p>
          <w:p>
            <w:pPr>
              <w:spacing w:beforeLines="10" w:afterLines="10"/>
              <w:rPr>
                <w:rFonts w:asciiTheme="minorEastAsia" w:hAnsiTheme="minorEastAsia" w:eastAsiaTheme="minorEastAsia"/>
                <w:color w:val="auto"/>
                <w:szCs w:val="21"/>
                <w:highlight w:val="none"/>
              </w:rPr>
            </w:pPr>
          </w:p>
          <w:p>
            <w:pPr>
              <w:spacing w:beforeLines="10" w:afterLines="10"/>
              <w:rPr>
                <w:rFonts w:asciiTheme="minorEastAsia" w:hAnsiTheme="minorEastAsia" w:eastAsiaTheme="minorEastAsia"/>
                <w:color w:val="auto"/>
                <w:szCs w:val="21"/>
                <w:highlight w:val="none"/>
              </w:rPr>
            </w:pPr>
          </w:p>
          <w:p>
            <w:pPr>
              <w:spacing w:beforeLines="10" w:afterLines="10"/>
              <w:rPr>
                <w:rFonts w:asciiTheme="minorEastAsia" w:hAnsiTheme="minorEastAsia" w:eastAsiaTheme="minorEastAsia"/>
                <w:color w:val="auto"/>
                <w:szCs w:val="21"/>
                <w:highlight w:val="none"/>
              </w:rPr>
            </w:pPr>
          </w:p>
          <w:p>
            <w:pPr>
              <w:spacing w:beforeLines="10" w:afterLines="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评分人：</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 xml:space="preserve">部门经理：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p>
        </w:tc>
        <w:tc>
          <w:tcPr>
            <w:tcW w:w="4678" w:type="dxa"/>
          </w:tcPr>
          <w:p>
            <w:pPr>
              <w:spacing w:beforeLines="10" w:afterLines="10"/>
              <w:rPr>
                <w:color w:val="auto"/>
                <w:highlight w:val="none"/>
              </w:rPr>
            </w:pPr>
            <w:r>
              <w:rPr>
                <w:color w:val="auto"/>
                <w:highlight w:val="none"/>
              </w:rPr>
              <w:t>按安健环要求配备安全和劳保用品</w:t>
            </w:r>
            <w:r>
              <w:rPr>
                <w:rFonts w:hint="eastAsia"/>
                <w:color w:val="auto"/>
                <w:highlight w:val="none"/>
              </w:rPr>
              <w:t>佩戴</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p>
        </w:tc>
        <w:tc>
          <w:tcPr>
            <w:tcW w:w="4678" w:type="dxa"/>
          </w:tcPr>
          <w:p>
            <w:pPr>
              <w:spacing w:beforeLines="10" w:afterLines="10"/>
              <w:rPr>
                <w:color w:val="auto"/>
                <w:highlight w:val="none"/>
              </w:rPr>
            </w:pPr>
            <w:r>
              <w:rPr>
                <w:rFonts w:hint="eastAsia"/>
                <w:color w:val="auto"/>
                <w:highlight w:val="none"/>
              </w:rPr>
              <w:t>有完整的安全培训记录，人员持证上岗，车辆年审合格</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4</w:t>
            </w:r>
          </w:p>
        </w:tc>
        <w:tc>
          <w:tcPr>
            <w:tcW w:w="4678" w:type="dxa"/>
          </w:tcPr>
          <w:p>
            <w:pPr>
              <w:spacing w:beforeLines="10" w:afterLines="10"/>
              <w:rPr>
                <w:color w:val="auto"/>
                <w:highlight w:val="none"/>
              </w:rPr>
            </w:pPr>
            <w:r>
              <w:rPr>
                <w:color w:val="auto"/>
                <w:highlight w:val="none"/>
              </w:rPr>
              <w:t>车辆进出厂区</w:t>
            </w:r>
            <w:r>
              <w:rPr>
                <w:rFonts w:hint="eastAsia"/>
                <w:color w:val="auto"/>
                <w:highlight w:val="none"/>
              </w:rPr>
              <w:t>无</w:t>
            </w:r>
            <w:r>
              <w:rPr>
                <w:color w:val="auto"/>
                <w:highlight w:val="none"/>
              </w:rPr>
              <w:t>超速、超载等违规现象</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w:t>
            </w:r>
          </w:p>
        </w:tc>
        <w:tc>
          <w:tcPr>
            <w:tcW w:w="4678" w:type="dxa"/>
          </w:tcPr>
          <w:p>
            <w:pPr>
              <w:spacing w:beforeLines="10" w:afterLines="10"/>
              <w:rPr>
                <w:color w:val="auto"/>
                <w:highlight w:val="none"/>
              </w:rPr>
            </w:pPr>
            <w:r>
              <w:rPr>
                <w:color w:val="auto"/>
                <w:highlight w:val="none"/>
              </w:rPr>
              <w:t>工作人员在厂区内</w:t>
            </w:r>
            <w:r>
              <w:rPr>
                <w:rFonts w:hint="eastAsia"/>
                <w:color w:val="auto"/>
                <w:highlight w:val="none"/>
              </w:rPr>
              <w:t>没</w:t>
            </w:r>
            <w:r>
              <w:rPr>
                <w:color w:val="auto"/>
                <w:highlight w:val="none"/>
              </w:rPr>
              <w:t>有违反安健环规定或违法行为的</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5103" w:type="dxa"/>
            <w:gridSpan w:val="2"/>
            <w:vAlign w:val="center"/>
          </w:tcPr>
          <w:p>
            <w:pPr>
              <w:spacing w:beforeLines="10" w:afterLines="10"/>
              <w:jc w:val="right"/>
              <w:rPr>
                <w:rFonts w:asciiTheme="minorEastAsia" w:hAnsiTheme="minorEastAsia" w:eastAsiaTheme="minorEastAsia"/>
                <w:color w:val="auto"/>
                <w:highlight w:val="none"/>
              </w:rPr>
            </w:pPr>
            <w:r>
              <w:rPr>
                <w:rFonts w:asciiTheme="minorEastAsia" w:hAnsiTheme="minorEastAsia" w:eastAsiaTheme="minorEastAsia"/>
                <w:color w:val="auto"/>
                <w:highlight w:val="none"/>
              </w:rPr>
              <w:t>部门小计：</w:t>
            </w:r>
          </w:p>
        </w:tc>
        <w:tc>
          <w:tcPr>
            <w:tcW w:w="1701" w:type="dxa"/>
            <w:gridSpan w:val="2"/>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restart"/>
            <w:textDirection w:val="tbRlV"/>
            <w:vAlign w:val="center"/>
          </w:tcPr>
          <w:p>
            <w:pPr>
              <w:spacing w:beforeLines="10" w:afterLines="10"/>
              <w:ind w:left="113" w:right="113"/>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财务部</w:t>
            </w:r>
          </w:p>
        </w:tc>
        <w:tc>
          <w:tcPr>
            <w:tcW w:w="567" w:type="dxa"/>
            <w:vMerge w:val="restart"/>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15</w:t>
            </w: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p>
        </w:tc>
        <w:tc>
          <w:tcPr>
            <w:tcW w:w="4678" w:type="dxa"/>
          </w:tcPr>
          <w:p>
            <w:pPr>
              <w:spacing w:beforeLines="10" w:afterLines="10"/>
              <w:rPr>
                <w:color w:val="auto"/>
                <w:szCs w:val="21"/>
                <w:highlight w:val="none"/>
              </w:rPr>
            </w:pPr>
            <w:r>
              <w:rPr>
                <w:rFonts w:hint="eastAsia"/>
                <w:color w:val="auto"/>
                <w:szCs w:val="21"/>
                <w:highlight w:val="none"/>
              </w:rPr>
              <w:t>按时结算货款</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10～0分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restart"/>
            <w:vAlign w:val="bottom"/>
          </w:tcPr>
          <w:p>
            <w:pPr>
              <w:spacing w:beforeLines="10" w:afterLines="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评分人：</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 xml:space="preserve">部门经理：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highlight w:val="none"/>
              </w:rPr>
            </w:pPr>
          </w:p>
        </w:tc>
        <w:tc>
          <w:tcPr>
            <w:tcW w:w="567" w:type="dxa"/>
            <w:vMerge w:val="continue"/>
            <w:vAlign w:val="center"/>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p>
        </w:tc>
        <w:tc>
          <w:tcPr>
            <w:tcW w:w="4678" w:type="dxa"/>
          </w:tcPr>
          <w:p>
            <w:pPr>
              <w:spacing w:beforeLines="10" w:afterLines="10"/>
              <w:rPr>
                <w:color w:val="auto"/>
                <w:szCs w:val="21"/>
                <w:highlight w:val="none"/>
              </w:rPr>
            </w:pPr>
            <w:r>
              <w:rPr>
                <w:rFonts w:hint="eastAsia"/>
                <w:color w:val="auto"/>
                <w:szCs w:val="21"/>
                <w:highlight w:val="none"/>
              </w:rPr>
              <w:t>未</w:t>
            </w:r>
            <w:r>
              <w:rPr>
                <w:color w:val="auto"/>
                <w:szCs w:val="21"/>
                <w:highlight w:val="none"/>
              </w:rPr>
              <w:t>在履约保证金中扣除过货款、违约金或赔偿金</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extDirection w:val="tbRlV"/>
            <w:vAlign w:val="center"/>
          </w:tcPr>
          <w:p>
            <w:pPr>
              <w:spacing w:beforeLines="10" w:afterLines="10"/>
              <w:ind w:left="113" w:right="113"/>
              <w:jc w:val="center"/>
              <w:rPr>
                <w:rFonts w:asciiTheme="minorEastAsia" w:hAnsiTheme="minorEastAsia" w:eastAsiaTheme="minorEastAsia"/>
                <w:color w:val="auto"/>
                <w:spacing w:val="30"/>
                <w:highlight w:val="none"/>
              </w:rPr>
            </w:pPr>
          </w:p>
        </w:tc>
        <w:tc>
          <w:tcPr>
            <w:tcW w:w="567" w:type="dxa"/>
            <w:vMerge w:val="continue"/>
            <w:tcBorders>
              <w:bottom w:val="single" w:color="auto" w:sz="4" w:space="0"/>
            </w:tcBorders>
            <w:vAlign w:val="center"/>
          </w:tcPr>
          <w:p>
            <w:pPr>
              <w:spacing w:beforeLines="10" w:afterLines="10"/>
              <w:jc w:val="center"/>
              <w:rPr>
                <w:rFonts w:asciiTheme="minorEastAsia" w:hAnsiTheme="minorEastAsia" w:eastAsiaTheme="minorEastAsia"/>
                <w:color w:val="auto"/>
                <w:highlight w:val="none"/>
              </w:rPr>
            </w:pPr>
          </w:p>
        </w:tc>
        <w:tc>
          <w:tcPr>
            <w:tcW w:w="5103" w:type="dxa"/>
            <w:gridSpan w:val="2"/>
            <w:vAlign w:val="center"/>
          </w:tcPr>
          <w:p>
            <w:pPr>
              <w:spacing w:beforeLines="10" w:afterLines="10"/>
              <w:jc w:val="righ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部门小计：</w:t>
            </w:r>
          </w:p>
        </w:tc>
        <w:tc>
          <w:tcPr>
            <w:tcW w:w="1701" w:type="dxa"/>
            <w:gridSpan w:val="2"/>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restart"/>
            <w:textDirection w:val="tbRlV"/>
            <w:vAlign w:val="center"/>
          </w:tcPr>
          <w:p>
            <w:pPr>
              <w:spacing w:beforeLines="10" w:afterLines="10"/>
              <w:ind w:left="113" w:right="113"/>
              <w:jc w:val="center"/>
              <w:rPr>
                <w:rFonts w:asciiTheme="minorEastAsia" w:hAnsiTheme="minorEastAsia" w:eastAsiaTheme="minorEastAsia"/>
                <w:color w:val="auto"/>
                <w:spacing w:val="30"/>
                <w:highlight w:val="none"/>
              </w:rPr>
            </w:pPr>
            <w:r>
              <w:rPr>
                <w:rFonts w:asciiTheme="minorEastAsia" w:hAnsiTheme="minorEastAsia" w:eastAsiaTheme="minorEastAsia"/>
                <w:color w:val="auto"/>
                <w:spacing w:val="30"/>
                <w:highlight w:val="none"/>
              </w:rPr>
              <w:t>计划经营部</w:t>
            </w:r>
          </w:p>
        </w:tc>
        <w:tc>
          <w:tcPr>
            <w:tcW w:w="567" w:type="dxa"/>
            <w:vMerge w:val="restart"/>
            <w:tcBorders>
              <w:top w:val="single" w:color="auto" w:sz="4" w:space="0"/>
            </w:tcBorders>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30</w:t>
            </w: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p>
        </w:tc>
        <w:tc>
          <w:tcPr>
            <w:tcW w:w="4678" w:type="dxa"/>
          </w:tcPr>
          <w:p>
            <w:pPr>
              <w:spacing w:beforeLines="10" w:afterLines="10"/>
              <w:rPr>
                <w:color w:val="auto"/>
                <w:w w:val="66"/>
                <w:szCs w:val="21"/>
                <w:highlight w:val="none"/>
              </w:rPr>
            </w:pPr>
            <w:r>
              <w:rPr>
                <w:rFonts w:hint="eastAsia"/>
                <w:color w:val="auto"/>
                <w:szCs w:val="21"/>
                <w:highlight w:val="none"/>
              </w:rPr>
              <w:t>服从调度指令，按要求进行运输，未因不按要求完成任务造成电厂投诉的</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restart"/>
            <w:vAlign w:val="bottom"/>
          </w:tcPr>
          <w:p>
            <w:pPr>
              <w:spacing w:beforeLines="10" w:afterLines="1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评分人：</w:t>
            </w:r>
            <w:r>
              <w:rPr>
                <w:rFonts w:hint="eastAsia" w:asciiTheme="minorEastAsia" w:hAnsiTheme="minorEastAsia" w:eastAsiaTheme="minorEastAsia"/>
                <w:color w:val="auto"/>
                <w:szCs w:val="21"/>
                <w:highlight w:val="none"/>
              </w:rPr>
              <w:t xml:space="preserve">   </w:t>
            </w:r>
            <w:r>
              <w:rPr>
                <w:rFonts w:asciiTheme="minorEastAsia" w:hAnsiTheme="minorEastAsia" w:eastAsiaTheme="minorEastAsia"/>
                <w:color w:val="auto"/>
                <w:szCs w:val="21"/>
                <w:highlight w:val="none"/>
              </w:rPr>
              <w:t xml:space="preserve">部门经理：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cPr>
          <w:p>
            <w:pPr>
              <w:spacing w:beforeLines="10" w:afterLines="10"/>
              <w:rPr>
                <w:color w:val="auto"/>
                <w:highlight w:val="none"/>
              </w:rPr>
            </w:pPr>
          </w:p>
        </w:tc>
        <w:tc>
          <w:tcPr>
            <w:tcW w:w="567" w:type="dxa"/>
            <w:vMerge w:val="continue"/>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p>
        </w:tc>
        <w:tc>
          <w:tcPr>
            <w:tcW w:w="4678" w:type="dxa"/>
          </w:tcPr>
          <w:p>
            <w:pPr>
              <w:rPr>
                <w:color w:val="auto"/>
                <w:w w:val="80"/>
                <w:szCs w:val="21"/>
                <w:highlight w:val="none"/>
              </w:rPr>
            </w:pPr>
            <w:r>
              <w:rPr>
                <w:rFonts w:hint="eastAsia" w:asciiTheme="minorEastAsia" w:hAnsiTheme="minorEastAsia" w:eastAsiaTheme="minorEastAsia"/>
                <w:color w:val="auto"/>
                <w:szCs w:val="21"/>
                <w:highlight w:val="none"/>
              </w:rPr>
              <w:t>按合同要求每月26日8时为结算点，甲方向乙方发出对帐单，确认无误后开出发票，按时到帐。</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cPr>
          <w:p>
            <w:pPr>
              <w:spacing w:beforeLines="10" w:afterLines="10"/>
              <w:rPr>
                <w:color w:val="auto"/>
                <w:highlight w:val="none"/>
              </w:rPr>
            </w:pPr>
          </w:p>
        </w:tc>
        <w:tc>
          <w:tcPr>
            <w:tcW w:w="567" w:type="dxa"/>
            <w:vMerge w:val="continue"/>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p>
        </w:tc>
        <w:tc>
          <w:tcPr>
            <w:tcW w:w="4678" w:type="dxa"/>
          </w:tcPr>
          <w:p>
            <w:pPr>
              <w:spacing w:beforeLines="10" w:afterLines="10"/>
              <w:rPr>
                <w:color w:val="auto"/>
                <w:szCs w:val="21"/>
                <w:highlight w:val="none"/>
              </w:rPr>
            </w:pPr>
            <w:r>
              <w:rPr>
                <w:rFonts w:hint="eastAsia"/>
                <w:color w:val="auto"/>
                <w:szCs w:val="21"/>
                <w:highlight w:val="none"/>
              </w:rPr>
              <w:t>合同执行中出现问题通过协商解决，未发生过争议事件</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cPr>
          <w:p>
            <w:pPr>
              <w:spacing w:beforeLines="10" w:afterLines="10"/>
              <w:rPr>
                <w:color w:val="auto"/>
                <w:highlight w:val="none"/>
              </w:rPr>
            </w:pPr>
          </w:p>
        </w:tc>
        <w:tc>
          <w:tcPr>
            <w:tcW w:w="567" w:type="dxa"/>
            <w:vMerge w:val="continue"/>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4</w:t>
            </w:r>
          </w:p>
        </w:tc>
        <w:tc>
          <w:tcPr>
            <w:tcW w:w="4678" w:type="dxa"/>
          </w:tcPr>
          <w:p>
            <w:pPr>
              <w:spacing w:beforeLines="10" w:afterLines="10"/>
              <w:rPr>
                <w:color w:val="auto"/>
                <w:szCs w:val="21"/>
                <w:highlight w:val="none"/>
              </w:rPr>
            </w:pPr>
            <w:r>
              <w:rPr>
                <w:rFonts w:hint="eastAsia"/>
                <w:color w:val="auto"/>
                <w:szCs w:val="21"/>
                <w:highlight w:val="none"/>
              </w:rPr>
              <w:t>未</w:t>
            </w:r>
            <w:r>
              <w:rPr>
                <w:color w:val="auto"/>
                <w:szCs w:val="21"/>
                <w:highlight w:val="none"/>
              </w:rPr>
              <w:t>有违反合同约定</w:t>
            </w:r>
            <w:r>
              <w:rPr>
                <w:rFonts w:hint="eastAsia"/>
                <w:color w:val="auto"/>
                <w:szCs w:val="21"/>
                <w:highlight w:val="none"/>
              </w:rPr>
              <w:t>而</w:t>
            </w:r>
            <w:r>
              <w:rPr>
                <w:color w:val="auto"/>
                <w:szCs w:val="21"/>
                <w:highlight w:val="none"/>
              </w:rPr>
              <w:t>定为不良记录</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10～0分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cPr>
          <w:p>
            <w:pPr>
              <w:spacing w:beforeLines="10" w:afterLines="10"/>
              <w:rPr>
                <w:color w:val="auto"/>
                <w:highlight w:val="none"/>
              </w:rPr>
            </w:pPr>
          </w:p>
        </w:tc>
        <w:tc>
          <w:tcPr>
            <w:tcW w:w="567" w:type="dxa"/>
            <w:vMerge w:val="continue"/>
          </w:tcPr>
          <w:p>
            <w:pPr>
              <w:spacing w:beforeLines="10" w:afterLines="10"/>
              <w:jc w:val="center"/>
              <w:rPr>
                <w:rFonts w:asciiTheme="minorEastAsia" w:hAnsiTheme="minorEastAsia" w:eastAsiaTheme="minorEastAsia"/>
                <w:color w:val="auto"/>
                <w:highlight w:val="none"/>
              </w:rPr>
            </w:pPr>
          </w:p>
        </w:tc>
        <w:tc>
          <w:tcPr>
            <w:tcW w:w="425"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w:t>
            </w:r>
          </w:p>
        </w:tc>
        <w:tc>
          <w:tcPr>
            <w:tcW w:w="4678" w:type="dxa"/>
          </w:tcPr>
          <w:p>
            <w:pPr>
              <w:spacing w:beforeLines="10" w:afterLines="10"/>
              <w:rPr>
                <w:color w:val="auto"/>
                <w:szCs w:val="21"/>
                <w:highlight w:val="none"/>
              </w:rPr>
            </w:pPr>
            <w:r>
              <w:rPr>
                <w:color w:val="auto"/>
                <w:szCs w:val="21"/>
                <w:highlight w:val="none"/>
              </w:rPr>
              <w:t>在紧急处理事件中处理应变能力</w:t>
            </w:r>
          </w:p>
        </w:tc>
        <w:tc>
          <w:tcPr>
            <w:tcW w:w="992" w:type="dxa"/>
            <w:vAlign w:val="center"/>
          </w:tcPr>
          <w:p>
            <w:pPr>
              <w:spacing w:beforeLines="10" w:afterLines="10"/>
              <w:jc w:val="center"/>
              <w:rPr>
                <w:rFonts w:asciiTheme="minorEastAsia" w:hAnsiTheme="minorEastAsia" w:eastAsiaTheme="minorEastAsia"/>
                <w:color w:val="auto"/>
                <w:highlight w:val="none"/>
              </w:rPr>
            </w:pPr>
            <w:r>
              <w:rPr>
                <w:rFonts w:asciiTheme="minorEastAsia" w:hAnsiTheme="minorEastAsia" w:eastAsiaTheme="minorEastAsia"/>
                <w:color w:val="auto"/>
                <w:highlight w:val="none"/>
              </w:rPr>
              <w:t>5～0分</w:t>
            </w:r>
          </w:p>
        </w:tc>
        <w:tc>
          <w:tcPr>
            <w:tcW w:w="709" w:type="dxa"/>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tcPr>
          <w:p>
            <w:pPr>
              <w:spacing w:beforeLines="10" w:afterLines="10"/>
              <w:rPr>
                <w:color w:val="auto"/>
                <w:highlight w:val="none"/>
              </w:rPr>
            </w:pPr>
          </w:p>
        </w:tc>
        <w:tc>
          <w:tcPr>
            <w:tcW w:w="567" w:type="dxa"/>
            <w:vMerge w:val="continue"/>
          </w:tcPr>
          <w:p>
            <w:pPr>
              <w:spacing w:beforeLines="10" w:afterLines="10"/>
              <w:jc w:val="center"/>
              <w:rPr>
                <w:color w:val="auto"/>
                <w:highlight w:val="none"/>
              </w:rPr>
            </w:pPr>
          </w:p>
        </w:tc>
        <w:tc>
          <w:tcPr>
            <w:tcW w:w="5103" w:type="dxa"/>
            <w:gridSpan w:val="2"/>
            <w:vAlign w:val="center"/>
          </w:tcPr>
          <w:p>
            <w:pPr>
              <w:spacing w:beforeLines="10" w:afterLines="10"/>
              <w:jc w:val="right"/>
              <w:rPr>
                <w:color w:val="auto"/>
                <w:highlight w:val="none"/>
              </w:rPr>
            </w:pPr>
            <w:r>
              <w:rPr>
                <w:rFonts w:hAnsi="宋体"/>
                <w:color w:val="auto"/>
                <w:highlight w:val="none"/>
              </w:rPr>
              <w:t>部门小计：</w:t>
            </w:r>
          </w:p>
        </w:tc>
        <w:tc>
          <w:tcPr>
            <w:tcW w:w="1701" w:type="dxa"/>
            <w:gridSpan w:val="2"/>
            <w:vAlign w:val="center"/>
          </w:tcPr>
          <w:p>
            <w:pPr>
              <w:spacing w:beforeLines="10" w:afterLines="10"/>
              <w:jc w:val="center"/>
              <w:rPr>
                <w:rFonts w:asciiTheme="minorEastAsia" w:hAnsiTheme="minorEastAsia" w:eastAsiaTheme="minorEastAsia"/>
                <w:color w:val="auto"/>
                <w:highlight w:val="none"/>
              </w:rPr>
            </w:pPr>
          </w:p>
        </w:tc>
        <w:tc>
          <w:tcPr>
            <w:tcW w:w="2410" w:type="dxa"/>
            <w:vMerge w:val="continue"/>
          </w:tcPr>
          <w:p>
            <w:pPr>
              <w:spacing w:beforeLines="10" w:afterLines="1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9" w:type="dxa"/>
            <w:gridSpan w:val="4"/>
            <w:vAlign w:val="center"/>
          </w:tcPr>
          <w:p>
            <w:pPr>
              <w:spacing w:beforeLines="10" w:afterLines="10"/>
              <w:jc w:val="right"/>
              <w:rPr>
                <w:color w:val="auto"/>
                <w:highlight w:val="none"/>
              </w:rPr>
            </w:pPr>
            <w:r>
              <w:rPr>
                <w:rFonts w:hAnsi="宋体"/>
                <w:color w:val="auto"/>
                <w:highlight w:val="none"/>
              </w:rPr>
              <w:t>合计：</w:t>
            </w:r>
          </w:p>
        </w:tc>
        <w:tc>
          <w:tcPr>
            <w:tcW w:w="1701" w:type="dxa"/>
            <w:gridSpan w:val="2"/>
            <w:vAlign w:val="center"/>
          </w:tcPr>
          <w:p>
            <w:pPr>
              <w:spacing w:beforeLines="10" w:afterLines="10"/>
              <w:jc w:val="center"/>
              <w:rPr>
                <w:rFonts w:asciiTheme="minorEastAsia" w:hAnsiTheme="minorEastAsia" w:eastAsiaTheme="minorEastAsia"/>
                <w:b/>
                <w:color w:val="auto"/>
                <w:highlight w:val="none"/>
              </w:rPr>
            </w:pPr>
          </w:p>
        </w:tc>
        <w:tc>
          <w:tcPr>
            <w:tcW w:w="2410" w:type="dxa"/>
          </w:tcPr>
          <w:p>
            <w:pPr>
              <w:spacing w:beforeLines="10" w:afterLines="10"/>
              <w:rPr>
                <w:b/>
                <w:color w:val="auto"/>
                <w:highlight w:val="none"/>
              </w:rPr>
            </w:pPr>
            <w:r>
              <w:rPr>
                <w:rFonts w:hint="eastAsia"/>
                <w:b/>
                <w:color w:val="auto"/>
                <w:highlight w:val="none"/>
              </w:rPr>
              <w:t>说明：60分为合格。</w:t>
            </w:r>
          </w:p>
        </w:tc>
      </w:tr>
    </w:tbl>
    <w:p>
      <w:pPr>
        <w:rPr>
          <w:color w:val="auto"/>
          <w:highlight w:val="none"/>
        </w:rPr>
      </w:pPr>
      <w:r>
        <w:rPr>
          <w:rFonts w:hint="eastAsia"/>
          <w:color w:val="auto"/>
          <w:highlight w:val="none"/>
        </w:rPr>
        <w:t>公司领导：</w:t>
      </w:r>
    </w:p>
    <w:p>
      <w:pPr>
        <w:rPr>
          <w:color w:val="auto"/>
          <w:highlight w:val="none"/>
        </w:rPr>
      </w:pPr>
    </w:p>
    <w:p>
      <w:pPr>
        <w:adjustRightInd w:val="0"/>
        <w:snapToGrid w:val="0"/>
        <w:spacing w:line="360" w:lineRule="auto"/>
        <w:jc w:val="left"/>
        <w:rPr>
          <w:rFonts w:asciiTheme="minorEastAsia" w:hAnsiTheme="minorEastAsia" w:eastAsiaTheme="minorEastAsia"/>
          <w:color w:val="auto"/>
          <w:sz w:val="24"/>
          <w:highlight w:val="none"/>
        </w:rPr>
      </w:pPr>
    </w:p>
    <w:p>
      <w:pPr>
        <w:adjustRightInd w:val="0"/>
        <w:snapToGrid w:val="0"/>
        <w:spacing w:line="360" w:lineRule="auto"/>
        <w:jc w:val="left"/>
        <w:rPr>
          <w:rFonts w:asciiTheme="minorEastAsia" w:hAnsiTheme="minorEastAsia" w:eastAsiaTheme="minorEastAsia"/>
          <w:color w:val="auto"/>
          <w:sz w:val="24"/>
          <w:highlight w:val="none"/>
        </w:rPr>
      </w:pPr>
    </w:p>
    <w:p>
      <w:pPr>
        <w:adjustRightInd w:val="0"/>
        <w:snapToGrid w:val="0"/>
        <w:spacing w:line="360" w:lineRule="auto"/>
        <w:jc w:val="left"/>
        <w:rPr>
          <w:rFonts w:asciiTheme="minorEastAsia" w:hAnsiTheme="minorEastAsia" w:eastAsiaTheme="minorEastAsia"/>
          <w:color w:val="auto"/>
          <w:sz w:val="24"/>
          <w:highlight w:val="none"/>
        </w:rPr>
      </w:pPr>
    </w:p>
    <w:p>
      <w:pPr>
        <w:adjustRightInd w:val="0"/>
        <w:snapToGrid w:val="0"/>
        <w:spacing w:line="360" w:lineRule="auto"/>
        <w:jc w:val="left"/>
        <w:rPr>
          <w:rFonts w:asciiTheme="minorEastAsia" w:hAnsiTheme="minorEastAsia" w:eastAsiaTheme="minorEastAsia"/>
          <w:color w:val="auto"/>
          <w:sz w:val="24"/>
          <w:highlight w:val="none"/>
        </w:rPr>
      </w:pPr>
    </w:p>
    <w:sectPr>
      <w:pgSz w:w="11906" w:h="16838"/>
      <w:pgMar w:top="1418" w:right="1418" w:bottom="1418" w:left="1418" w:header="851" w:footer="851"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17</w:t>
    </w:r>
    <w:r>
      <w:rPr>
        <w:lang w:val="zh-CN"/>
      </w:rP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34</w:t>
    </w:r>
    <w:r>
      <w:rPr>
        <w:lang w:val="zh-CN"/>
      </w:rPr>
      <w:fldChar w:fldCharType="end"/>
    </w:r>
  </w:p>
  <w:p>
    <w:pPr>
      <w:pStyle w:val="19"/>
      <w:ind w:right="54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p>
    <w:pPr>
      <w:pStyle w:val="20"/>
    </w:pPr>
    <w:r>
      <w:rPr>
        <w:rFonts w:hint="eastAsia"/>
      </w:rPr>
      <w:t>佛山市恒益环保建材有限公司脱硫石膏销售项目                                        公开竞争性谈判文件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Ansi="仿宋" w:eastAsia="仿宋"/>
      </w:rPr>
      <w:t>佛山市恒益环保建材有限公司</w:t>
    </w:r>
    <w:r>
      <w:rPr>
        <w:rFonts w:hint="eastAsia" w:hAnsi="仿宋" w:eastAsia="仿宋"/>
      </w:rPr>
      <w:t>脱硫石膏销售项目                                    公开</w:t>
    </w:r>
    <w:r>
      <w:rPr>
        <w:rFonts w:hAnsi="仿宋" w:eastAsia="仿宋"/>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Ansi="仿宋" w:eastAsia="仿宋"/>
      </w:rPr>
      <w:t>佛山市恒益环保建材有限公司</w:t>
    </w:r>
    <w:r>
      <w:rPr>
        <w:rFonts w:hint="eastAsia" w:hAnsi="仿宋" w:eastAsia="仿宋"/>
      </w:rPr>
      <w:t>脱硫石膏销售项目                             公开</w:t>
    </w:r>
    <w:r>
      <w:rPr>
        <w:rFonts w:hAnsi="仿宋" w:eastAsia="仿宋"/>
      </w:rPr>
      <w:t>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ascii="宋体" w:hAnsi="宋体"/>
      </w:rPr>
      <w:t>年产30万立方米加气混凝土砌块生产线项目切割机设备采购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88E"/>
    <w:multiLevelType w:val="multilevel"/>
    <w:tmpl w:val="04F568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4678E3"/>
    <w:multiLevelType w:val="multilevel"/>
    <w:tmpl w:val="0D4678E3"/>
    <w:lvl w:ilvl="0" w:tentative="0">
      <w:start w:val="5"/>
      <w:numFmt w:val="decimal"/>
      <w:lvlText w:val="%1."/>
      <w:lvlJc w:val="left"/>
      <w:pPr>
        <w:tabs>
          <w:tab w:val="left" w:pos="420"/>
        </w:tabs>
        <w:ind w:left="420" w:hanging="420"/>
      </w:pPr>
      <w:rPr>
        <w:rFonts w:hint="eastAsia" w:cs="Times New Roman"/>
      </w:rPr>
    </w:lvl>
    <w:lvl w:ilvl="1" w:tentative="0">
      <w:start w:val="1"/>
      <w:numFmt w:val="decimal"/>
      <w:isLgl/>
      <w:lvlText w:val="%1.%2"/>
      <w:lvlJc w:val="left"/>
      <w:pPr>
        <w:tabs>
          <w:tab w:val="left" w:pos="840"/>
        </w:tabs>
        <w:ind w:left="840" w:hanging="840"/>
      </w:pPr>
      <w:rPr>
        <w:rFonts w:hint="default" w:cs="Times New Roman"/>
      </w:rPr>
    </w:lvl>
    <w:lvl w:ilvl="2" w:tentative="0">
      <w:start w:val="1"/>
      <w:numFmt w:val="decimal"/>
      <w:isLgl/>
      <w:lvlText w:val="%1.%2.%3"/>
      <w:lvlJc w:val="left"/>
      <w:pPr>
        <w:tabs>
          <w:tab w:val="left" w:pos="1080"/>
        </w:tabs>
        <w:ind w:left="1080" w:hanging="1080"/>
      </w:pPr>
      <w:rPr>
        <w:rFonts w:hint="default" w:cs="Times New Roman"/>
      </w:rPr>
    </w:lvl>
    <w:lvl w:ilvl="3" w:tentative="0">
      <w:start w:val="1"/>
      <w:numFmt w:val="decimal"/>
      <w:isLgl/>
      <w:lvlText w:val="%1.%2.%3.%4"/>
      <w:lvlJc w:val="left"/>
      <w:pPr>
        <w:tabs>
          <w:tab w:val="left" w:pos="1440"/>
        </w:tabs>
        <w:ind w:left="1440" w:hanging="1440"/>
      </w:pPr>
      <w:rPr>
        <w:rFonts w:hint="default" w:cs="Times New Roman"/>
      </w:rPr>
    </w:lvl>
    <w:lvl w:ilvl="4" w:tentative="0">
      <w:start w:val="1"/>
      <w:numFmt w:val="decimal"/>
      <w:isLgl/>
      <w:lvlText w:val="%1.%2.%3.%4.%5"/>
      <w:lvlJc w:val="left"/>
      <w:pPr>
        <w:tabs>
          <w:tab w:val="left" w:pos="2160"/>
        </w:tabs>
        <w:ind w:left="2160" w:hanging="2160"/>
      </w:pPr>
      <w:rPr>
        <w:rFonts w:hint="default" w:cs="Times New Roman"/>
      </w:rPr>
    </w:lvl>
    <w:lvl w:ilvl="5" w:tentative="0">
      <w:start w:val="1"/>
      <w:numFmt w:val="decimal"/>
      <w:isLgl/>
      <w:lvlText w:val="%1.%2.%3.%4.%5.%6"/>
      <w:lvlJc w:val="left"/>
      <w:pPr>
        <w:tabs>
          <w:tab w:val="left" w:pos="2520"/>
        </w:tabs>
        <w:ind w:left="2520" w:hanging="2520"/>
      </w:pPr>
      <w:rPr>
        <w:rFonts w:hint="default" w:cs="Times New Roman"/>
      </w:rPr>
    </w:lvl>
    <w:lvl w:ilvl="6" w:tentative="0">
      <w:start w:val="1"/>
      <w:numFmt w:val="decimal"/>
      <w:isLgl/>
      <w:lvlText w:val="%1.%2.%3.%4.%5.%6.%7"/>
      <w:lvlJc w:val="left"/>
      <w:pPr>
        <w:tabs>
          <w:tab w:val="left" w:pos="2880"/>
        </w:tabs>
        <w:ind w:left="2880" w:hanging="2880"/>
      </w:pPr>
      <w:rPr>
        <w:rFonts w:hint="default" w:cs="Times New Roman"/>
      </w:rPr>
    </w:lvl>
    <w:lvl w:ilvl="7" w:tentative="0">
      <w:start w:val="1"/>
      <w:numFmt w:val="decimal"/>
      <w:isLgl/>
      <w:lvlText w:val="%1.%2.%3.%4.%5.%6.%7.%8"/>
      <w:lvlJc w:val="left"/>
      <w:pPr>
        <w:tabs>
          <w:tab w:val="left" w:pos="3240"/>
        </w:tabs>
        <w:ind w:left="3240" w:hanging="3240"/>
      </w:pPr>
      <w:rPr>
        <w:rFonts w:hint="default" w:cs="Times New Roman"/>
      </w:rPr>
    </w:lvl>
    <w:lvl w:ilvl="8" w:tentative="0">
      <w:start w:val="1"/>
      <w:numFmt w:val="decimal"/>
      <w:isLgl/>
      <w:lvlText w:val="%1.%2.%3.%4.%5.%6.%7.%8.%9"/>
      <w:lvlJc w:val="left"/>
      <w:pPr>
        <w:tabs>
          <w:tab w:val="left" w:pos="3600"/>
        </w:tabs>
        <w:ind w:left="3600" w:hanging="3600"/>
      </w:pPr>
      <w:rPr>
        <w:rFonts w:hint="default" w:cs="Times New Roman"/>
      </w:rPr>
    </w:lvl>
  </w:abstractNum>
  <w:abstractNum w:abstractNumId="2">
    <w:nsid w:val="381F43E4"/>
    <w:multiLevelType w:val="multilevel"/>
    <w:tmpl w:val="381F43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6642398"/>
    <w:multiLevelType w:val="multilevel"/>
    <w:tmpl w:val="46642398"/>
    <w:lvl w:ilvl="0" w:tentative="0">
      <w:start w:val="1"/>
      <w:numFmt w:val="decimal"/>
      <w:lvlText w:val="%1."/>
      <w:lvlJc w:val="left"/>
      <w:pPr>
        <w:tabs>
          <w:tab w:val="left" w:pos="420"/>
        </w:tabs>
        <w:ind w:left="420" w:hanging="420"/>
      </w:pPr>
      <w:rPr>
        <w:rFonts w:cs="Times New Roman"/>
      </w:rPr>
    </w:lvl>
    <w:lvl w:ilvl="1" w:tentative="0">
      <w:start w:val="2"/>
      <w:numFmt w:val="decimal"/>
      <w:isLgl/>
      <w:lvlText w:val="%1.%2"/>
      <w:lvlJc w:val="left"/>
      <w:pPr>
        <w:tabs>
          <w:tab w:val="left" w:pos="840"/>
        </w:tabs>
        <w:ind w:left="840" w:hanging="840"/>
      </w:pPr>
      <w:rPr>
        <w:rFonts w:hint="default" w:cs="Times New Roman"/>
      </w:rPr>
    </w:lvl>
    <w:lvl w:ilvl="2" w:tentative="0">
      <w:start w:val="1"/>
      <w:numFmt w:val="decimal"/>
      <w:isLgl/>
      <w:lvlText w:val="%1.%2.%3"/>
      <w:lvlJc w:val="left"/>
      <w:pPr>
        <w:tabs>
          <w:tab w:val="left" w:pos="1080"/>
        </w:tabs>
        <w:ind w:left="1080" w:hanging="1080"/>
      </w:pPr>
      <w:rPr>
        <w:rFonts w:hint="default" w:cs="Times New Roman"/>
      </w:rPr>
    </w:lvl>
    <w:lvl w:ilvl="3" w:tentative="0">
      <w:start w:val="1"/>
      <w:numFmt w:val="decimal"/>
      <w:isLgl/>
      <w:lvlText w:val="%1.%2.%3.%4"/>
      <w:lvlJc w:val="left"/>
      <w:pPr>
        <w:tabs>
          <w:tab w:val="left" w:pos="1440"/>
        </w:tabs>
        <w:ind w:left="1440" w:hanging="1440"/>
      </w:pPr>
      <w:rPr>
        <w:rFonts w:hint="default" w:cs="Times New Roman"/>
      </w:rPr>
    </w:lvl>
    <w:lvl w:ilvl="4" w:tentative="0">
      <w:start w:val="1"/>
      <w:numFmt w:val="decimal"/>
      <w:isLgl/>
      <w:lvlText w:val="%1.%2.%3.%4.%5"/>
      <w:lvlJc w:val="left"/>
      <w:pPr>
        <w:tabs>
          <w:tab w:val="left" w:pos="2160"/>
        </w:tabs>
        <w:ind w:left="2160" w:hanging="2160"/>
      </w:pPr>
      <w:rPr>
        <w:rFonts w:hint="default" w:cs="Times New Roman"/>
      </w:rPr>
    </w:lvl>
    <w:lvl w:ilvl="5" w:tentative="0">
      <w:start w:val="1"/>
      <w:numFmt w:val="decimal"/>
      <w:isLgl/>
      <w:lvlText w:val="%1.%2.%3.%4.%5.%6"/>
      <w:lvlJc w:val="left"/>
      <w:pPr>
        <w:tabs>
          <w:tab w:val="left" w:pos="2520"/>
        </w:tabs>
        <w:ind w:left="2520" w:hanging="2520"/>
      </w:pPr>
      <w:rPr>
        <w:rFonts w:hint="default" w:cs="Times New Roman"/>
      </w:rPr>
    </w:lvl>
    <w:lvl w:ilvl="6" w:tentative="0">
      <w:start w:val="1"/>
      <w:numFmt w:val="decimal"/>
      <w:isLgl/>
      <w:lvlText w:val="%1.%2.%3.%4.%5.%6.%7"/>
      <w:lvlJc w:val="left"/>
      <w:pPr>
        <w:tabs>
          <w:tab w:val="left" w:pos="2880"/>
        </w:tabs>
        <w:ind w:left="2880" w:hanging="2880"/>
      </w:pPr>
      <w:rPr>
        <w:rFonts w:hint="default" w:cs="Times New Roman"/>
      </w:rPr>
    </w:lvl>
    <w:lvl w:ilvl="7" w:tentative="0">
      <w:start w:val="1"/>
      <w:numFmt w:val="decimal"/>
      <w:isLgl/>
      <w:lvlText w:val="%1.%2.%3.%4.%5.%6.%7.%8"/>
      <w:lvlJc w:val="left"/>
      <w:pPr>
        <w:tabs>
          <w:tab w:val="left" w:pos="3240"/>
        </w:tabs>
        <w:ind w:left="3240" w:hanging="3240"/>
      </w:pPr>
      <w:rPr>
        <w:rFonts w:hint="default" w:cs="Times New Roman"/>
      </w:rPr>
    </w:lvl>
    <w:lvl w:ilvl="8" w:tentative="0">
      <w:start w:val="1"/>
      <w:numFmt w:val="decimal"/>
      <w:isLgl/>
      <w:lvlText w:val="%1.%2.%3.%4.%5.%6.%7.%8.%9"/>
      <w:lvlJc w:val="left"/>
      <w:pPr>
        <w:tabs>
          <w:tab w:val="left" w:pos="3600"/>
        </w:tabs>
        <w:ind w:left="3600" w:hanging="3600"/>
      </w:pPr>
      <w:rPr>
        <w:rFonts w:hint="default"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B1"/>
    <w:rsid w:val="000011F6"/>
    <w:rsid w:val="00002681"/>
    <w:rsid w:val="00003B2C"/>
    <w:rsid w:val="00004A0E"/>
    <w:rsid w:val="00005680"/>
    <w:rsid w:val="00006426"/>
    <w:rsid w:val="00006B70"/>
    <w:rsid w:val="000100DD"/>
    <w:rsid w:val="00011BD2"/>
    <w:rsid w:val="00013654"/>
    <w:rsid w:val="00014D70"/>
    <w:rsid w:val="0001592B"/>
    <w:rsid w:val="00015E50"/>
    <w:rsid w:val="00015FD5"/>
    <w:rsid w:val="00016B62"/>
    <w:rsid w:val="00020292"/>
    <w:rsid w:val="00025D7C"/>
    <w:rsid w:val="0002638E"/>
    <w:rsid w:val="00027DF5"/>
    <w:rsid w:val="00032C05"/>
    <w:rsid w:val="00032E0E"/>
    <w:rsid w:val="00033F26"/>
    <w:rsid w:val="000346B4"/>
    <w:rsid w:val="000359AD"/>
    <w:rsid w:val="00036735"/>
    <w:rsid w:val="00037925"/>
    <w:rsid w:val="00040004"/>
    <w:rsid w:val="00040B66"/>
    <w:rsid w:val="0004231D"/>
    <w:rsid w:val="00042EB4"/>
    <w:rsid w:val="0004329D"/>
    <w:rsid w:val="0004373B"/>
    <w:rsid w:val="00043812"/>
    <w:rsid w:val="00043B65"/>
    <w:rsid w:val="0004438B"/>
    <w:rsid w:val="0004467E"/>
    <w:rsid w:val="00045DCC"/>
    <w:rsid w:val="00045E58"/>
    <w:rsid w:val="000467B3"/>
    <w:rsid w:val="000470EB"/>
    <w:rsid w:val="00051CD3"/>
    <w:rsid w:val="00052CF9"/>
    <w:rsid w:val="00052D65"/>
    <w:rsid w:val="0005420D"/>
    <w:rsid w:val="000567DE"/>
    <w:rsid w:val="00056A64"/>
    <w:rsid w:val="0005760B"/>
    <w:rsid w:val="00064D6A"/>
    <w:rsid w:val="00065B9A"/>
    <w:rsid w:val="00065BAB"/>
    <w:rsid w:val="00066B7B"/>
    <w:rsid w:val="00072D11"/>
    <w:rsid w:val="00073479"/>
    <w:rsid w:val="00073AF0"/>
    <w:rsid w:val="00080399"/>
    <w:rsid w:val="00081BFD"/>
    <w:rsid w:val="00084936"/>
    <w:rsid w:val="00084C05"/>
    <w:rsid w:val="00085DC8"/>
    <w:rsid w:val="00086A7D"/>
    <w:rsid w:val="0008729E"/>
    <w:rsid w:val="00091143"/>
    <w:rsid w:val="0009119E"/>
    <w:rsid w:val="00092D89"/>
    <w:rsid w:val="000943A1"/>
    <w:rsid w:val="00095421"/>
    <w:rsid w:val="000A069A"/>
    <w:rsid w:val="000A17B2"/>
    <w:rsid w:val="000A2A02"/>
    <w:rsid w:val="000A3C9D"/>
    <w:rsid w:val="000A4172"/>
    <w:rsid w:val="000A6A2B"/>
    <w:rsid w:val="000A6F86"/>
    <w:rsid w:val="000A7CC6"/>
    <w:rsid w:val="000B2383"/>
    <w:rsid w:val="000B2B15"/>
    <w:rsid w:val="000B35E9"/>
    <w:rsid w:val="000B69B4"/>
    <w:rsid w:val="000B69F1"/>
    <w:rsid w:val="000C07E9"/>
    <w:rsid w:val="000C101D"/>
    <w:rsid w:val="000C30D1"/>
    <w:rsid w:val="000C4119"/>
    <w:rsid w:val="000C4A88"/>
    <w:rsid w:val="000D0FE3"/>
    <w:rsid w:val="000D0FFE"/>
    <w:rsid w:val="000D1F6E"/>
    <w:rsid w:val="000D3723"/>
    <w:rsid w:val="000E1918"/>
    <w:rsid w:val="000E1EFB"/>
    <w:rsid w:val="000E21CC"/>
    <w:rsid w:val="000E4138"/>
    <w:rsid w:val="000E5D74"/>
    <w:rsid w:val="000E6451"/>
    <w:rsid w:val="000E6765"/>
    <w:rsid w:val="000E7CCF"/>
    <w:rsid w:val="000F042A"/>
    <w:rsid w:val="000F0C69"/>
    <w:rsid w:val="000F3F8F"/>
    <w:rsid w:val="000F49C3"/>
    <w:rsid w:val="000F5178"/>
    <w:rsid w:val="000F52C7"/>
    <w:rsid w:val="00100A41"/>
    <w:rsid w:val="00100CDA"/>
    <w:rsid w:val="001023DB"/>
    <w:rsid w:val="00102662"/>
    <w:rsid w:val="00103F04"/>
    <w:rsid w:val="001041CA"/>
    <w:rsid w:val="0010431A"/>
    <w:rsid w:val="00110206"/>
    <w:rsid w:val="00110D36"/>
    <w:rsid w:val="00113159"/>
    <w:rsid w:val="0011423A"/>
    <w:rsid w:val="00114A51"/>
    <w:rsid w:val="0011508E"/>
    <w:rsid w:val="00115237"/>
    <w:rsid w:val="00115DA9"/>
    <w:rsid w:val="00117A01"/>
    <w:rsid w:val="00117C98"/>
    <w:rsid w:val="00120A77"/>
    <w:rsid w:val="00120E6C"/>
    <w:rsid w:val="00120EFD"/>
    <w:rsid w:val="00121772"/>
    <w:rsid w:val="00123195"/>
    <w:rsid w:val="0012416F"/>
    <w:rsid w:val="0012419E"/>
    <w:rsid w:val="0012484E"/>
    <w:rsid w:val="0012522D"/>
    <w:rsid w:val="00125E29"/>
    <w:rsid w:val="001309B3"/>
    <w:rsid w:val="00132F6E"/>
    <w:rsid w:val="001352EA"/>
    <w:rsid w:val="001418C3"/>
    <w:rsid w:val="00142231"/>
    <w:rsid w:val="00143547"/>
    <w:rsid w:val="001449D6"/>
    <w:rsid w:val="00144AC7"/>
    <w:rsid w:val="001471C0"/>
    <w:rsid w:val="00150E30"/>
    <w:rsid w:val="0015170D"/>
    <w:rsid w:val="001536D3"/>
    <w:rsid w:val="00153D6F"/>
    <w:rsid w:val="001547DB"/>
    <w:rsid w:val="00155454"/>
    <w:rsid w:val="001555A6"/>
    <w:rsid w:val="00156197"/>
    <w:rsid w:val="00156ED6"/>
    <w:rsid w:val="00157334"/>
    <w:rsid w:val="0016096B"/>
    <w:rsid w:val="00160B4C"/>
    <w:rsid w:val="00160CA5"/>
    <w:rsid w:val="00160E5F"/>
    <w:rsid w:val="00162336"/>
    <w:rsid w:val="00163CDC"/>
    <w:rsid w:val="00163E7B"/>
    <w:rsid w:val="00171A89"/>
    <w:rsid w:val="00171DB5"/>
    <w:rsid w:val="001767BB"/>
    <w:rsid w:val="00176BE2"/>
    <w:rsid w:val="0018133F"/>
    <w:rsid w:val="0018269C"/>
    <w:rsid w:val="001838E1"/>
    <w:rsid w:val="00183D75"/>
    <w:rsid w:val="00184AE7"/>
    <w:rsid w:val="0018714F"/>
    <w:rsid w:val="0019286E"/>
    <w:rsid w:val="00192C06"/>
    <w:rsid w:val="00192CC1"/>
    <w:rsid w:val="00194CF1"/>
    <w:rsid w:val="00195828"/>
    <w:rsid w:val="001961A3"/>
    <w:rsid w:val="00196B03"/>
    <w:rsid w:val="0019797F"/>
    <w:rsid w:val="001A2093"/>
    <w:rsid w:val="001A2488"/>
    <w:rsid w:val="001A24DD"/>
    <w:rsid w:val="001A3181"/>
    <w:rsid w:val="001A4FBA"/>
    <w:rsid w:val="001A5047"/>
    <w:rsid w:val="001A5E87"/>
    <w:rsid w:val="001A6443"/>
    <w:rsid w:val="001A7482"/>
    <w:rsid w:val="001A7EFF"/>
    <w:rsid w:val="001B02DA"/>
    <w:rsid w:val="001B0DC3"/>
    <w:rsid w:val="001B165B"/>
    <w:rsid w:val="001B1965"/>
    <w:rsid w:val="001B210A"/>
    <w:rsid w:val="001B224A"/>
    <w:rsid w:val="001B4554"/>
    <w:rsid w:val="001B5382"/>
    <w:rsid w:val="001B6E30"/>
    <w:rsid w:val="001B7193"/>
    <w:rsid w:val="001C02D8"/>
    <w:rsid w:val="001C1753"/>
    <w:rsid w:val="001C2EFF"/>
    <w:rsid w:val="001C39B1"/>
    <w:rsid w:val="001C3EC2"/>
    <w:rsid w:val="001C51B4"/>
    <w:rsid w:val="001C56EA"/>
    <w:rsid w:val="001C6529"/>
    <w:rsid w:val="001C7249"/>
    <w:rsid w:val="001D0AEA"/>
    <w:rsid w:val="001D330F"/>
    <w:rsid w:val="001D363D"/>
    <w:rsid w:val="001D416F"/>
    <w:rsid w:val="001D50CC"/>
    <w:rsid w:val="001D5DC4"/>
    <w:rsid w:val="001D7C5F"/>
    <w:rsid w:val="001E01BB"/>
    <w:rsid w:val="001E0615"/>
    <w:rsid w:val="001E28E0"/>
    <w:rsid w:val="001E325E"/>
    <w:rsid w:val="001E450C"/>
    <w:rsid w:val="001E5104"/>
    <w:rsid w:val="001F2A8E"/>
    <w:rsid w:val="00201895"/>
    <w:rsid w:val="00203E64"/>
    <w:rsid w:val="002061BD"/>
    <w:rsid w:val="00206DD5"/>
    <w:rsid w:val="0020740F"/>
    <w:rsid w:val="00207A81"/>
    <w:rsid w:val="00210B80"/>
    <w:rsid w:val="002111E5"/>
    <w:rsid w:val="00211D5B"/>
    <w:rsid w:val="00212A25"/>
    <w:rsid w:val="00212A8B"/>
    <w:rsid w:val="0021489B"/>
    <w:rsid w:val="00214C1D"/>
    <w:rsid w:val="00215251"/>
    <w:rsid w:val="00216ED9"/>
    <w:rsid w:val="002208E9"/>
    <w:rsid w:val="00221493"/>
    <w:rsid w:val="0022262A"/>
    <w:rsid w:val="00224317"/>
    <w:rsid w:val="00224DB2"/>
    <w:rsid w:val="0022520F"/>
    <w:rsid w:val="00225817"/>
    <w:rsid w:val="002262AA"/>
    <w:rsid w:val="002263F4"/>
    <w:rsid w:val="002324B5"/>
    <w:rsid w:val="00233432"/>
    <w:rsid w:val="00234E33"/>
    <w:rsid w:val="00234E76"/>
    <w:rsid w:val="00236226"/>
    <w:rsid w:val="002368C1"/>
    <w:rsid w:val="00241D4F"/>
    <w:rsid w:val="00242049"/>
    <w:rsid w:val="00242447"/>
    <w:rsid w:val="00242F5A"/>
    <w:rsid w:val="00243445"/>
    <w:rsid w:val="0024400D"/>
    <w:rsid w:val="002454ED"/>
    <w:rsid w:val="0024649D"/>
    <w:rsid w:val="00250EFC"/>
    <w:rsid w:val="002510EC"/>
    <w:rsid w:val="0025246F"/>
    <w:rsid w:val="0025255A"/>
    <w:rsid w:val="00252F06"/>
    <w:rsid w:val="0025450D"/>
    <w:rsid w:val="00254634"/>
    <w:rsid w:val="00254911"/>
    <w:rsid w:val="00254E01"/>
    <w:rsid w:val="0025585F"/>
    <w:rsid w:val="00256AB0"/>
    <w:rsid w:val="0025778A"/>
    <w:rsid w:val="002624F4"/>
    <w:rsid w:val="0026335A"/>
    <w:rsid w:val="00265BA0"/>
    <w:rsid w:val="00266023"/>
    <w:rsid w:val="00266396"/>
    <w:rsid w:val="00271E57"/>
    <w:rsid w:val="0027415D"/>
    <w:rsid w:val="0027502A"/>
    <w:rsid w:val="0027710C"/>
    <w:rsid w:val="002806EF"/>
    <w:rsid w:val="00283853"/>
    <w:rsid w:val="00284258"/>
    <w:rsid w:val="00284877"/>
    <w:rsid w:val="00284F5C"/>
    <w:rsid w:val="00285DE9"/>
    <w:rsid w:val="00287BF3"/>
    <w:rsid w:val="002979DE"/>
    <w:rsid w:val="002A007C"/>
    <w:rsid w:val="002A1362"/>
    <w:rsid w:val="002A20B9"/>
    <w:rsid w:val="002A2519"/>
    <w:rsid w:val="002A254E"/>
    <w:rsid w:val="002A2809"/>
    <w:rsid w:val="002A4357"/>
    <w:rsid w:val="002A45C8"/>
    <w:rsid w:val="002A713E"/>
    <w:rsid w:val="002B061C"/>
    <w:rsid w:val="002B0639"/>
    <w:rsid w:val="002B09D4"/>
    <w:rsid w:val="002B12FE"/>
    <w:rsid w:val="002B1825"/>
    <w:rsid w:val="002B1AE0"/>
    <w:rsid w:val="002B2CBB"/>
    <w:rsid w:val="002B53B3"/>
    <w:rsid w:val="002B6A1A"/>
    <w:rsid w:val="002C0E7A"/>
    <w:rsid w:val="002C10ED"/>
    <w:rsid w:val="002C1F84"/>
    <w:rsid w:val="002C2A2A"/>
    <w:rsid w:val="002C571D"/>
    <w:rsid w:val="002C68AD"/>
    <w:rsid w:val="002D0294"/>
    <w:rsid w:val="002D02F6"/>
    <w:rsid w:val="002D166B"/>
    <w:rsid w:val="002D44CF"/>
    <w:rsid w:val="002D6F7E"/>
    <w:rsid w:val="002D7123"/>
    <w:rsid w:val="002E0FB3"/>
    <w:rsid w:val="002E4440"/>
    <w:rsid w:val="002E61A0"/>
    <w:rsid w:val="002E6BE1"/>
    <w:rsid w:val="002F15CD"/>
    <w:rsid w:val="002F1896"/>
    <w:rsid w:val="002F2DE2"/>
    <w:rsid w:val="002F2F7B"/>
    <w:rsid w:val="002F786C"/>
    <w:rsid w:val="003006F6"/>
    <w:rsid w:val="00300F66"/>
    <w:rsid w:val="0030535B"/>
    <w:rsid w:val="00306522"/>
    <w:rsid w:val="0030659D"/>
    <w:rsid w:val="003069EA"/>
    <w:rsid w:val="00311011"/>
    <w:rsid w:val="00312F4A"/>
    <w:rsid w:val="003157F1"/>
    <w:rsid w:val="00315E71"/>
    <w:rsid w:val="00316284"/>
    <w:rsid w:val="00316AC6"/>
    <w:rsid w:val="0032197C"/>
    <w:rsid w:val="0032246E"/>
    <w:rsid w:val="00323CE9"/>
    <w:rsid w:val="00323E2D"/>
    <w:rsid w:val="00333829"/>
    <w:rsid w:val="0033662F"/>
    <w:rsid w:val="003370E7"/>
    <w:rsid w:val="00337BF9"/>
    <w:rsid w:val="00343B4A"/>
    <w:rsid w:val="003447BB"/>
    <w:rsid w:val="003448BD"/>
    <w:rsid w:val="00344A02"/>
    <w:rsid w:val="00347360"/>
    <w:rsid w:val="00347F84"/>
    <w:rsid w:val="00350EC3"/>
    <w:rsid w:val="00351226"/>
    <w:rsid w:val="00353C5C"/>
    <w:rsid w:val="003546D2"/>
    <w:rsid w:val="003552A3"/>
    <w:rsid w:val="00355F79"/>
    <w:rsid w:val="00356C10"/>
    <w:rsid w:val="003571A1"/>
    <w:rsid w:val="0036175B"/>
    <w:rsid w:val="003619BB"/>
    <w:rsid w:val="003638ED"/>
    <w:rsid w:val="003645CF"/>
    <w:rsid w:val="00364D60"/>
    <w:rsid w:val="00367C50"/>
    <w:rsid w:val="00374569"/>
    <w:rsid w:val="00374614"/>
    <w:rsid w:val="00375971"/>
    <w:rsid w:val="00375F32"/>
    <w:rsid w:val="00376867"/>
    <w:rsid w:val="00377E06"/>
    <w:rsid w:val="003819A1"/>
    <w:rsid w:val="00383F01"/>
    <w:rsid w:val="003905F0"/>
    <w:rsid w:val="00393A54"/>
    <w:rsid w:val="00395774"/>
    <w:rsid w:val="00396DF5"/>
    <w:rsid w:val="00396E25"/>
    <w:rsid w:val="00397E11"/>
    <w:rsid w:val="003A14C1"/>
    <w:rsid w:val="003A1797"/>
    <w:rsid w:val="003A2E84"/>
    <w:rsid w:val="003A3CCB"/>
    <w:rsid w:val="003A4F44"/>
    <w:rsid w:val="003A4FAB"/>
    <w:rsid w:val="003A59D8"/>
    <w:rsid w:val="003A608B"/>
    <w:rsid w:val="003A6798"/>
    <w:rsid w:val="003A6870"/>
    <w:rsid w:val="003A75A0"/>
    <w:rsid w:val="003B1A5E"/>
    <w:rsid w:val="003B32FD"/>
    <w:rsid w:val="003B3921"/>
    <w:rsid w:val="003B4F7A"/>
    <w:rsid w:val="003B5216"/>
    <w:rsid w:val="003B5AB7"/>
    <w:rsid w:val="003B6013"/>
    <w:rsid w:val="003B601E"/>
    <w:rsid w:val="003B65BA"/>
    <w:rsid w:val="003B76D7"/>
    <w:rsid w:val="003C04A6"/>
    <w:rsid w:val="003C0847"/>
    <w:rsid w:val="003C2DF7"/>
    <w:rsid w:val="003C65A1"/>
    <w:rsid w:val="003C664F"/>
    <w:rsid w:val="003C6EB9"/>
    <w:rsid w:val="003C70AD"/>
    <w:rsid w:val="003D5026"/>
    <w:rsid w:val="003D5219"/>
    <w:rsid w:val="003D75A3"/>
    <w:rsid w:val="003E17C9"/>
    <w:rsid w:val="003E224A"/>
    <w:rsid w:val="003E2347"/>
    <w:rsid w:val="003E48BE"/>
    <w:rsid w:val="003E4A4E"/>
    <w:rsid w:val="003E4B07"/>
    <w:rsid w:val="003E5F69"/>
    <w:rsid w:val="003F1421"/>
    <w:rsid w:val="003F1F78"/>
    <w:rsid w:val="003F2B2E"/>
    <w:rsid w:val="003F5EE6"/>
    <w:rsid w:val="003F6102"/>
    <w:rsid w:val="003F65A1"/>
    <w:rsid w:val="003F689B"/>
    <w:rsid w:val="003F6C24"/>
    <w:rsid w:val="003F71F6"/>
    <w:rsid w:val="00400C32"/>
    <w:rsid w:val="00401526"/>
    <w:rsid w:val="004036C3"/>
    <w:rsid w:val="004044D2"/>
    <w:rsid w:val="004048FD"/>
    <w:rsid w:val="00406A2E"/>
    <w:rsid w:val="00407F8C"/>
    <w:rsid w:val="00410051"/>
    <w:rsid w:val="00411FC9"/>
    <w:rsid w:val="00414DD1"/>
    <w:rsid w:val="004150AF"/>
    <w:rsid w:val="004157F8"/>
    <w:rsid w:val="00416838"/>
    <w:rsid w:val="00416F83"/>
    <w:rsid w:val="00417C75"/>
    <w:rsid w:val="004216A7"/>
    <w:rsid w:val="0042224B"/>
    <w:rsid w:val="00422266"/>
    <w:rsid w:val="00423ADA"/>
    <w:rsid w:val="00423B7C"/>
    <w:rsid w:val="00424083"/>
    <w:rsid w:val="00426010"/>
    <w:rsid w:val="004279EE"/>
    <w:rsid w:val="00427E06"/>
    <w:rsid w:val="00430FE7"/>
    <w:rsid w:val="00431E4A"/>
    <w:rsid w:val="0043208D"/>
    <w:rsid w:val="00432B1E"/>
    <w:rsid w:val="00433B01"/>
    <w:rsid w:val="0043550B"/>
    <w:rsid w:val="00435552"/>
    <w:rsid w:val="004407B2"/>
    <w:rsid w:val="0044103A"/>
    <w:rsid w:val="00441188"/>
    <w:rsid w:val="00441864"/>
    <w:rsid w:val="00444DE3"/>
    <w:rsid w:val="00445792"/>
    <w:rsid w:val="00446382"/>
    <w:rsid w:val="00447051"/>
    <w:rsid w:val="0044779E"/>
    <w:rsid w:val="00450FBA"/>
    <w:rsid w:val="00451C16"/>
    <w:rsid w:val="00452233"/>
    <w:rsid w:val="004545D0"/>
    <w:rsid w:val="0045556D"/>
    <w:rsid w:val="00456084"/>
    <w:rsid w:val="00461008"/>
    <w:rsid w:val="00462B2B"/>
    <w:rsid w:val="0046321A"/>
    <w:rsid w:val="004632FE"/>
    <w:rsid w:val="00464AF4"/>
    <w:rsid w:val="00466567"/>
    <w:rsid w:val="004673FE"/>
    <w:rsid w:val="00467FCB"/>
    <w:rsid w:val="00472688"/>
    <w:rsid w:val="0047395A"/>
    <w:rsid w:val="0048010B"/>
    <w:rsid w:val="0048075B"/>
    <w:rsid w:val="004819FD"/>
    <w:rsid w:val="00482EF6"/>
    <w:rsid w:val="0048354C"/>
    <w:rsid w:val="0048474D"/>
    <w:rsid w:val="004856FD"/>
    <w:rsid w:val="00485761"/>
    <w:rsid w:val="00485A31"/>
    <w:rsid w:val="00485DAD"/>
    <w:rsid w:val="004869C5"/>
    <w:rsid w:val="00487B9D"/>
    <w:rsid w:val="004920BD"/>
    <w:rsid w:val="00493026"/>
    <w:rsid w:val="0049390B"/>
    <w:rsid w:val="00494AA1"/>
    <w:rsid w:val="00494ABA"/>
    <w:rsid w:val="004952C9"/>
    <w:rsid w:val="004960E1"/>
    <w:rsid w:val="00497410"/>
    <w:rsid w:val="004A0EA0"/>
    <w:rsid w:val="004A1E4B"/>
    <w:rsid w:val="004A2045"/>
    <w:rsid w:val="004A37CA"/>
    <w:rsid w:val="004A4A68"/>
    <w:rsid w:val="004B2DC8"/>
    <w:rsid w:val="004B41DD"/>
    <w:rsid w:val="004B59B9"/>
    <w:rsid w:val="004B617E"/>
    <w:rsid w:val="004B7155"/>
    <w:rsid w:val="004B7174"/>
    <w:rsid w:val="004B7267"/>
    <w:rsid w:val="004C05C6"/>
    <w:rsid w:val="004C06C8"/>
    <w:rsid w:val="004C0AF1"/>
    <w:rsid w:val="004C0D5E"/>
    <w:rsid w:val="004C0F1C"/>
    <w:rsid w:val="004C38EA"/>
    <w:rsid w:val="004C4B78"/>
    <w:rsid w:val="004C617E"/>
    <w:rsid w:val="004C7A6F"/>
    <w:rsid w:val="004D02F7"/>
    <w:rsid w:val="004D063D"/>
    <w:rsid w:val="004D1FDA"/>
    <w:rsid w:val="004D21F9"/>
    <w:rsid w:val="004D30F0"/>
    <w:rsid w:val="004D3C2F"/>
    <w:rsid w:val="004D4FB5"/>
    <w:rsid w:val="004D7250"/>
    <w:rsid w:val="004E098F"/>
    <w:rsid w:val="004E1AB1"/>
    <w:rsid w:val="004E2F3D"/>
    <w:rsid w:val="004E45D7"/>
    <w:rsid w:val="004E522B"/>
    <w:rsid w:val="004E5491"/>
    <w:rsid w:val="004E6A59"/>
    <w:rsid w:val="004E73DE"/>
    <w:rsid w:val="004F0637"/>
    <w:rsid w:val="004F11B1"/>
    <w:rsid w:val="004F2FD9"/>
    <w:rsid w:val="004F30F4"/>
    <w:rsid w:val="004F3E7A"/>
    <w:rsid w:val="004F66A1"/>
    <w:rsid w:val="004F784A"/>
    <w:rsid w:val="004F7BE2"/>
    <w:rsid w:val="004F7DDA"/>
    <w:rsid w:val="0050135B"/>
    <w:rsid w:val="0050171D"/>
    <w:rsid w:val="00503E86"/>
    <w:rsid w:val="00512319"/>
    <w:rsid w:val="0051257F"/>
    <w:rsid w:val="00512BCE"/>
    <w:rsid w:val="00513815"/>
    <w:rsid w:val="00513AB3"/>
    <w:rsid w:val="005149A8"/>
    <w:rsid w:val="005149F6"/>
    <w:rsid w:val="00517866"/>
    <w:rsid w:val="005207F0"/>
    <w:rsid w:val="00520FC7"/>
    <w:rsid w:val="005229AE"/>
    <w:rsid w:val="0052377F"/>
    <w:rsid w:val="00523784"/>
    <w:rsid w:val="00524114"/>
    <w:rsid w:val="00524E0A"/>
    <w:rsid w:val="00526AB7"/>
    <w:rsid w:val="005271A7"/>
    <w:rsid w:val="00527234"/>
    <w:rsid w:val="0052727B"/>
    <w:rsid w:val="00527BD0"/>
    <w:rsid w:val="005300AE"/>
    <w:rsid w:val="005318F2"/>
    <w:rsid w:val="00532255"/>
    <w:rsid w:val="005361B2"/>
    <w:rsid w:val="005367A0"/>
    <w:rsid w:val="005414DB"/>
    <w:rsid w:val="00541961"/>
    <w:rsid w:val="005435DB"/>
    <w:rsid w:val="00545FAF"/>
    <w:rsid w:val="00546F56"/>
    <w:rsid w:val="00547437"/>
    <w:rsid w:val="0054764C"/>
    <w:rsid w:val="005510D5"/>
    <w:rsid w:val="0055131B"/>
    <w:rsid w:val="00552579"/>
    <w:rsid w:val="00552E47"/>
    <w:rsid w:val="0055357F"/>
    <w:rsid w:val="00553710"/>
    <w:rsid w:val="00561078"/>
    <w:rsid w:val="00561901"/>
    <w:rsid w:val="005627C3"/>
    <w:rsid w:val="00563BBF"/>
    <w:rsid w:val="0056630F"/>
    <w:rsid w:val="00566CBA"/>
    <w:rsid w:val="005672A6"/>
    <w:rsid w:val="00567511"/>
    <w:rsid w:val="00572807"/>
    <w:rsid w:val="00573A76"/>
    <w:rsid w:val="00574CD1"/>
    <w:rsid w:val="0057514D"/>
    <w:rsid w:val="00575CAD"/>
    <w:rsid w:val="00576050"/>
    <w:rsid w:val="00576D6D"/>
    <w:rsid w:val="00581172"/>
    <w:rsid w:val="00582205"/>
    <w:rsid w:val="005837C1"/>
    <w:rsid w:val="00583906"/>
    <w:rsid w:val="00585643"/>
    <w:rsid w:val="005877BA"/>
    <w:rsid w:val="00587A9B"/>
    <w:rsid w:val="0059247F"/>
    <w:rsid w:val="00595289"/>
    <w:rsid w:val="005A1EA5"/>
    <w:rsid w:val="005A2CFB"/>
    <w:rsid w:val="005A343A"/>
    <w:rsid w:val="005A5652"/>
    <w:rsid w:val="005A6C0B"/>
    <w:rsid w:val="005A6E57"/>
    <w:rsid w:val="005A7214"/>
    <w:rsid w:val="005A75C8"/>
    <w:rsid w:val="005B007C"/>
    <w:rsid w:val="005B0787"/>
    <w:rsid w:val="005B0EC9"/>
    <w:rsid w:val="005B18F6"/>
    <w:rsid w:val="005B27F9"/>
    <w:rsid w:val="005B4A31"/>
    <w:rsid w:val="005B665D"/>
    <w:rsid w:val="005C0F60"/>
    <w:rsid w:val="005C1277"/>
    <w:rsid w:val="005C2A52"/>
    <w:rsid w:val="005C3F9C"/>
    <w:rsid w:val="005C3FB2"/>
    <w:rsid w:val="005C4577"/>
    <w:rsid w:val="005C6864"/>
    <w:rsid w:val="005C7800"/>
    <w:rsid w:val="005C7C45"/>
    <w:rsid w:val="005D2A2F"/>
    <w:rsid w:val="005D2BC7"/>
    <w:rsid w:val="005D2F0D"/>
    <w:rsid w:val="005D36FE"/>
    <w:rsid w:val="005D4708"/>
    <w:rsid w:val="005D51FD"/>
    <w:rsid w:val="005E21C5"/>
    <w:rsid w:val="005E2E1E"/>
    <w:rsid w:val="005E391F"/>
    <w:rsid w:val="005E53BD"/>
    <w:rsid w:val="005E6D21"/>
    <w:rsid w:val="005F02C8"/>
    <w:rsid w:val="005F0607"/>
    <w:rsid w:val="005F1B44"/>
    <w:rsid w:val="005F41CD"/>
    <w:rsid w:val="00600969"/>
    <w:rsid w:val="0060410A"/>
    <w:rsid w:val="006055EC"/>
    <w:rsid w:val="00605D6F"/>
    <w:rsid w:val="0060750B"/>
    <w:rsid w:val="00610274"/>
    <w:rsid w:val="006129E8"/>
    <w:rsid w:val="00612B59"/>
    <w:rsid w:val="00614656"/>
    <w:rsid w:val="00614A18"/>
    <w:rsid w:val="00614BB9"/>
    <w:rsid w:val="00615DAB"/>
    <w:rsid w:val="00617DD0"/>
    <w:rsid w:val="0062277D"/>
    <w:rsid w:val="00623E0D"/>
    <w:rsid w:val="00624442"/>
    <w:rsid w:val="00625BCC"/>
    <w:rsid w:val="00626CCB"/>
    <w:rsid w:val="00632737"/>
    <w:rsid w:val="00632C5B"/>
    <w:rsid w:val="00634E7F"/>
    <w:rsid w:val="00636425"/>
    <w:rsid w:val="00636BF7"/>
    <w:rsid w:val="00637997"/>
    <w:rsid w:val="00637ADD"/>
    <w:rsid w:val="006409CD"/>
    <w:rsid w:val="006426C3"/>
    <w:rsid w:val="0064317E"/>
    <w:rsid w:val="00647E9A"/>
    <w:rsid w:val="00652F48"/>
    <w:rsid w:val="00653619"/>
    <w:rsid w:val="00653AB8"/>
    <w:rsid w:val="00653FD2"/>
    <w:rsid w:val="006578CB"/>
    <w:rsid w:val="00664698"/>
    <w:rsid w:val="00667C91"/>
    <w:rsid w:val="0067085D"/>
    <w:rsid w:val="00670E55"/>
    <w:rsid w:val="00671BF8"/>
    <w:rsid w:val="0067399F"/>
    <w:rsid w:val="00673D58"/>
    <w:rsid w:val="00674037"/>
    <w:rsid w:val="00674373"/>
    <w:rsid w:val="00674687"/>
    <w:rsid w:val="00676C02"/>
    <w:rsid w:val="00677551"/>
    <w:rsid w:val="006776DA"/>
    <w:rsid w:val="006801F3"/>
    <w:rsid w:val="00680BE7"/>
    <w:rsid w:val="0068100A"/>
    <w:rsid w:val="006816C3"/>
    <w:rsid w:val="00681AD7"/>
    <w:rsid w:val="00681E2C"/>
    <w:rsid w:val="0068231F"/>
    <w:rsid w:val="0068249E"/>
    <w:rsid w:val="00685FB4"/>
    <w:rsid w:val="0069177F"/>
    <w:rsid w:val="006918DF"/>
    <w:rsid w:val="00691909"/>
    <w:rsid w:val="00693E15"/>
    <w:rsid w:val="0069444D"/>
    <w:rsid w:val="00694C58"/>
    <w:rsid w:val="00695935"/>
    <w:rsid w:val="00695968"/>
    <w:rsid w:val="006968E9"/>
    <w:rsid w:val="006970FC"/>
    <w:rsid w:val="006971B8"/>
    <w:rsid w:val="00697455"/>
    <w:rsid w:val="00697891"/>
    <w:rsid w:val="006A04F7"/>
    <w:rsid w:val="006A08BB"/>
    <w:rsid w:val="006A0FBB"/>
    <w:rsid w:val="006A127E"/>
    <w:rsid w:val="006A1CA7"/>
    <w:rsid w:val="006A32E5"/>
    <w:rsid w:val="006A36AF"/>
    <w:rsid w:val="006A4993"/>
    <w:rsid w:val="006A5E0A"/>
    <w:rsid w:val="006A7A8C"/>
    <w:rsid w:val="006B06F7"/>
    <w:rsid w:val="006B0EAF"/>
    <w:rsid w:val="006B20B3"/>
    <w:rsid w:val="006B41B4"/>
    <w:rsid w:val="006B5A52"/>
    <w:rsid w:val="006B649A"/>
    <w:rsid w:val="006B7366"/>
    <w:rsid w:val="006B77DD"/>
    <w:rsid w:val="006C0395"/>
    <w:rsid w:val="006C0413"/>
    <w:rsid w:val="006C110E"/>
    <w:rsid w:val="006C51BE"/>
    <w:rsid w:val="006C6A7B"/>
    <w:rsid w:val="006D03EA"/>
    <w:rsid w:val="006E1AE0"/>
    <w:rsid w:val="006E241C"/>
    <w:rsid w:val="006E280C"/>
    <w:rsid w:val="006E28BC"/>
    <w:rsid w:val="006E2A63"/>
    <w:rsid w:val="006E3575"/>
    <w:rsid w:val="006E5128"/>
    <w:rsid w:val="006F1D13"/>
    <w:rsid w:val="006F2712"/>
    <w:rsid w:val="006F2734"/>
    <w:rsid w:val="006F58FE"/>
    <w:rsid w:val="006F6CAD"/>
    <w:rsid w:val="006F6D1E"/>
    <w:rsid w:val="00705827"/>
    <w:rsid w:val="007058AF"/>
    <w:rsid w:val="00706279"/>
    <w:rsid w:val="0070784E"/>
    <w:rsid w:val="00707AB4"/>
    <w:rsid w:val="00711A11"/>
    <w:rsid w:val="00711C9F"/>
    <w:rsid w:val="00711D07"/>
    <w:rsid w:val="0071231D"/>
    <w:rsid w:val="00713DA9"/>
    <w:rsid w:val="0071732F"/>
    <w:rsid w:val="007178C0"/>
    <w:rsid w:val="00717B7C"/>
    <w:rsid w:val="00717F35"/>
    <w:rsid w:val="007225F3"/>
    <w:rsid w:val="00722836"/>
    <w:rsid w:val="00722B20"/>
    <w:rsid w:val="00722D70"/>
    <w:rsid w:val="00723BCC"/>
    <w:rsid w:val="0072400F"/>
    <w:rsid w:val="0072628D"/>
    <w:rsid w:val="0072737A"/>
    <w:rsid w:val="00730362"/>
    <w:rsid w:val="007315E3"/>
    <w:rsid w:val="00731F78"/>
    <w:rsid w:val="0073267A"/>
    <w:rsid w:val="007327CB"/>
    <w:rsid w:val="00734CBE"/>
    <w:rsid w:val="007359A7"/>
    <w:rsid w:val="00736423"/>
    <w:rsid w:val="00736554"/>
    <w:rsid w:val="007365ED"/>
    <w:rsid w:val="0074356F"/>
    <w:rsid w:val="00744DB4"/>
    <w:rsid w:val="007463F1"/>
    <w:rsid w:val="00746546"/>
    <w:rsid w:val="00746B0B"/>
    <w:rsid w:val="007501B6"/>
    <w:rsid w:val="007514A8"/>
    <w:rsid w:val="00753690"/>
    <w:rsid w:val="00754C9B"/>
    <w:rsid w:val="00755956"/>
    <w:rsid w:val="00756516"/>
    <w:rsid w:val="00757FF7"/>
    <w:rsid w:val="00760814"/>
    <w:rsid w:val="00762000"/>
    <w:rsid w:val="00762384"/>
    <w:rsid w:val="00765036"/>
    <w:rsid w:val="007654F4"/>
    <w:rsid w:val="007676AB"/>
    <w:rsid w:val="0077000D"/>
    <w:rsid w:val="007700DA"/>
    <w:rsid w:val="00771BC1"/>
    <w:rsid w:val="007732C8"/>
    <w:rsid w:val="00776E22"/>
    <w:rsid w:val="007808DD"/>
    <w:rsid w:val="00780CDF"/>
    <w:rsid w:val="007846BD"/>
    <w:rsid w:val="00785434"/>
    <w:rsid w:val="007858B9"/>
    <w:rsid w:val="00785BAC"/>
    <w:rsid w:val="00785FBF"/>
    <w:rsid w:val="007863D8"/>
    <w:rsid w:val="007867F7"/>
    <w:rsid w:val="00786A36"/>
    <w:rsid w:val="007870B3"/>
    <w:rsid w:val="00790D90"/>
    <w:rsid w:val="007918BD"/>
    <w:rsid w:val="007939DF"/>
    <w:rsid w:val="00793A3C"/>
    <w:rsid w:val="00793F62"/>
    <w:rsid w:val="007A0620"/>
    <w:rsid w:val="007A18FB"/>
    <w:rsid w:val="007A2FF6"/>
    <w:rsid w:val="007A4F11"/>
    <w:rsid w:val="007B078E"/>
    <w:rsid w:val="007B30FC"/>
    <w:rsid w:val="007B5158"/>
    <w:rsid w:val="007B6CED"/>
    <w:rsid w:val="007B7B17"/>
    <w:rsid w:val="007C1815"/>
    <w:rsid w:val="007C1BE7"/>
    <w:rsid w:val="007C2716"/>
    <w:rsid w:val="007C4511"/>
    <w:rsid w:val="007C456E"/>
    <w:rsid w:val="007C519D"/>
    <w:rsid w:val="007C5BCE"/>
    <w:rsid w:val="007C625F"/>
    <w:rsid w:val="007D2D22"/>
    <w:rsid w:val="007D3030"/>
    <w:rsid w:val="007D3B09"/>
    <w:rsid w:val="007D6C99"/>
    <w:rsid w:val="007E0D78"/>
    <w:rsid w:val="007E203C"/>
    <w:rsid w:val="007E3773"/>
    <w:rsid w:val="007E7BA3"/>
    <w:rsid w:val="007E7D03"/>
    <w:rsid w:val="007F32D5"/>
    <w:rsid w:val="007F32F3"/>
    <w:rsid w:val="007F6091"/>
    <w:rsid w:val="007F6672"/>
    <w:rsid w:val="007F6887"/>
    <w:rsid w:val="007F710F"/>
    <w:rsid w:val="00800FB4"/>
    <w:rsid w:val="00801589"/>
    <w:rsid w:val="0080362F"/>
    <w:rsid w:val="00804440"/>
    <w:rsid w:val="00806776"/>
    <w:rsid w:val="00806966"/>
    <w:rsid w:val="00806FFB"/>
    <w:rsid w:val="0081134A"/>
    <w:rsid w:val="00811663"/>
    <w:rsid w:val="00811CD1"/>
    <w:rsid w:val="00811DD1"/>
    <w:rsid w:val="00812092"/>
    <w:rsid w:val="00813987"/>
    <w:rsid w:val="00813B8F"/>
    <w:rsid w:val="00814A54"/>
    <w:rsid w:val="00814DC0"/>
    <w:rsid w:val="0081777E"/>
    <w:rsid w:val="00823138"/>
    <w:rsid w:val="0082375B"/>
    <w:rsid w:val="008246E8"/>
    <w:rsid w:val="00824E9E"/>
    <w:rsid w:val="00827187"/>
    <w:rsid w:val="00830F14"/>
    <w:rsid w:val="008319CC"/>
    <w:rsid w:val="00832497"/>
    <w:rsid w:val="0083387E"/>
    <w:rsid w:val="008346D4"/>
    <w:rsid w:val="00835300"/>
    <w:rsid w:val="008355F7"/>
    <w:rsid w:val="00835B35"/>
    <w:rsid w:val="00840CDE"/>
    <w:rsid w:val="0084191F"/>
    <w:rsid w:val="00842A51"/>
    <w:rsid w:val="008443DC"/>
    <w:rsid w:val="008444E7"/>
    <w:rsid w:val="00845199"/>
    <w:rsid w:val="00845666"/>
    <w:rsid w:val="00845F90"/>
    <w:rsid w:val="008470A7"/>
    <w:rsid w:val="0084758C"/>
    <w:rsid w:val="0085347B"/>
    <w:rsid w:val="00853EC1"/>
    <w:rsid w:val="00854FB7"/>
    <w:rsid w:val="008579AE"/>
    <w:rsid w:val="008600B3"/>
    <w:rsid w:val="008601D5"/>
    <w:rsid w:val="00860420"/>
    <w:rsid w:val="00860C8A"/>
    <w:rsid w:val="008617B6"/>
    <w:rsid w:val="00862AE9"/>
    <w:rsid w:val="0086428B"/>
    <w:rsid w:val="0086607B"/>
    <w:rsid w:val="008661E6"/>
    <w:rsid w:val="0087078F"/>
    <w:rsid w:val="00871431"/>
    <w:rsid w:val="00872DFE"/>
    <w:rsid w:val="00875E7E"/>
    <w:rsid w:val="00876394"/>
    <w:rsid w:val="00877324"/>
    <w:rsid w:val="00882B1D"/>
    <w:rsid w:val="00884793"/>
    <w:rsid w:val="00885CE2"/>
    <w:rsid w:val="00885E90"/>
    <w:rsid w:val="008916D7"/>
    <w:rsid w:val="00895510"/>
    <w:rsid w:val="00896CC3"/>
    <w:rsid w:val="0089728D"/>
    <w:rsid w:val="0089746A"/>
    <w:rsid w:val="00897957"/>
    <w:rsid w:val="008A2478"/>
    <w:rsid w:val="008A2E30"/>
    <w:rsid w:val="008A3B9D"/>
    <w:rsid w:val="008A4335"/>
    <w:rsid w:val="008A4A1F"/>
    <w:rsid w:val="008B50F7"/>
    <w:rsid w:val="008B5916"/>
    <w:rsid w:val="008B6192"/>
    <w:rsid w:val="008B63C5"/>
    <w:rsid w:val="008B6C9C"/>
    <w:rsid w:val="008B743C"/>
    <w:rsid w:val="008C12A6"/>
    <w:rsid w:val="008C2702"/>
    <w:rsid w:val="008C40DC"/>
    <w:rsid w:val="008C42DB"/>
    <w:rsid w:val="008C6E4D"/>
    <w:rsid w:val="008C736E"/>
    <w:rsid w:val="008D3F7F"/>
    <w:rsid w:val="008D4AB4"/>
    <w:rsid w:val="008D562E"/>
    <w:rsid w:val="008D6CA3"/>
    <w:rsid w:val="008E04B1"/>
    <w:rsid w:val="008E0FED"/>
    <w:rsid w:val="008E4668"/>
    <w:rsid w:val="008E7BCC"/>
    <w:rsid w:val="008E7FB0"/>
    <w:rsid w:val="008F07F8"/>
    <w:rsid w:val="008F09A7"/>
    <w:rsid w:val="008F2174"/>
    <w:rsid w:val="008F217D"/>
    <w:rsid w:val="008F281C"/>
    <w:rsid w:val="008F3056"/>
    <w:rsid w:val="008F5A37"/>
    <w:rsid w:val="008F6BAD"/>
    <w:rsid w:val="0090014E"/>
    <w:rsid w:val="00900820"/>
    <w:rsid w:val="009013A2"/>
    <w:rsid w:val="00901900"/>
    <w:rsid w:val="00901FD1"/>
    <w:rsid w:val="00903477"/>
    <w:rsid w:val="009036E2"/>
    <w:rsid w:val="00904AE8"/>
    <w:rsid w:val="00904CB4"/>
    <w:rsid w:val="00906873"/>
    <w:rsid w:val="00906D9E"/>
    <w:rsid w:val="00911E90"/>
    <w:rsid w:val="00912406"/>
    <w:rsid w:val="00914944"/>
    <w:rsid w:val="00914ED4"/>
    <w:rsid w:val="009152A2"/>
    <w:rsid w:val="009154BC"/>
    <w:rsid w:val="00915CFC"/>
    <w:rsid w:val="009164C8"/>
    <w:rsid w:val="00916658"/>
    <w:rsid w:val="00917A54"/>
    <w:rsid w:val="00922813"/>
    <w:rsid w:val="009250E9"/>
    <w:rsid w:val="009316C3"/>
    <w:rsid w:val="009317C8"/>
    <w:rsid w:val="00932633"/>
    <w:rsid w:val="00932864"/>
    <w:rsid w:val="00932A92"/>
    <w:rsid w:val="00933D91"/>
    <w:rsid w:val="00934E25"/>
    <w:rsid w:val="00936759"/>
    <w:rsid w:val="00941FDD"/>
    <w:rsid w:val="009448F9"/>
    <w:rsid w:val="0094496A"/>
    <w:rsid w:val="00944B6D"/>
    <w:rsid w:val="009453D6"/>
    <w:rsid w:val="0094561A"/>
    <w:rsid w:val="009461E6"/>
    <w:rsid w:val="00946A0B"/>
    <w:rsid w:val="00952A8B"/>
    <w:rsid w:val="00953357"/>
    <w:rsid w:val="00953BF0"/>
    <w:rsid w:val="00954524"/>
    <w:rsid w:val="009559D3"/>
    <w:rsid w:val="00956997"/>
    <w:rsid w:val="00957E30"/>
    <w:rsid w:val="00960408"/>
    <w:rsid w:val="00960F36"/>
    <w:rsid w:val="00962955"/>
    <w:rsid w:val="00962EFB"/>
    <w:rsid w:val="00964B14"/>
    <w:rsid w:val="0096633C"/>
    <w:rsid w:val="00966B17"/>
    <w:rsid w:val="00966F0E"/>
    <w:rsid w:val="009715E8"/>
    <w:rsid w:val="009716DD"/>
    <w:rsid w:val="00971E17"/>
    <w:rsid w:val="0097298D"/>
    <w:rsid w:val="00973043"/>
    <w:rsid w:val="00974296"/>
    <w:rsid w:val="00975661"/>
    <w:rsid w:val="0097753C"/>
    <w:rsid w:val="009842F5"/>
    <w:rsid w:val="00984933"/>
    <w:rsid w:val="0098613C"/>
    <w:rsid w:val="00986850"/>
    <w:rsid w:val="00987805"/>
    <w:rsid w:val="00987DC3"/>
    <w:rsid w:val="00991E0F"/>
    <w:rsid w:val="00992C84"/>
    <w:rsid w:val="009940A1"/>
    <w:rsid w:val="00994306"/>
    <w:rsid w:val="0099616A"/>
    <w:rsid w:val="0099637C"/>
    <w:rsid w:val="009A1D95"/>
    <w:rsid w:val="009A307A"/>
    <w:rsid w:val="009A4C86"/>
    <w:rsid w:val="009A4EF0"/>
    <w:rsid w:val="009A79B8"/>
    <w:rsid w:val="009B0563"/>
    <w:rsid w:val="009B0B37"/>
    <w:rsid w:val="009B0CAE"/>
    <w:rsid w:val="009B212A"/>
    <w:rsid w:val="009B5589"/>
    <w:rsid w:val="009C02F4"/>
    <w:rsid w:val="009C0637"/>
    <w:rsid w:val="009C3C49"/>
    <w:rsid w:val="009C5460"/>
    <w:rsid w:val="009C57FD"/>
    <w:rsid w:val="009C598D"/>
    <w:rsid w:val="009C5FB7"/>
    <w:rsid w:val="009C6281"/>
    <w:rsid w:val="009C7FC2"/>
    <w:rsid w:val="009D0E41"/>
    <w:rsid w:val="009D16AF"/>
    <w:rsid w:val="009D24DE"/>
    <w:rsid w:val="009D57FF"/>
    <w:rsid w:val="009D6D6F"/>
    <w:rsid w:val="009D7EC8"/>
    <w:rsid w:val="009E011A"/>
    <w:rsid w:val="009E0A43"/>
    <w:rsid w:val="009E21B8"/>
    <w:rsid w:val="009E2787"/>
    <w:rsid w:val="009E2D72"/>
    <w:rsid w:val="009F03B0"/>
    <w:rsid w:val="009F3A6C"/>
    <w:rsid w:val="009F3C0C"/>
    <w:rsid w:val="009F44A6"/>
    <w:rsid w:val="009F4523"/>
    <w:rsid w:val="009F4693"/>
    <w:rsid w:val="009F4DB7"/>
    <w:rsid w:val="009F51D7"/>
    <w:rsid w:val="009F5313"/>
    <w:rsid w:val="00A00EA5"/>
    <w:rsid w:val="00A00FCC"/>
    <w:rsid w:val="00A012C2"/>
    <w:rsid w:val="00A0196B"/>
    <w:rsid w:val="00A01D80"/>
    <w:rsid w:val="00A0215A"/>
    <w:rsid w:val="00A02C40"/>
    <w:rsid w:val="00A040E2"/>
    <w:rsid w:val="00A04811"/>
    <w:rsid w:val="00A073F2"/>
    <w:rsid w:val="00A075AC"/>
    <w:rsid w:val="00A07AEC"/>
    <w:rsid w:val="00A07CB2"/>
    <w:rsid w:val="00A1251C"/>
    <w:rsid w:val="00A12838"/>
    <w:rsid w:val="00A14B79"/>
    <w:rsid w:val="00A16DAB"/>
    <w:rsid w:val="00A17323"/>
    <w:rsid w:val="00A259EC"/>
    <w:rsid w:val="00A31F8C"/>
    <w:rsid w:val="00A320C8"/>
    <w:rsid w:val="00A3287C"/>
    <w:rsid w:val="00A35ADE"/>
    <w:rsid w:val="00A36C2D"/>
    <w:rsid w:val="00A4161F"/>
    <w:rsid w:val="00A428FF"/>
    <w:rsid w:val="00A43EA4"/>
    <w:rsid w:val="00A44223"/>
    <w:rsid w:val="00A46595"/>
    <w:rsid w:val="00A476DB"/>
    <w:rsid w:val="00A47EF4"/>
    <w:rsid w:val="00A514A4"/>
    <w:rsid w:val="00A52217"/>
    <w:rsid w:val="00A53AB9"/>
    <w:rsid w:val="00A53E93"/>
    <w:rsid w:val="00A53FF3"/>
    <w:rsid w:val="00A547AF"/>
    <w:rsid w:val="00A54D42"/>
    <w:rsid w:val="00A55787"/>
    <w:rsid w:val="00A56AB6"/>
    <w:rsid w:val="00A57EAA"/>
    <w:rsid w:val="00A6062F"/>
    <w:rsid w:val="00A60ED4"/>
    <w:rsid w:val="00A612CA"/>
    <w:rsid w:val="00A6390B"/>
    <w:rsid w:val="00A6666B"/>
    <w:rsid w:val="00A670EF"/>
    <w:rsid w:val="00A676E8"/>
    <w:rsid w:val="00A67E2D"/>
    <w:rsid w:val="00A707DC"/>
    <w:rsid w:val="00A71C5A"/>
    <w:rsid w:val="00A71CE4"/>
    <w:rsid w:val="00A7406D"/>
    <w:rsid w:val="00A743EE"/>
    <w:rsid w:val="00A77640"/>
    <w:rsid w:val="00A82BEE"/>
    <w:rsid w:val="00A83A9D"/>
    <w:rsid w:val="00A83E21"/>
    <w:rsid w:val="00A842CC"/>
    <w:rsid w:val="00A846FF"/>
    <w:rsid w:val="00A84BD5"/>
    <w:rsid w:val="00A86BFA"/>
    <w:rsid w:val="00A87806"/>
    <w:rsid w:val="00A9266D"/>
    <w:rsid w:val="00A95578"/>
    <w:rsid w:val="00A965C5"/>
    <w:rsid w:val="00A96913"/>
    <w:rsid w:val="00A971E4"/>
    <w:rsid w:val="00AA06F0"/>
    <w:rsid w:val="00AA1CF1"/>
    <w:rsid w:val="00AA3291"/>
    <w:rsid w:val="00AA4385"/>
    <w:rsid w:val="00AA51C9"/>
    <w:rsid w:val="00AA6439"/>
    <w:rsid w:val="00AB0979"/>
    <w:rsid w:val="00AB2998"/>
    <w:rsid w:val="00AB3169"/>
    <w:rsid w:val="00AB3362"/>
    <w:rsid w:val="00AB3A02"/>
    <w:rsid w:val="00AB3E1D"/>
    <w:rsid w:val="00AB5AEC"/>
    <w:rsid w:val="00AB6B77"/>
    <w:rsid w:val="00AC0DC7"/>
    <w:rsid w:val="00AC16B5"/>
    <w:rsid w:val="00AC1AD9"/>
    <w:rsid w:val="00AC1CDF"/>
    <w:rsid w:val="00AC2D5D"/>
    <w:rsid w:val="00AC35EB"/>
    <w:rsid w:val="00AC413F"/>
    <w:rsid w:val="00AC45A5"/>
    <w:rsid w:val="00AC5C20"/>
    <w:rsid w:val="00AC6E83"/>
    <w:rsid w:val="00AC74B0"/>
    <w:rsid w:val="00AD0881"/>
    <w:rsid w:val="00AD1123"/>
    <w:rsid w:val="00AD1AC3"/>
    <w:rsid w:val="00AD233D"/>
    <w:rsid w:val="00AD290D"/>
    <w:rsid w:val="00AD6A8B"/>
    <w:rsid w:val="00AE0372"/>
    <w:rsid w:val="00AE0DE6"/>
    <w:rsid w:val="00AE29F1"/>
    <w:rsid w:val="00AE35F8"/>
    <w:rsid w:val="00AE4D5E"/>
    <w:rsid w:val="00AE5CAF"/>
    <w:rsid w:val="00AE63F6"/>
    <w:rsid w:val="00AF1C0D"/>
    <w:rsid w:val="00AF1E9C"/>
    <w:rsid w:val="00AF1EBE"/>
    <w:rsid w:val="00AF3662"/>
    <w:rsid w:val="00AF3B37"/>
    <w:rsid w:val="00AF47F9"/>
    <w:rsid w:val="00AF4AB7"/>
    <w:rsid w:val="00AF54B5"/>
    <w:rsid w:val="00AF5827"/>
    <w:rsid w:val="00AF7799"/>
    <w:rsid w:val="00AF7C1D"/>
    <w:rsid w:val="00AF7E55"/>
    <w:rsid w:val="00B0187A"/>
    <w:rsid w:val="00B02228"/>
    <w:rsid w:val="00B03210"/>
    <w:rsid w:val="00B04024"/>
    <w:rsid w:val="00B0528A"/>
    <w:rsid w:val="00B06683"/>
    <w:rsid w:val="00B06B72"/>
    <w:rsid w:val="00B07ACC"/>
    <w:rsid w:val="00B07B76"/>
    <w:rsid w:val="00B120E1"/>
    <w:rsid w:val="00B15F66"/>
    <w:rsid w:val="00B1705C"/>
    <w:rsid w:val="00B178CB"/>
    <w:rsid w:val="00B178EB"/>
    <w:rsid w:val="00B207F3"/>
    <w:rsid w:val="00B21386"/>
    <w:rsid w:val="00B2155D"/>
    <w:rsid w:val="00B218CB"/>
    <w:rsid w:val="00B228F3"/>
    <w:rsid w:val="00B234F3"/>
    <w:rsid w:val="00B2384B"/>
    <w:rsid w:val="00B2458A"/>
    <w:rsid w:val="00B271C4"/>
    <w:rsid w:val="00B276E3"/>
    <w:rsid w:val="00B3065D"/>
    <w:rsid w:val="00B321E5"/>
    <w:rsid w:val="00B324AC"/>
    <w:rsid w:val="00B32899"/>
    <w:rsid w:val="00B33697"/>
    <w:rsid w:val="00B33946"/>
    <w:rsid w:val="00B3404F"/>
    <w:rsid w:val="00B344FD"/>
    <w:rsid w:val="00B361BE"/>
    <w:rsid w:val="00B36CD6"/>
    <w:rsid w:val="00B409AF"/>
    <w:rsid w:val="00B41979"/>
    <w:rsid w:val="00B41F00"/>
    <w:rsid w:val="00B440A2"/>
    <w:rsid w:val="00B441CD"/>
    <w:rsid w:val="00B44C2E"/>
    <w:rsid w:val="00B464FC"/>
    <w:rsid w:val="00B47773"/>
    <w:rsid w:val="00B51A66"/>
    <w:rsid w:val="00B52696"/>
    <w:rsid w:val="00B54EB9"/>
    <w:rsid w:val="00B60DA5"/>
    <w:rsid w:val="00B620C1"/>
    <w:rsid w:val="00B621D2"/>
    <w:rsid w:val="00B67116"/>
    <w:rsid w:val="00B67ED9"/>
    <w:rsid w:val="00B70C45"/>
    <w:rsid w:val="00B7106D"/>
    <w:rsid w:val="00B713D3"/>
    <w:rsid w:val="00B732C9"/>
    <w:rsid w:val="00B73749"/>
    <w:rsid w:val="00B73A56"/>
    <w:rsid w:val="00B73A65"/>
    <w:rsid w:val="00B73C9E"/>
    <w:rsid w:val="00B742BB"/>
    <w:rsid w:val="00B74B83"/>
    <w:rsid w:val="00B763F4"/>
    <w:rsid w:val="00B80D6C"/>
    <w:rsid w:val="00B829C1"/>
    <w:rsid w:val="00B82CB3"/>
    <w:rsid w:val="00B834FC"/>
    <w:rsid w:val="00B83A61"/>
    <w:rsid w:val="00B8673A"/>
    <w:rsid w:val="00B8714E"/>
    <w:rsid w:val="00B873FD"/>
    <w:rsid w:val="00B876CD"/>
    <w:rsid w:val="00B90AC5"/>
    <w:rsid w:val="00B91746"/>
    <w:rsid w:val="00B91A39"/>
    <w:rsid w:val="00B94116"/>
    <w:rsid w:val="00B96A79"/>
    <w:rsid w:val="00B9764E"/>
    <w:rsid w:val="00BA0CB7"/>
    <w:rsid w:val="00BA1537"/>
    <w:rsid w:val="00BA3132"/>
    <w:rsid w:val="00BA62FF"/>
    <w:rsid w:val="00BB27D0"/>
    <w:rsid w:val="00BB28FD"/>
    <w:rsid w:val="00BB4740"/>
    <w:rsid w:val="00BB57E3"/>
    <w:rsid w:val="00BB590E"/>
    <w:rsid w:val="00BB6A40"/>
    <w:rsid w:val="00BB73BC"/>
    <w:rsid w:val="00BB7826"/>
    <w:rsid w:val="00BB7E71"/>
    <w:rsid w:val="00BC0DC4"/>
    <w:rsid w:val="00BC1536"/>
    <w:rsid w:val="00BC225F"/>
    <w:rsid w:val="00BC2DBA"/>
    <w:rsid w:val="00BC5D8E"/>
    <w:rsid w:val="00BC5FD1"/>
    <w:rsid w:val="00BD40E4"/>
    <w:rsid w:val="00BD61D9"/>
    <w:rsid w:val="00BD652E"/>
    <w:rsid w:val="00BD6923"/>
    <w:rsid w:val="00BD7DAE"/>
    <w:rsid w:val="00BE1EB2"/>
    <w:rsid w:val="00BE56A8"/>
    <w:rsid w:val="00BE641B"/>
    <w:rsid w:val="00BE6FDA"/>
    <w:rsid w:val="00BE7534"/>
    <w:rsid w:val="00BE7594"/>
    <w:rsid w:val="00BF1053"/>
    <w:rsid w:val="00BF13E0"/>
    <w:rsid w:val="00BF1674"/>
    <w:rsid w:val="00BF333C"/>
    <w:rsid w:val="00BF33F6"/>
    <w:rsid w:val="00BF3CFA"/>
    <w:rsid w:val="00BF5EBE"/>
    <w:rsid w:val="00BF7515"/>
    <w:rsid w:val="00C01AA2"/>
    <w:rsid w:val="00C01D2E"/>
    <w:rsid w:val="00C01D91"/>
    <w:rsid w:val="00C021E5"/>
    <w:rsid w:val="00C02769"/>
    <w:rsid w:val="00C0292E"/>
    <w:rsid w:val="00C03213"/>
    <w:rsid w:val="00C03BCE"/>
    <w:rsid w:val="00C05FF7"/>
    <w:rsid w:val="00C06FA8"/>
    <w:rsid w:val="00C12194"/>
    <w:rsid w:val="00C1266C"/>
    <w:rsid w:val="00C15D9A"/>
    <w:rsid w:val="00C16350"/>
    <w:rsid w:val="00C1682A"/>
    <w:rsid w:val="00C175F4"/>
    <w:rsid w:val="00C214C4"/>
    <w:rsid w:val="00C22075"/>
    <w:rsid w:val="00C22417"/>
    <w:rsid w:val="00C229EE"/>
    <w:rsid w:val="00C23F5F"/>
    <w:rsid w:val="00C24500"/>
    <w:rsid w:val="00C25009"/>
    <w:rsid w:val="00C254C0"/>
    <w:rsid w:val="00C262C0"/>
    <w:rsid w:val="00C275F5"/>
    <w:rsid w:val="00C31667"/>
    <w:rsid w:val="00C32DE3"/>
    <w:rsid w:val="00C35133"/>
    <w:rsid w:val="00C35334"/>
    <w:rsid w:val="00C36F18"/>
    <w:rsid w:val="00C37516"/>
    <w:rsid w:val="00C37AAC"/>
    <w:rsid w:val="00C37B8E"/>
    <w:rsid w:val="00C4128C"/>
    <w:rsid w:val="00C42B59"/>
    <w:rsid w:val="00C500CA"/>
    <w:rsid w:val="00C552AE"/>
    <w:rsid w:val="00C55FBA"/>
    <w:rsid w:val="00C573C2"/>
    <w:rsid w:val="00C575D9"/>
    <w:rsid w:val="00C6155D"/>
    <w:rsid w:val="00C62C7F"/>
    <w:rsid w:val="00C634B3"/>
    <w:rsid w:val="00C637F6"/>
    <w:rsid w:val="00C65D95"/>
    <w:rsid w:val="00C661B8"/>
    <w:rsid w:val="00C662BE"/>
    <w:rsid w:val="00C664BE"/>
    <w:rsid w:val="00C66E69"/>
    <w:rsid w:val="00C67880"/>
    <w:rsid w:val="00C678E4"/>
    <w:rsid w:val="00C67916"/>
    <w:rsid w:val="00C70D75"/>
    <w:rsid w:val="00C7215D"/>
    <w:rsid w:val="00C72995"/>
    <w:rsid w:val="00C72D37"/>
    <w:rsid w:val="00C732DC"/>
    <w:rsid w:val="00C7365A"/>
    <w:rsid w:val="00C75941"/>
    <w:rsid w:val="00C80F57"/>
    <w:rsid w:val="00C81534"/>
    <w:rsid w:val="00C81B59"/>
    <w:rsid w:val="00C8297E"/>
    <w:rsid w:val="00C82ED1"/>
    <w:rsid w:val="00C83534"/>
    <w:rsid w:val="00C8360A"/>
    <w:rsid w:val="00C841E5"/>
    <w:rsid w:val="00C85F71"/>
    <w:rsid w:val="00C90502"/>
    <w:rsid w:val="00C916F0"/>
    <w:rsid w:val="00C91F24"/>
    <w:rsid w:val="00C93C78"/>
    <w:rsid w:val="00C9466B"/>
    <w:rsid w:val="00C950F9"/>
    <w:rsid w:val="00C95A10"/>
    <w:rsid w:val="00C96DDE"/>
    <w:rsid w:val="00C97CE8"/>
    <w:rsid w:val="00CA0395"/>
    <w:rsid w:val="00CA0AE4"/>
    <w:rsid w:val="00CA1398"/>
    <w:rsid w:val="00CA37C0"/>
    <w:rsid w:val="00CA3D0F"/>
    <w:rsid w:val="00CA44F9"/>
    <w:rsid w:val="00CA505B"/>
    <w:rsid w:val="00CA540F"/>
    <w:rsid w:val="00CA595B"/>
    <w:rsid w:val="00CA7082"/>
    <w:rsid w:val="00CB1225"/>
    <w:rsid w:val="00CB2421"/>
    <w:rsid w:val="00CB6A5B"/>
    <w:rsid w:val="00CC29F2"/>
    <w:rsid w:val="00CC3CB1"/>
    <w:rsid w:val="00CC41F9"/>
    <w:rsid w:val="00CC4BC5"/>
    <w:rsid w:val="00CC4EC6"/>
    <w:rsid w:val="00CC5F41"/>
    <w:rsid w:val="00CC771D"/>
    <w:rsid w:val="00CD189C"/>
    <w:rsid w:val="00CD2AB7"/>
    <w:rsid w:val="00CD2FC0"/>
    <w:rsid w:val="00CD31BF"/>
    <w:rsid w:val="00CD47B3"/>
    <w:rsid w:val="00CD55C6"/>
    <w:rsid w:val="00CE28FE"/>
    <w:rsid w:val="00CE7062"/>
    <w:rsid w:val="00CF03E8"/>
    <w:rsid w:val="00CF0F92"/>
    <w:rsid w:val="00CF10EE"/>
    <w:rsid w:val="00CF25E7"/>
    <w:rsid w:val="00CF37C9"/>
    <w:rsid w:val="00CF5D2F"/>
    <w:rsid w:val="00CF6DA2"/>
    <w:rsid w:val="00D00515"/>
    <w:rsid w:val="00D0378F"/>
    <w:rsid w:val="00D05449"/>
    <w:rsid w:val="00D07878"/>
    <w:rsid w:val="00D10AA5"/>
    <w:rsid w:val="00D112A8"/>
    <w:rsid w:val="00D123C2"/>
    <w:rsid w:val="00D148BA"/>
    <w:rsid w:val="00D16B2A"/>
    <w:rsid w:val="00D17BEF"/>
    <w:rsid w:val="00D20AB7"/>
    <w:rsid w:val="00D237BF"/>
    <w:rsid w:val="00D251B0"/>
    <w:rsid w:val="00D25C94"/>
    <w:rsid w:val="00D27699"/>
    <w:rsid w:val="00D3198C"/>
    <w:rsid w:val="00D32C3F"/>
    <w:rsid w:val="00D36521"/>
    <w:rsid w:val="00D42483"/>
    <w:rsid w:val="00D42A0B"/>
    <w:rsid w:val="00D42B89"/>
    <w:rsid w:val="00D43262"/>
    <w:rsid w:val="00D43814"/>
    <w:rsid w:val="00D43F36"/>
    <w:rsid w:val="00D45205"/>
    <w:rsid w:val="00D46018"/>
    <w:rsid w:val="00D47089"/>
    <w:rsid w:val="00D471C5"/>
    <w:rsid w:val="00D502D1"/>
    <w:rsid w:val="00D524AC"/>
    <w:rsid w:val="00D52979"/>
    <w:rsid w:val="00D52E86"/>
    <w:rsid w:val="00D539BA"/>
    <w:rsid w:val="00D5501F"/>
    <w:rsid w:val="00D557A2"/>
    <w:rsid w:val="00D55FD0"/>
    <w:rsid w:val="00D567F8"/>
    <w:rsid w:val="00D56895"/>
    <w:rsid w:val="00D56AE6"/>
    <w:rsid w:val="00D56F71"/>
    <w:rsid w:val="00D57EDC"/>
    <w:rsid w:val="00D60001"/>
    <w:rsid w:val="00D60255"/>
    <w:rsid w:val="00D627DF"/>
    <w:rsid w:val="00D63BE3"/>
    <w:rsid w:val="00D65718"/>
    <w:rsid w:val="00D65849"/>
    <w:rsid w:val="00D6655E"/>
    <w:rsid w:val="00D70DC8"/>
    <w:rsid w:val="00D71914"/>
    <w:rsid w:val="00D719E4"/>
    <w:rsid w:val="00D72C05"/>
    <w:rsid w:val="00D72C81"/>
    <w:rsid w:val="00D73CB5"/>
    <w:rsid w:val="00D7455C"/>
    <w:rsid w:val="00D75276"/>
    <w:rsid w:val="00D803C3"/>
    <w:rsid w:val="00D806DE"/>
    <w:rsid w:val="00D812CB"/>
    <w:rsid w:val="00D813D5"/>
    <w:rsid w:val="00D8169A"/>
    <w:rsid w:val="00D8207B"/>
    <w:rsid w:val="00D84427"/>
    <w:rsid w:val="00D84A42"/>
    <w:rsid w:val="00D87297"/>
    <w:rsid w:val="00D91200"/>
    <w:rsid w:val="00D915F0"/>
    <w:rsid w:val="00D91C6D"/>
    <w:rsid w:val="00D9217E"/>
    <w:rsid w:val="00D931C0"/>
    <w:rsid w:val="00D93C34"/>
    <w:rsid w:val="00D967BB"/>
    <w:rsid w:val="00D971F5"/>
    <w:rsid w:val="00D977B1"/>
    <w:rsid w:val="00DA1014"/>
    <w:rsid w:val="00DA40E6"/>
    <w:rsid w:val="00DA547B"/>
    <w:rsid w:val="00DA5763"/>
    <w:rsid w:val="00DA595C"/>
    <w:rsid w:val="00DA60E3"/>
    <w:rsid w:val="00DA6CA4"/>
    <w:rsid w:val="00DA779A"/>
    <w:rsid w:val="00DA7A30"/>
    <w:rsid w:val="00DB0E67"/>
    <w:rsid w:val="00DB0E68"/>
    <w:rsid w:val="00DB2234"/>
    <w:rsid w:val="00DB2A5C"/>
    <w:rsid w:val="00DB4E00"/>
    <w:rsid w:val="00DB6755"/>
    <w:rsid w:val="00DB6781"/>
    <w:rsid w:val="00DB7783"/>
    <w:rsid w:val="00DC0C3D"/>
    <w:rsid w:val="00DC37D8"/>
    <w:rsid w:val="00DC4410"/>
    <w:rsid w:val="00DC5550"/>
    <w:rsid w:val="00DC588C"/>
    <w:rsid w:val="00DD1C90"/>
    <w:rsid w:val="00DD1E31"/>
    <w:rsid w:val="00DD38CA"/>
    <w:rsid w:val="00DD59F9"/>
    <w:rsid w:val="00DE0039"/>
    <w:rsid w:val="00DE1AF0"/>
    <w:rsid w:val="00DE20C6"/>
    <w:rsid w:val="00DE3389"/>
    <w:rsid w:val="00DE3441"/>
    <w:rsid w:val="00DE5555"/>
    <w:rsid w:val="00DE5EE5"/>
    <w:rsid w:val="00DE74B7"/>
    <w:rsid w:val="00DE792D"/>
    <w:rsid w:val="00DF0D37"/>
    <w:rsid w:val="00DF162D"/>
    <w:rsid w:val="00DF427C"/>
    <w:rsid w:val="00DF572B"/>
    <w:rsid w:val="00DF58D4"/>
    <w:rsid w:val="00DF64EA"/>
    <w:rsid w:val="00DF67D1"/>
    <w:rsid w:val="00E0016D"/>
    <w:rsid w:val="00E0056A"/>
    <w:rsid w:val="00E0162B"/>
    <w:rsid w:val="00E02E51"/>
    <w:rsid w:val="00E02E54"/>
    <w:rsid w:val="00E04773"/>
    <w:rsid w:val="00E05855"/>
    <w:rsid w:val="00E11024"/>
    <w:rsid w:val="00E1140C"/>
    <w:rsid w:val="00E115EB"/>
    <w:rsid w:val="00E125FF"/>
    <w:rsid w:val="00E12B6A"/>
    <w:rsid w:val="00E12C4A"/>
    <w:rsid w:val="00E13486"/>
    <w:rsid w:val="00E1471E"/>
    <w:rsid w:val="00E153EE"/>
    <w:rsid w:val="00E16B1F"/>
    <w:rsid w:val="00E172C8"/>
    <w:rsid w:val="00E217E1"/>
    <w:rsid w:val="00E23B72"/>
    <w:rsid w:val="00E2711C"/>
    <w:rsid w:val="00E303F5"/>
    <w:rsid w:val="00E34A66"/>
    <w:rsid w:val="00E36316"/>
    <w:rsid w:val="00E40BD5"/>
    <w:rsid w:val="00E40F3F"/>
    <w:rsid w:val="00E44AA0"/>
    <w:rsid w:val="00E501D5"/>
    <w:rsid w:val="00E505B9"/>
    <w:rsid w:val="00E51839"/>
    <w:rsid w:val="00E523C6"/>
    <w:rsid w:val="00E5312C"/>
    <w:rsid w:val="00E533AC"/>
    <w:rsid w:val="00E54581"/>
    <w:rsid w:val="00E54929"/>
    <w:rsid w:val="00E556E5"/>
    <w:rsid w:val="00E56233"/>
    <w:rsid w:val="00E630B4"/>
    <w:rsid w:val="00E642A4"/>
    <w:rsid w:val="00E654F2"/>
    <w:rsid w:val="00E65A63"/>
    <w:rsid w:val="00E6632F"/>
    <w:rsid w:val="00E6671E"/>
    <w:rsid w:val="00E71EA8"/>
    <w:rsid w:val="00E75A9B"/>
    <w:rsid w:val="00E86CCC"/>
    <w:rsid w:val="00E86DA3"/>
    <w:rsid w:val="00E9069B"/>
    <w:rsid w:val="00E909B8"/>
    <w:rsid w:val="00E912E8"/>
    <w:rsid w:val="00E92B1A"/>
    <w:rsid w:val="00E93F0F"/>
    <w:rsid w:val="00E963B8"/>
    <w:rsid w:val="00EA12E7"/>
    <w:rsid w:val="00EA33DE"/>
    <w:rsid w:val="00EA3527"/>
    <w:rsid w:val="00EA453F"/>
    <w:rsid w:val="00EA4EC2"/>
    <w:rsid w:val="00EA4F52"/>
    <w:rsid w:val="00EA5905"/>
    <w:rsid w:val="00EA6594"/>
    <w:rsid w:val="00EA7B22"/>
    <w:rsid w:val="00EA7D14"/>
    <w:rsid w:val="00EA7D84"/>
    <w:rsid w:val="00EB00E1"/>
    <w:rsid w:val="00EB1273"/>
    <w:rsid w:val="00EB2EDC"/>
    <w:rsid w:val="00EB31DC"/>
    <w:rsid w:val="00EB3767"/>
    <w:rsid w:val="00EB423A"/>
    <w:rsid w:val="00EB5200"/>
    <w:rsid w:val="00EB62B5"/>
    <w:rsid w:val="00EC0288"/>
    <w:rsid w:val="00EC0A6D"/>
    <w:rsid w:val="00EC0FC7"/>
    <w:rsid w:val="00EC1944"/>
    <w:rsid w:val="00EC1F80"/>
    <w:rsid w:val="00EC2B1C"/>
    <w:rsid w:val="00EC32FC"/>
    <w:rsid w:val="00EC55C0"/>
    <w:rsid w:val="00EC6A62"/>
    <w:rsid w:val="00EC6E19"/>
    <w:rsid w:val="00ED01E9"/>
    <w:rsid w:val="00ED03CD"/>
    <w:rsid w:val="00ED0493"/>
    <w:rsid w:val="00ED0C1F"/>
    <w:rsid w:val="00ED0DBD"/>
    <w:rsid w:val="00ED2A6D"/>
    <w:rsid w:val="00ED3342"/>
    <w:rsid w:val="00ED3726"/>
    <w:rsid w:val="00ED3CA0"/>
    <w:rsid w:val="00ED4391"/>
    <w:rsid w:val="00ED6855"/>
    <w:rsid w:val="00ED69B6"/>
    <w:rsid w:val="00ED7705"/>
    <w:rsid w:val="00EE16EB"/>
    <w:rsid w:val="00EE2842"/>
    <w:rsid w:val="00EE3E2D"/>
    <w:rsid w:val="00EE6127"/>
    <w:rsid w:val="00EE69C2"/>
    <w:rsid w:val="00EF0F06"/>
    <w:rsid w:val="00EF2F28"/>
    <w:rsid w:val="00EF459E"/>
    <w:rsid w:val="00EF4B2A"/>
    <w:rsid w:val="00F011A6"/>
    <w:rsid w:val="00F01ABC"/>
    <w:rsid w:val="00F01D60"/>
    <w:rsid w:val="00F01EE8"/>
    <w:rsid w:val="00F0241C"/>
    <w:rsid w:val="00F028E0"/>
    <w:rsid w:val="00F03A98"/>
    <w:rsid w:val="00F04629"/>
    <w:rsid w:val="00F10C57"/>
    <w:rsid w:val="00F11E4F"/>
    <w:rsid w:val="00F12FDE"/>
    <w:rsid w:val="00F146B2"/>
    <w:rsid w:val="00F15B91"/>
    <w:rsid w:val="00F15DAD"/>
    <w:rsid w:val="00F16D8B"/>
    <w:rsid w:val="00F16ED0"/>
    <w:rsid w:val="00F2072E"/>
    <w:rsid w:val="00F20DD3"/>
    <w:rsid w:val="00F22BB5"/>
    <w:rsid w:val="00F2510D"/>
    <w:rsid w:val="00F25C92"/>
    <w:rsid w:val="00F26282"/>
    <w:rsid w:val="00F26596"/>
    <w:rsid w:val="00F26950"/>
    <w:rsid w:val="00F303EA"/>
    <w:rsid w:val="00F30ADF"/>
    <w:rsid w:val="00F3150F"/>
    <w:rsid w:val="00F31829"/>
    <w:rsid w:val="00F3214F"/>
    <w:rsid w:val="00F334DB"/>
    <w:rsid w:val="00F33E0C"/>
    <w:rsid w:val="00F3735C"/>
    <w:rsid w:val="00F419D5"/>
    <w:rsid w:val="00F430C6"/>
    <w:rsid w:val="00F43479"/>
    <w:rsid w:val="00F436DC"/>
    <w:rsid w:val="00F43A7C"/>
    <w:rsid w:val="00F4407A"/>
    <w:rsid w:val="00F44C02"/>
    <w:rsid w:val="00F457B4"/>
    <w:rsid w:val="00F45B08"/>
    <w:rsid w:val="00F47756"/>
    <w:rsid w:val="00F504BC"/>
    <w:rsid w:val="00F51021"/>
    <w:rsid w:val="00F51664"/>
    <w:rsid w:val="00F53E72"/>
    <w:rsid w:val="00F53E99"/>
    <w:rsid w:val="00F54B88"/>
    <w:rsid w:val="00F55D9C"/>
    <w:rsid w:val="00F574AD"/>
    <w:rsid w:val="00F60FFE"/>
    <w:rsid w:val="00F61B4E"/>
    <w:rsid w:val="00F6289C"/>
    <w:rsid w:val="00F638C0"/>
    <w:rsid w:val="00F66192"/>
    <w:rsid w:val="00F6736D"/>
    <w:rsid w:val="00F717A1"/>
    <w:rsid w:val="00F731F6"/>
    <w:rsid w:val="00F73B8A"/>
    <w:rsid w:val="00F7702D"/>
    <w:rsid w:val="00F80D67"/>
    <w:rsid w:val="00F829F8"/>
    <w:rsid w:val="00F82C94"/>
    <w:rsid w:val="00F832D8"/>
    <w:rsid w:val="00F83643"/>
    <w:rsid w:val="00F83F07"/>
    <w:rsid w:val="00F845B7"/>
    <w:rsid w:val="00F8625B"/>
    <w:rsid w:val="00F86E77"/>
    <w:rsid w:val="00F87519"/>
    <w:rsid w:val="00F90560"/>
    <w:rsid w:val="00F92D48"/>
    <w:rsid w:val="00F946B9"/>
    <w:rsid w:val="00F946F5"/>
    <w:rsid w:val="00F949FD"/>
    <w:rsid w:val="00F964B8"/>
    <w:rsid w:val="00F96DA5"/>
    <w:rsid w:val="00F97330"/>
    <w:rsid w:val="00F97CDD"/>
    <w:rsid w:val="00FA0051"/>
    <w:rsid w:val="00FA17A3"/>
    <w:rsid w:val="00FA445D"/>
    <w:rsid w:val="00FA49A4"/>
    <w:rsid w:val="00FA648A"/>
    <w:rsid w:val="00FB08AF"/>
    <w:rsid w:val="00FB3EA4"/>
    <w:rsid w:val="00FB40C2"/>
    <w:rsid w:val="00FB7673"/>
    <w:rsid w:val="00FB7A13"/>
    <w:rsid w:val="00FC0391"/>
    <w:rsid w:val="00FC0E97"/>
    <w:rsid w:val="00FC166C"/>
    <w:rsid w:val="00FC2714"/>
    <w:rsid w:val="00FC4655"/>
    <w:rsid w:val="00FC530C"/>
    <w:rsid w:val="00FC6036"/>
    <w:rsid w:val="00FC6379"/>
    <w:rsid w:val="00FD004D"/>
    <w:rsid w:val="00FD1776"/>
    <w:rsid w:val="00FD1AF5"/>
    <w:rsid w:val="00FD1BA7"/>
    <w:rsid w:val="00FD4B50"/>
    <w:rsid w:val="00FD5A61"/>
    <w:rsid w:val="00FD6588"/>
    <w:rsid w:val="00FD6A0D"/>
    <w:rsid w:val="00FE0B95"/>
    <w:rsid w:val="00FE18EF"/>
    <w:rsid w:val="00FE2203"/>
    <w:rsid w:val="00FE329F"/>
    <w:rsid w:val="00FE37A6"/>
    <w:rsid w:val="00FE3C13"/>
    <w:rsid w:val="00FE5082"/>
    <w:rsid w:val="00FE542D"/>
    <w:rsid w:val="00FE708C"/>
    <w:rsid w:val="00FE7355"/>
    <w:rsid w:val="00FF0F9F"/>
    <w:rsid w:val="00FF1EB4"/>
    <w:rsid w:val="00FF3F4C"/>
    <w:rsid w:val="00FF59E0"/>
    <w:rsid w:val="00FF71DF"/>
    <w:rsid w:val="00FF7254"/>
    <w:rsid w:val="0E766FAB"/>
    <w:rsid w:val="1DBD327E"/>
    <w:rsid w:val="1FD846E4"/>
    <w:rsid w:val="316D5680"/>
    <w:rsid w:val="366B4722"/>
    <w:rsid w:val="5F8909D2"/>
    <w:rsid w:val="744A0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400" w:lineRule="exact"/>
      <w:ind w:firstLine="2811" w:firstLineChars="900"/>
      <w:outlineLvl w:val="0"/>
    </w:pPr>
    <w:rPr>
      <w:rFonts w:eastAsia="黑体"/>
      <w:b/>
      <w:bCs/>
      <w:kern w:val="44"/>
      <w:sz w:val="32"/>
      <w:szCs w:val="44"/>
    </w:rPr>
  </w:style>
  <w:style w:type="paragraph" w:styleId="3">
    <w:name w:val="heading 2"/>
    <w:basedOn w:val="1"/>
    <w:next w:val="1"/>
    <w:qFormat/>
    <w:uiPriority w:val="0"/>
    <w:pPr>
      <w:keepNext/>
      <w:keepLines/>
      <w:widowControl/>
      <w:spacing w:before="260" w:after="260" w:line="416" w:lineRule="auto"/>
      <w:jc w:val="left"/>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qFormat/>
    <w:uiPriority w:val="0"/>
    <w:pPr>
      <w:keepNext/>
      <w:keepLines/>
      <w:spacing w:before="280" w:after="290" w:line="376" w:lineRule="auto"/>
      <w:outlineLvl w:val="4"/>
    </w:pPr>
    <w:rPr>
      <w:b/>
      <w:sz w:val="28"/>
      <w:szCs w:val="20"/>
    </w:rPr>
  </w:style>
  <w:style w:type="paragraph" w:styleId="8">
    <w:name w:val="heading 6"/>
    <w:basedOn w:val="1"/>
    <w:next w:val="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qFormat/>
    <w:uiPriority w:val="0"/>
    <w:pPr>
      <w:keepNext/>
      <w:keepLines/>
      <w:spacing w:before="240" w:after="64" w:line="320" w:lineRule="auto"/>
      <w:outlineLvl w:val="6"/>
    </w:pPr>
    <w:rPr>
      <w:b/>
      <w:sz w:val="24"/>
      <w:szCs w:val="20"/>
    </w:rPr>
  </w:style>
  <w:style w:type="paragraph" w:styleId="10">
    <w:name w:val="heading 8"/>
    <w:basedOn w:val="1"/>
    <w:next w:val="6"/>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qFormat/>
    <w:uiPriority w:val="0"/>
    <w:pPr>
      <w:keepNext/>
      <w:keepLines/>
      <w:spacing w:before="240" w:after="64" w:line="320" w:lineRule="auto"/>
      <w:outlineLvl w:val="8"/>
    </w:pPr>
    <w:rPr>
      <w:rFonts w:ascii="Arial" w:hAnsi="Arial" w:eastAsia="黑体"/>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uiPriority w:val="0"/>
    <w:pPr>
      <w:ind w:firstLine="420" w:firstLineChars="200"/>
    </w:pPr>
  </w:style>
  <w:style w:type="paragraph" w:styleId="12">
    <w:name w:val="annotation text"/>
    <w:basedOn w:val="1"/>
    <w:link w:val="52"/>
    <w:semiHidden/>
    <w:qFormat/>
    <w:uiPriority w:val="99"/>
    <w:pPr>
      <w:jc w:val="left"/>
    </w:pPr>
  </w:style>
  <w:style w:type="paragraph" w:styleId="13">
    <w:name w:val="Body Text"/>
    <w:basedOn w:val="1"/>
    <w:link w:val="38"/>
    <w:qFormat/>
    <w:uiPriority w:val="0"/>
    <w:pPr>
      <w:widowControl/>
      <w:spacing w:line="520" w:lineRule="exact"/>
    </w:pPr>
    <w:rPr>
      <w:kern w:val="0"/>
      <w:sz w:val="30"/>
      <w:szCs w:val="20"/>
    </w:rPr>
  </w:style>
  <w:style w:type="paragraph" w:styleId="14">
    <w:name w:val="Body Text Indent"/>
    <w:basedOn w:val="1"/>
    <w:qFormat/>
    <w:uiPriority w:val="0"/>
    <w:pPr>
      <w:spacing w:line="520" w:lineRule="exact"/>
      <w:ind w:firstLine="567"/>
    </w:pPr>
    <w:rPr>
      <w:rFonts w:ascii="宋体"/>
      <w:sz w:val="24"/>
      <w:szCs w:val="20"/>
    </w:rPr>
  </w:style>
  <w:style w:type="paragraph" w:styleId="15">
    <w:name w:val="Plain Text"/>
    <w:basedOn w:val="1"/>
    <w:link w:val="51"/>
    <w:qFormat/>
    <w:uiPriority w:val="0"/>
    <w:rPr>
      <w:rFonts w:ascii="宋体" w:hAnsi="Courier New" w:cs="Courier New"/>
      <w:szCs w:val="21"/>
    </w:rPr>
  </w:style>
  <w:style w:type="paragraph" w:styleId="16">
    <w:name w:val="Date"/>
    <w:basedOn w:val="1"/>
    <w:next w:val="1"/>
    <w:qFormat/>
    <w:uiPriority w:val="0"/>
    <w:rPr>
      <w:rFonts w:ascii="宋体"/>
      <w:sz w:val="24"/>
      <w:szCs w:val="20"/>
    </w:rPr>
  </w:style>
  <w:style w:type="paragraph" w:styleId="17">
    <w:name w:val="Body Text Indent 2"/>
    <w:basedOn w:val="1"/>
    <w:qFormat/>
    <w:uiPriority w:val="0"/>
    <w:pPr>
      <w:spacing w:after="120" w:line="480" w:lineRule="auto"/>
      <w:ind w:left="420" w:leftChars="200"/>
    </w:pPr>
    <w:rPr>
      <w:szCs w:val="20"/>
    </w:rPr>
  </w:style>
  <w:style w:type="paragraph" w:styleId="18">
    <w:name w:val="Balloon Text"/>
    <w:basedOn w:val="1"/>
    <w:semiHidden/>
    <w:qFormat/>
    <w:uiPriority w:val="0"/>
    <w:rPr>
      <w:sz w:val="18"/>
      <w:szCs w:val="18"/>
    </w:rPr>
  </w:style>
  <w:style w:type="paragraph" w:styleId="19">
    <w:name w:val="footer"/>
    <w:basedOn w:val="1"/>
    <w:link w:val="48"/>
    <w:qFormat/>
    <w:uiPriority w:val="99"/>
    <w:pPr>
      <w:tabs>
        <w:tab w:val="center" w:pos="4153"/>
        <w:tab w:val="right" w:pos="8306"/>
      </w:tabs>
      <w:snapToGrid w:val="0"/>
      <w:jc w:val="left"/>
    </w:pPr>
    <w:rPr>
      <w:sz w:val="18"/>
      <w:szCs w:val="18"/>
    </w:rPr>
  </w:style>
  <w:style w:type="paragraph" w:styleId="20">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widowControl/>
      <w:spacing w:line="360" w:lineRule="auto"/>
      <w:jc w:val="left"/>
    </w:pPr>
    <w:rPr>
      <w:kern w:val="0"/>
      <w:szCs w:val="20"/>
    </w:rPr>
  </w:style>
  <w:style w:type="paragraph" w:styleId="22">
    <w:name w:val="footnote text"/>
    <w:basedOn w:val="1"/>
    <w:semiHidden/>
    <w:qFormat/>
    <w:uiPriority w:val="0"/>
    <w:pPr>
      <w:autoSpaceDE w:val="0"/>
      <w:autoSpaceDN w:val="0"/>
      <w:adjustRightInd w:val="0"/>
      <w:spacing w:line="315" w:lineRule="atLeast"/>
      <w:jc w:val="left"/>
    </w:pPr>
    <w:rPr>
      <w:rFonts w:ascii="宋体"/>
      <w:kern w:val="0"/>
      <w:sz w:val="24"/>
      <w:szCs w:val="20"/>
    </w:r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qFormat/>
    <w:uiPriority w:val="39"/>
    <w:pPr>
      <w:ind w:left="420"/>
    </w:pPr>
    <w:rPr>
      <w:szCs w:val="20"/>
    </w:rPr>
  </w:style>
  <w:style w:type="paragraph" w:styleId="25">
    <w:name w:val="Body Text 2"/>
    <w:basedOn w:val="1"/>
    <w:qFormat/>
    <w:uiPriority w:val="0"/>
    <w:pPr>
      <w:spacing w:after="120" w:line="480" w:lineRule="auto"/>
    </w:pPr>
    <w:rPr>
      <w:szCs w:val="20"/>
    </w:rPr>
  </w:style>
  <w:style w:type="paragraph" w:styleId="26">
    <w:name w:val="Normal (Web)"/>
    <w:basedOn w:val="1"/>
    <w:qFormat/>
    <w:uiPriority w:val="0"/>
    <w:pPr>
      <w:widowControl/>
      <w:spacing w:before="60" w:after="60" w:line="330" w:lineRule="atLeast"/>
      <w:ind w:left="60" w:right="60" w:firstLine="420"/>
      <w:jc w:val="left"/>
    </w:pPr>
    <w:rPr>
      <w:rFonts w:ascii="宋体" w:hAnsi="宋体" w:cs="宋体"/>
      <w:kern w:val="0"/>
      <w:szCs w:val="21"/>
    </w:rPr>
  </w:style>
  <w:style w:type="paragraph" w:styleId="27">
    <w:name w:val="Body Text First Indent"/>
    <w:basedOn w:val="13"/>
    <w:qFormat/>
    <w:uiPriority w:val="0"/>
    <w:pPr>
      <w:widowControl w:val="0"/>
      <w:spacing w:after="120" w:line="240" w:lineRule="auto"/>
      <w:ind w:firstLine="420"/>
    </w:pPr>
    <w:rPr>
      <w:kern w:val="2"/>
      <w:sz w:val="21"/>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qFormat/>
    <w:uiPriority w:val="0"/>
    <w:rPr>
      <w:color w:val="800080"/>
      <w:u w:val="single"/>
    </w:rPr>
  </w:style>
  <w:style w:type="character" w:styleId="33">
    <w:name w:val="Hyperlink"/>
    <w:qFormat/>
    <w:uiPriority w:val="0"/>
    <w:rPr>
      <w:color w:val="0000FF"/>
      <w:u w:val="single"/>
    </w:rPr>
  </w:style>
  <w:style w:type="character" w:styleId="34">
    <w:name w:val="annotation reference"/>
    <w:semiHidden/>
    <w:qFormat/>
    <w:uiPriority w:val="99"/>
    <w:rPr>
      <w:sz w:val="21"/>
      <w:szCs w:val="21"/>
    </w:rPr>
  </w:style>
  <w:style w:type="paragraph" w:customStyle="1" w:styleId="35">
    <w:name w:val="Char Char Char Char Char Char1 Char Char Char Char"/>
    <w:basedOn w:val="1"/>
    <w:qFormat/>
    <w:uiPriority w:val="0"/>
    <w:pPr>
      <w:spacing w:line="360" w:lineRule="auto"/>
    </w:pPr>
    <w:rPr>
      <w:rFonts w:ascii="Tahoma" w:hAnsi="Tahoma"/>
      <w:sz w:val="24"/>
      <w:szCs w:val="20"/>
    </w:rPr>
  </w:style>
  <w:style w:type="paragraph" w:customStyle="1" w:styleId="36">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7">
    <w:name w:val="默认段落字体 Para Char Char Char Char"/>
    <w:basedOn w:val="1"/>
    <w:qFormat/>
    <w:uiPriority w:val="0"/>
  </w:style>
  <w:style w:type="character" w:customStyle="1" w:styleId="38">
    <w:name w:val="正文文本 Char"/>
    <w:link w:val="13"/>
    <w:uiPriority w:val="0"/>
    <w:rPr>
      <w:rFonts w:eastAsia="宋体"/>
      <w:sz w:val="30"/>
      <w:lang w:val="en-US" w:eastAsia="zh-CN" w:bidi="ar-SA"/>
    </w:rPr>
  </w:style>
  <w:style w:type="paragraph" w:customStyle="1" w:styleId="39">
    <w:name w:val="Char"/>
    <w:basedOn w:val="1"/>
    <w:uiPriority w:val="0"/>
    <w:rPr>
      <w:rFonts w:ascii="Tahoma" w:hAnsi="Tahoma"/>
      <w:sz w:val="24"/>
      <w:szCs w:val="20"/>
    </w:rPr>
  </w:style>
  <w:style w:type="character" w:customStyle="1" w:styleId="40">
    <w:name w:val="text"/>
    <w:basedOn w:val="30"/>
    <w:qFormat/>
    <w:uiPriority w:val="0"/>
  </w:style>
  <w:style w:type="paragraph" w:customStyle="1" w:styleId="41">
    <w:name w:val="Char2"/>
    <w:basedOn w:val="1"/>
    <w:qFormat/>
    <w:uiPriority w:val="0"/>
    <w:rPr>
      <w:rFonts w:ascii="Tahoma" w:hAnsi="Tahoma"/>
      <w:sz w:val="24"/>
      <w:szCs w:val="20"/>
    </w:rPr>
  </w:style>
  <w:style w:type="paragraph" w:customStyle="1" w:styleId="42">
    <w:name w:val="Char1"/>
    <w:basedOn w:val="1"/>
    <w:qFormat/>
    <w:uiPriority w:val="0"/>
    <w:rPr>
      <w:rFonts w:ascii="Tahoma" w:hAnsi="Tahoma"/>
      <w:sz w:val="24"/>
      <w:szCs w:val="20"/>
    </w:rPr>
  </w:style>
  <w:style w:type="paragraph" w:customStyle="1" w:styleId="43">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4">
    <w:name w:val="正文文本 21"/>
    <w:basedOn w:val="1"/>
    <w:qFormat/>
    <w:uiPriority w:val="0"/>
    <w:pPr>
      <w:widowControl/>
      <w:tabs>
        <w:tab w:val="left" w:pos="360"/>
      </w:tabs>
    </w:pPr>
    <w:rPr>
      <w:kern w:val="0"/>
      <w:sz w:val="24"/>
      <w:szCs w:val="20"/>
      <w:lang w:val="en-GB"/>
    </w:rPr>
  </w:style>
  <w:style w:type="paragraph" w:customStyle="1" w:styleId="45">
    <w:name w:val="列出段落1"/>
    <w:basedOn w:val="1"/>
    <w:qFormat/>
    <w:uiPriority w:val="34"/>
    <w:pPr>
      <w:ind w:firstLine="420" w:firstLineChars="200"/>
    </w:pPr>
  </w:style>
  <w:style w:type="paragraph" w:customStyle="1" w:styleId="4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48">
    <w:name w:val="页脚 Char"/>
    <w:link w:val="19"/>
    <w:qFormat/>
    <w:uiPriority w:val="99"/>
    <w:rPr>
      <w:kern w:val="2"/>
      <w:sz w:val="18"/>
      <w:szCs w:val="18"/>
    </w:rPr>
  </w:style>
  <w:style w:type="character" w:customStyle="1" w:styleId="49">
    <w:name w:val="页眉 Char"/>
    <w:basedOn w:val="30"/>
    <w:link w:val="20"/>
    <w:qFormat/>
    <w:uiPriority w:val="99"/>
    <w:rPr>
      <w:kern w:val="2"/>
      <w:sz w:val="18"/>
      <w:szCs w:val="18"/>
    </w:rPr>
  </w:style>
  <w:style w:type="paragraph" w:customStyle="1" w:styleId="50">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1">
    <w:name w:val="纯文本 Char"/>
    <w:basedOn w:val="30"/>
    <w:link w:val="15"/>
    <w:qFormat/>
    <w:uiPriority w:val="0"/>
    <w:rPr>
      <w:rFonts w:ascii="宋体" w:hAnsi="Courier New" w:cs="Courier New"/>
      <w:kern w:val="2"/>
      <w:sz w:val="21"/>
      <w:szCs w:val="21"/>
    </w:rPr>
  </w:style>
  <w:style w:type="character" w:customStyle="1" w:styleId="52">
    <w:name w:val="批注文字 Char"/>
    <w:basedOn w:val="30"/>
    <w:link w:val="12"/>
    <w:semiHidden/>
    <w:qFormat/>
    <w:uiPriority w:val="99"/>
    <w:rPr>
      <w:kern w:val="2"/>
      <w:sz w:val="21"/>
      <w:szCs w:val="24"/>
    </w:rPr>
  </w:style>
  <w:style w:type="paragraph" w:styleId="5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1B584-AFFA-46A8-8DD3-F9541FB06071}">
  <ds:schemaRefs/>
</ds:datastoreItem>
</file>

<file path=docProps/app.xml><?xml version="1.0" encoding="utf-8"?>
<Properties xmlns="http://schemas.openxmlformats.org/officeDocument/2006/extended-properties" xmlns:vt="http://schemas.openxmlformats.org/officeDocument/2006/docPropsVTypes">
  <Template>Normal.dotm</Template>
  <Company>jqk</Company>
  <Pages>34</Pages>
  <Words>2709</Words>
  <Characters>15445</Characters>
  <Lines>128</Lines>
  <Paragraphs>36</Paragraphs>
  <TotalTime>0</TotalTime>
  <ScaleCrop>false</ScaleCrop>
  <LinksUpToDate>false</LinksUpToDate>
  <CharactersWithSpaces>18118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2017-09-18T13:49:00Z</dcterms:created>
  <dc:creator>张小梅</dc:creator>
  <cp:lastModifiedBy>吴敏君</cp:lastModifiedBy>
  <cp:lastPrinted>2019-10-17T02:07:00Z</cp:lastPrinted>
  <dcterms:modified xsi:type="dcterms:W3CDTF">2019-10-28T01:37:43Z</dcterms:modified>
  <dc:title>广州发展环保建材有限公司</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