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514475" cy="1357630"/>
            <wp:effectExtent l="0" t="0" r="9525" b="1270"/>
            <wp:docPr id="3" name="图片 1" descr="{9KYQQ}GOZ1{]~8T6VE]_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KYQQ}GOZ1{]~8T6VE]_3Y"/>
                    <pic:cNvPicPr>
                      <a:picLocks noChangeAspect="1"/>
                    </pic:cNvPicPr>
                  </pic:nvPicPr>
                  <pic:blipFill>
                    <a:blip r:embed="rId11"/>
                    <a:stretch>
                      <a:fillRect/>
                    </a:stretch>
                  </pic:blipFill>
                  <pic:spPr>
                    <a:xfrm>
                      <a:off x="0" y="0"/>
                      <a:ext cx="1514475" cy="1357630"/>
                    </a:xfrm>
                    <a:prstGeom prst="rect">
                      <a:avLst/>
                    </a:prstGeom>
                    <a:noFill/>
                    <a:ln>
                      <a:noFill/>
                    </a:ln>
                  </pic:spPr>
                </pic:pic>
              </a:graphicData>
            </a:graphic>
          </wp:inline>
        </w:drawing>
      </w:r>
    </w:p>
    <w:p>
      <w:pPr>
        <w:snapToGrid w:val="0"/>
        <w:jc w:val="center"/>
        <w:rPr>
          <w:rFonts w:hint="eastAsia" w:ascii="黑体" w:hAnsi="华文中宋" w:eastAsia="黑体" w:cs="华文中宋"/>
          <w:b/>
          <w:bCs/>
          <w:color w:val="auto"/>
          <w:sz w:val="72"/>
          <w:szCs w:val="72"/>
          <w:highlight w:val="none"/>
        </w:rPr>
      </w:pPr>
    </w:p>
    <w:p>
      <w:pPr>
        <w:snapToGrid w:val="0"/>
        <w:jc w:val="center"/>
        <w:rPr>
          <w:rFonts w:hint="eastAsia" w:ascii="黑体" w:hAnsi="华文中宋" w:eastAsia="黑体" w:cs="华文中宋"/>
          <w:b/>
          <w:bCs/>
          <w:color w:val="auto"/>
          <w:sz w:val="72"/>
          <w:szCs w:val="72"/>
          <w:highlight w:val="none"/>
        </w:rPr>
      </w:pPr>
      <w:r>
        <w:rPr>
          <w:rFonts w:hint="eastAsia" w:ascii="黑体" w:hAnsi="华文中宋" w:eastAsia="黑体" w:cs="华文中宋"/>
          <w:b/>
          <w:bCs/>
          <w:color w:val="auto"/>
          <w:sz w:val="72"/>
          <w:szCs w:val="72"/>
          <w:highlight w:val="none"/>
          <w:lang w:eastAsia="zh-CN"/>
        </w:rPr>
        <w:t>服务</w:t>
      </w:r>
      <w:r>
        <w:rPr>
          <w:rFonts w:hint="eastAsia" w:ascii="黑体" w:hAnsi="华文中宋" w:eastAsia="黑体" w:cs="华文中宋"/>
          <w:b/>
          <w:bCs/>
          <w:color w:val="auto"/>
          <w:sz w:val="72"/>
          <w:szCs w:val="72"/>
          <w:highlight w:val="none"/>
        </w:rPr>
        <w:t>采购</w:t>
      </w:r>
    </w:p>
    <w:p>
      <w:pPr>
        <w:snapToGrid w:val="0"/>
        <w:jc w:val="center"/>
        <w:rPr>
          <w:rFonts w:hint="eastAsia" w:ascii="黑体" w:hAnsi="华文中宋" w:eastAsia="黑体" w:cs="华文中宋"/>
          <w:b/>
          <w:bCs/>
          <w:color w:val="auto"/>
          <w:sz w:val="72"/>
          <w:szCs w:val="72"/>
          <w:highlight w:val="none"/>
        </w:rPr>
      </w:pPr>
      <w:r>
        <w:rPr>
          <w:rFonts w:hint="eastAsia" w:ascii="黑体" w:hAnsi="华文中宋" w:eastAsia="黑体" w:cs="华文中宋"/>
          <w:b/>
          <w:bCs/>
          <w:color w:val="auto"/>
          <w:sz w:val="72"/>
          <w:szCs w:val="72"/>
          <w:highlight w:val="none"/>
        </w:rPr>
        <w:t>公开招标文件</w:t>
      </w:r>
    </w:p>
    <w:p>
      <w:pPr>
        <w:spacing w:line="480" w:lineRule="auto"/>
        <w:rPr>
          <w:rFonts w:hint="eastAsia" w:ascii="宋体" w:hAnsi="宋体" w:eastAsia="宋体" w:cs="宋体"/>
          <w:b/>
          <w:bCs/>
          <w:color w:val="auto"/>
          <w:sz w:val="21"/>
          <w:szCs w:val="21"/>
          <w:highlight w:val="none"/>
        </w:rPr>
      </w:pPr>
    </w:p>
    <w:p>
      <w:pPr>
        <w:spacing w:line="48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pStyle w:val="13"/>
        <w:spacing w:line="360" w:lineRule="auto"/>
        <w:ind w:firstLine="470" w:firstLineChars="147"/>
        <w:rPr>
          <w:rFonts w:hint="eastAsia" w:ascii="仿宋_GB2312" w:hAnsi="Times New Roman" w:eastAsia="仿宋_GB2312"/>
          <w:b/>
          <w:color w:val="auto"/>
          <w:sz w:val="32"/>
          <w:highlight w:val="none"/>
        </w:rPr>
      </w:pPr>
      <w:r>
        <w:rPr>
          <w:rFonts w:hint="eastAsia" w:ascii="仿宋_GB2312" w:hAnsi="Times New Roman" w:eastAsia="仿宋_GB2312"/>
          <w:b/>
          <w:color w:val="auto"/>
          <w:sz w:val="32"/>
          <w:highlight w:val="none"/>
        </w:rPr>
        <w:t>项目编号：</w:t>
      </w:r>
      <w:r>
        <w:rPr>
          <w:rFonts w:hint="eastAsia" w:ascii="仿宋_GB2312" w:hAnsi="Times New Roman" w:eastAsia="仿宋_GB2312"/>
          <w:b/>
          <w:color w:val="auto"/>
          <w:sz w:val="32"/>
          <w:highlight w:val="none"/>
          <w:lang w:eastAsia="zh-CN"/>
        </w:rPr>
        <w:t>GDZC-21GZ198</w:t>
      </w:r>
      <w:r>
        <w:rPr>
          <w:rFonts w:hint="eastAsia" w:ascii="仿宋_GB2312" w:hAnsi="Times New Roman" w:eastAsia="仿宋_GB2312"/>
          <w:b/>
          <w:color w:val="auto"/>
          <w:sz w:val="32"/>
          <w:highlight w:val="none"/>
        </w:rPr>
        <w:t xml:space="preserve">  </w:t>
      </w:r>
    </w:p>
    <w:p>
      <w:pPr>
        <w:pStyle w:val="13"/>
        <w:spacing w:line="360" w:lineRule="auto"/>
        <w:ind w:firstLine="470" w:firstLineChars="147"/>
        <w:rPr>
          <w:rFonts w:hint="eastAsia" w:ascii="仿宋_GB2312" w:hAnsi="Times New Roman" w:eastAsia="仿宋_GB2312"/>
          <w:b/>
          <w:color w:val="auto"/>
          <w:sz w:val="32"/>
          <w:highlight w:val="none"/>
        </w:rPr>
      </w:pPr>
      <w:r>
        <w:rPr>
          <w:rFonts w:hint="eastAsia" w:ascii="仿宋_GB2312" w:hAnsi="Times New Roman" w:eastAsia="仿宋_GB2312"/>
          <w:b/>
          <w:color w:val="auto"/>
          <w:sz w:val="32"/>
          <w:highlight w:val="none"/>
        </w:rPr>
        <w:t>项目名称：</w:t>
      </w:r>
      <w:r>
        <w:rPr>
          <w:rFonts w:hint="eastAsia" w:ascii="仿宋_GB2312" w:hAnsi="Times New Roman" w:eastAsia="仿宋_GB2312"/>
          <w:b/>
          <w:color w:val="auto"/>
          <w:sz w:val="32"/>
          <w:highlight w:val="none"/>
          <w:lang w:eastAsia="zh-CN"/>
        </w:rPr>
        <w:t>千灯湖创投小镇核心区物业管理服务</w:t>
      </w:r>
    </w:p>
    <w:p>
      <w:pPr>
        <w:pStyle w:val="13"/>
        <w:spacing w:line="360" w:lineRule="auto"/>
        <w:rPr>
          <w:rFonts w:hint="eastAsia" w:ascii="宋体" w:hAnsi="宋体" w:eastAsia="宋体" w:cs="宋体"/>
          <w:b/>
          <w:color w:val="auto"/>
          <w:sz w:val="21"/>
          <w:szCs w:val="21"/>
          <w:highlight w:val="none"/>
        </w:rPr>
      </w:pPr>
    </w:p>
    <w:p>
      <w:pPr>
        <w:snapToGrid w:val="0"/>
        <w:spacing w:line="360" w:lineRule="auto"/>
        <w:rPr>
          <w:rFonts w:hint="eastAsia" w:ascii="宋体" w:hAnsi="宋体" w:eastAsia="宋体" w:cs="宋体"/>
          <w:color w:val="auto"/>
          <w:sz w:val="21"/>
          <w:szCs w:val="21"/>
          <w:highlight w:val="none"/>
        </w:rPr>
      </w:pPr>
    </w:p>
    <w:p>
      <w:pPr>
        <w:spacing w:line="360" w:lineRule="auto"/>
        <w:ind w:firstLine="1500" w:firstLineChars="500"/>
        <w:rPr>
          <w:rFonts w:hint="eastAsia" w:ascii="黑体" w:hAnsi="华文中宋" w:eastAsia="黑体" w:cs="华文中宋"/>
          <w:color w:val="auto"/>
          <w:sz w:val="30"/>
          <w:szCs w:val="30"/>
          <w:highlight w:val="none"/>
          <w:lang w:eastAsia="zh-CN"/>
        </w:rPr>
      </w:pPr>
      <w:r>
        <w:rPr>
          <w:rFonts w:hint="eastAsia" w:ascii="黑体" w:hAnsi="华文中宋" w:eastAsia="黑体" w:cs="华文中宋"/>
          <w:color w:val="auto"/>
          <w:sz w:val="30"/>
          <w:szCs w:val="30"/>
          <w:highlight w:val="none"/>
          <w:lang w:eastAsia="zh-CN"/>
        </w:rPr>
        <w:t>招标人：佛山市千灯湖创投小镇投资开发有限公司</w:t>
      </w:r>
    </w:p>
    <w:p>
      <w:pPr>
        <w:spacing w:line="360" w:lineRule="auto"/>
        <w:ind w:firstLine="1500" w:firstLineChars="500"/>
        <w:rPr>
          <w:rFonts w:hint="eastAsia" w:ascii="黑体" w:hAnsi="华文中宋" w:eastAsia="黑体" w:cs="华文中宋"/>
          <w:color w:val="auto"/>
          <w:sz w:val="30"/>
          <w:szCs w:val="30"/>
          <w:highlight w:val="none"/>
          <w:lang w:eastAsia="zh-CN"/>
        </w:rPr>
      </w:pPr>
      <w:r>
        <w:rPr>
          <w:rFonts w:hint="eastAsia" w:ascii="黑体" w:hAnsi="华文中宋" w:eastAsia="黑体" w:cs="华文中宋"/>
          <w:color w:val="auto"/>
          <w:sz w:val="30"/>
          <w:szCs w:val="30"/>
          <w:highlight w:val="none"/>
          <w:lang w:eastAsia="zh-CN"/>
        </w:rPr>
        <w:t>招标代理机构：广东中采招标有限公司</w:t>
      </w:r>
    </w:p>
    <w:p>
      <w:pPr>
        <w:spacing w:line="360" w:lineRule="auto"/>
        <w:ind w:firstLine="1500" w:firstLineChars="500"/>
        <w:rPr>
          <w:rFonts w:hint="eastAsia" w:ascii="黑体" w:hAnsi="华文中宋" w:eastAsia="黑体" w:cs="华文中宋"/>
          <w:color w:val="auto"/>
          <w:sz w:val="30"/>
          <w:szCs w:val="30"/>
          <w:highlight w:val="none"/>
          <w:lang w:eastAsia="zh-CN"/>
        </w:rPr>
      </w:pPr>
    </w:p>
    <w:p>
      <w:pPr>
        <w:spacing w:line="360" w:lineRule="auto"/>
        <w:ind w:left="0" w:leftChars="0" w:firstLine="0" w:firstLineChars="0"/>
        <w:jc w:val="center"/>
        <w:rPr>
          <w:rFonts w:hint="eastAsia" w:ascii="黑体" w:hAnsi="华文中宋" w:eastAsia="黑体" w:cs="华文中宋"/>
          <w:color w:val="auto"/>
          <w:sz w:val="30"/>
          <w:szCs w:val="30"/>
          <w:highlight w:val="none"/>
          <w:lang w:eastAsia="zh-CN"/>
        </w:rPr>
        <w:sectPr>
          <w:headerReference r:id="rId5" w:type="first"/>
          <w:headerReference r:id="rId3" w:type="default"/>
          <w:headerReference r:id="rId4" w:type="even"/>
          <w:footerReference r:id="rId6" w:type="even"/>
          <w:pgSz w:w="11906" w:h="16838"/>
          <w:pgMar w:top="1440" w:right="1466" w:bottom="1440" w:left="1800" w:header="567" w:footer="992" w:gutter="0"/>
          <w:pgBorders>
            <w:top w:val="none" w:sz="0" w:space="0"/>
            <w:left w:val="none" w:sz="0" w:space="0"/>
            <w:bottom w:val="none" w:sz="0" w:space="0"/>
            <w:right w:val="none" w:sz="0" w:space="0"/>
          </w:pgBorders>
          <w:cols w:space="720" w:num="1"/>
          <w:docGrid w:type="linesAndChars" w:linePitch="312" w:charSpace="0"/>
        </w:sectPr>
      </w:pPr>
      <w:r>
        <w:rPr>
          <w:rFonts w:hint="eastAsia" w:ascii="黑体" w:hAnsi="华文中宋" w:eastAsia="黑体" w:cs="华文中宋"/>
          <w:color w:val="auto"/>
          <w:sz w:val="30"/>
          <w:szCs w:val="30"/>
          <w:highlight w:val="none"/>
          <w:lang w:eastAsia="zh-CN"/>
        </w:rPr>
        <w:t>202</w:t>
      </w:r>
      <w:r>
        <w:rPr>
          <w:rFonts w:hint="eastAsia" w:ascii="黑体" w:hAnsi="华文中宋" w:eastAsia="黑体" w:cs="华文中宋"/>
          <w:color w:val="auto"/>
          <w:sz w:val="30"/>
          <w:szCs w:val="30"/>
          <w:highlight w:val="none"/>
          <w:lang w:val="en-US" w:eastAsia="zh-CN"/>
        </w:rPr>
        <w:t>1</w:t>
      </w:r>
      <w:r>
        <w:rPr>
          <w:rFonts w:hint="eastAsia" w:ascii="黑体" w:hAnsi="华文中宋" w:eastAsia="黑体" w:cs="华文中宋"/>
          <w:color w:val="auto"/>
          <w:sz w:val="30"/>
          <w:szCs w:val="30"/>
          <w:highlight w:val="none"/>
          <w:lang w:eastAsia="zh-CN"/>
        </w:rPr>
        <w:t>年</w:t>
      </w:r>
      <w:r>
        <w:rPr>
          <w:rFonts w:hint="eastAsia" w:ascii="黑体" w:hAnsi="华文中宋" w:eastAsia="黑体" w:cs="华文中宋"/>
          <w:color w:val="auto"/>
          <w:sz w:val="30"/>
          <w:szCs w:val="30"/>
          <w:highlight w:val="none"/>
          <w:lang w:val="en-US" w:eastAsia="zh-CN"/>
        </w:rPr>
        <w:t>6</w:t>
      </w:r>
      <w:r>
        <w:rPr>
          <w:rFonts w:hint="eastAsia" w:ascii="黑体" w:hAnsi="华文中宋" w:eastAsia="黑体" w:cs="华文中宋"/>
          <w:color w:val="auto"/>
          <w:sz w:val="30"/>
          <w:szCs w:val="30"/>
          <w:highlight w:val="none"/>
          <w:lang w:eastAsia="zh-CN"/>
        </w:rPr>
        <w:t>月</w:t>
      </w:r>
    </w:p>
    <w:p>
      <w:pPr>
        <w:autoSpaceDE w:val="0"/>
        <w:autoSpaceDN w:val="0"/>
        <w:adjustRightInd w:val="0"/>
        <w:snapToGrid w:val="0"/>
        <w:spacing w:before="156" w:beforeLines="50" w:after="156" w:afterLines="50" w:line="360" w:lineRule="auto"/>
        <w:jc w:val="center"/>
        <w:rPr>
          <w:rFonts w:hint="eastAsia" w:ascii="宋体" w:hAnsi="宋体" w:eastAsia="宋体"/>
          <w:b/>
          <w:color w:val="auto"/>
          <w:sz w:val="44"/>
          <w:szCs w:val="44"/>
          <w:highlight w:val="none"/>
        </w:rPr>
      </w:pPr>
      <w:r>
        <w:rPr>
          <w:rFonts w:hint="eastAsia" w:ascii="宋体" w:hAnsi="宋体" w:eastAsia="宋体"/>
          <w:b/>
          <w:color w:val="auto"/>
          <w:sz w:val="44"/>
          <w:szCs w:val="44"/>
          <w:highlight w:val="none"/>
        </w:rPr>
        <w:t>目   录</w:t>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Style w:val="27"/>
          <w:rFonts w:hint="eastAsia" w:ascii="宋体" w:hAnsi="宋体" w:eastAsia="宋体" w:cs="宋体"/>
          <w:b/>
          <w:bCs w:val="0"/>
          <w:color w:val="auto"/>
          <w:sz w:val="21"/>
          <w:szCs w:val="21"/>
          <w:highlight w:val="none"/>
        </w:rPr>
        <w:instrText xml:space="preserve"> TOC \o "1-1" \h \z \u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_Toc11072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 xml:space="preserve">第一章  </w:t>
      </w:r>
      <w:r>
        <w:rPr>
          <w:rFonts w:hint="eastAsia" w:ascii="宋体" w:hAnsi="宋体" w:eastAsia="宋体" w:cs="宋体"/>
          <w:b/>
          <w:bCs w:val="0"/>
          <w:color w:val="auto"/>
          <w:sz w:val="21"/>
          <w:szCs w:val="21"/>
          <w:highlight w:val="none"/>
          <w:lang w:val="en-US" w:eastAsia="zh-CN"/>
        </w:rPr>
        <w:t>采购公告</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_Toc11072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2</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_Toc996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第二章  投标资料表</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_Toc996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5</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_Toc31360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第三章  用户需求书</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_Toc31360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7</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_Toc24320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第四章  评分体系与标准</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_Toc24320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35</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_Toc15031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第五章</w:t>
      </w:r>
      <w:r>
        <w:rPr>
          <w:rFonts w:hint="eastAsia" w:ascii="宋体" w:hAnsi="宋体" w:eastAsia="宋体" w:cs="宋体"/>
          <w:b/>
          <w:bCs w:val="0"/>
          <w:color w:val="auto"/>
          <w:sz w:val="21"/>
          <w:szCs w:val="21"/>
          <w:highlight w:val="none"/>
          <w:lang w:val="en-US" w:eastAsia="zh-CN"/>
        </w:rPr>
        <w:t xml:space="preserve">  投标人须知</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_Toc15031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44</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_Toc29705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第六章</w:t>
      </w:r>
      <w:r>
        <w:rPr>
          <w:rFonts w:hint="eastAsia" w:ascii="宋体" w:hAnsi="宋体" w:eastAsia="宋体" w:cs="宋体"/>
          <w:b/>
          <w:bCs w:val="0"/>
          <w:color w:val="auto"/>
          <w:sz w:val="21"/>
          <w:szCs w:val="21"/>
          <w:highlight w:val="none"/>
          <w:lang w:val="en-US" w:eastAsia="zh-CN"/>
        </w:rPr>
        <w:t xml:space="preserve">  </w:t>
      </w:r>
      <w:r>
        <w:rPr>
          <w:rFonts w:hint="eastAsia" w:ascii="宋体" w:hAnsi="宋体" w:eastAsia="宋体" w:cs="宋体"/>
          <w:b/>
          <w:bCs w:val="0"/>
          <w:color w:val="auto"/>
          <w:sz w:val="21"/>
          <w:szCs w:val="21"/>
          <w:highlight w:val="none"/>
        </w:rPr>
        <w:t>合同条款</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_Toc29705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55</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_Toc15548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第七章  投标文件格式</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_Toc15548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91</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_Toc26145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lang w:eastAsia="zh-TW"/>
        </w:rPr>
        <w:t>投标文件包装封面参考</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_Toc26145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91</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pStyle w:val="16"/>
        <w:tabs>
          <w:tab w:val="right" w:leader="dot" w:pos="9180"/>
          <w:tab w:val="clear" w:pos="9060"/>
        </w:tabs>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HYPERLINK \l _Toc1718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lang w:eastAsia="zh-TW"/>
        </w:rPr>
        <w:t>投标文件目录表</w:t>
      </w:r>
      <w:r>
        <w:rPr>
          <w:rFonts w:hint="eastAsia" w:ascii="宋体" w:hAnsi="宋体" w:eastAsia="宋体" w:cs="宋体"/>
          <w:b/>
          <w:bCs w:val="0"/>
          <w:color w:val="auto"/>
          <w:sz w:val="21"/>
          <w:szCs w:val="21"/>
          <w:highlight w:val="none"/>
        </w:rPr>
        <w:tab/>
      </w:r>
      <w:r>
        <w:rPr>
          <w:rFonts w:hint="eastAsia" w:ascii="宋体" w:hAnsi="宋体" w:eastAsia="宋体" w:cs="宋体"/>
          <w:b/>
          <w:bCs w:val="0"/>
          <w:color w:val="auto"/>
          <w:sz w:val="21"/>
          <w:szCs w:val="21"/>
          <w:highlight w:val="none"/>
        </w:rPr>
        <w:fldChar w:fldCharType="begin"/>
      </w:r>
      <w:r>
        <w:rPr>
          <w:rFonts w:hint="eastAsia" w:ascii="宋体" w:hAnsi="宋体" w:eastAsia="宋体" w:cs="宋体"/>
          <w:b/>
          <w:bCs w:val="0"/>
          <w:color w:val="auto"/>
          <w:sz w:val="21"/>
          <w:szCs w:val="21"/>
          <w:highlight w:val="none"/>
        </w:rPr>
        <w:instrText xml:space="preserve"> PAGEREF _Toc1718 \h </w:instrText>
      </w:r>
      <w:r>
        <w:rPr>
          <w:rFonts w:hint="eastAsia" w:ascii="宋体" w:hAnsi="宋体" w:eastAsia="宋体" w:cs="宋体"/>
          <w:b/>
          <w:bCs w:val="0"/>
          <w:color w:val="auto"/>
          <w:sz w:val="21"/>
          <w:szCs w:val="21"/>
          <w:highlight w:val="none"/>
        </w:rPr>
        <w:fldChar w:fldCharType="separate"/>
      </w:r>
      <w:r>
        <w:rPr>
          <w:rFonts w:hint="eastAsia" w:ascii="宋体" w:hAnsi="宋体" w:eastAsia="宋体" w:cs="宋体"/>
          <w:b/>
          <w:bCs w:val="0"/>
          <w:color w:val="auto"/>
          <w:sz w:val="21"/>
          <w:szCs w:val="21"/>
          <w:highlight w:val="none"/>
        </w:rPr>
        <w:t>92</w:t>
      </w:r>
      <w:r>
        <w:rPr>
          <w:rFonts w:hint="eastAsia" w:ascii="宋体" w:hAnsi="宋体" w:eastAsia="宋体" w:cs="宋体"/>
          <w:b/>
          <w:bCs w:val="0"/>
          <w:color w:val="auto"/>
          <w:sz w:val="21"/>
          <w:szCs w:val="21"/>
          <w:highlight w:val="none"/>
        </w:rPr>
        <w:fldChar w:fldCharType="end"/>
      </w:r>
      <w:r>
        <w:rPr>
          <w:rFonts w:hint="eastAsia" w:ascii="宋体" w:hAnsi="宋体" w:eastAsia="宋体" w:cs="宋体"/>
          <w:b/>
          <w:bCs w:val="0"/>
          <w:color w:val="auto"/>
          <w:sz w:val="21"/>
          <w:szCs w:val="21"/>
          <w:highlight w:val="none"/>
        </w:rPr>
        <w:fldChar w:fldCharType="end"/>
      </w:r>
    </w:p>
    <w:p>
      <w:pPr>
        <w:adjustRightInd w:val="0"/>
        <w:snapToGrid w:val="0"/>
        <w:spacing w:before="156" w:beforeLines="50" w:after="156" w:afterLines="50" w:line="360" w:lineRule="auto"/>
        <w:jc w:val="center"/>
        <w:outlineLvl w:val="0"/>
        <w:rPr>
          <w:rFonts w:hint="default" w:ascii="Times New Roman" w:hAnsi="Times New Roman" w:eastAsia="宋体"/>
          <w:b/>
          <w:bCs/>
          <w:color w:val="auto"/>
          <w:sz w:val="28"/>
          <w:szCs w:val="28"/>
          <w:highlight w:val="none"/>
          <w:lang w:val="en-US" w:eastAsia="zh-CN"/>
        </w:rPr>
      </w:pPr>
      <w:r>
        <w:rPr>
          <w:rFonts w:hint="eastAsia" w:ascii="宋体" w:hAnsi="宋体" w:eastAsia="宋体" w:cs="宋体"/>
          <w:b/>
          <w:bCs w:val="0"/>
          <w:color w:val="auto"/>
          <w:sz w:val="21"/>
          <w:szCs w:val="21"/>
          <w:highlight w:val="none"/>
        </w:rPr>
        <w:fldChar w:fldCharType="end"/>
      </w:r>
      <w:bookmarkStart w:id="0" w:name="_Toc11072"/>
      <w:r>
        <w:rPr>
          <w:rFonts w:hint="eastAsia" w:ascii="宋体" w:hAnsi="宋体" w:eastAsia="宋体" w:cs="宋体"/>
          <w:color w:val="auto"/>
          <w:sz w:val="21"/>
          <w:szCs w:val="21"/>
          <w:highlight w:val="none"/>
        </w:rPr>
        <w:br w:type="page"/>
      </w:r>
      <w:r>
        <w:rPr>
          <w:rFonts w:hint="eastAsia" w:ascii="Times New Roman" w:hAnsi="Times New Roman" w:eastAsia="宋体"/>
          <w:b/>
          <w:bCs/>
          <w:color w:val="auto"/>
          <w:sz w:val="28"/>
          <w:szCs w:val="28"/>
          <w:highlight w:val="none"/>
        </w:rPr>
        <w:t xml:space="preserve">第一章  </w:t>
      </w:r>
      <w:bookmarkEnd w:id="0"/>
      <w:r>
        <w:rPr>
          <w:rFonts w:hint="eastAsia" w:ascii="Times New Roman" w:hAnsi="Times New Roman" w:eastAsia="宋体"/>
          <w:b/>
          <w:bCs/>
          <w:color w:val="auto"/>
          <w:sz w:val="28"/>
          <w:szCs w:val="28"/>
          <w:highlight w:val="none"/>
          <w:lang w:val="en-US" w:eastAsia="zh-CN"/>
        </w:rPr>
        <w:t>采购公告</w:t>
      </w:r>
    </w:p>
    <w:p>
      <w:pPr>
        <w:snapToGrid w:val="0"/>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广东中采招标有限公司</w:t>
      </w:r>
      <w:r>
        <w:rPr>
          <w:rFonts w:hint="eastAsia" w:ascii="宋体" w:hAnsi="宋体" w:eastAsia="宋体" w:cs="宋体"/>
          <w:color w:val="auto"/>
          <w:sz w:val="21"/>
          <w:szCs w:val="21"/>
          <w:highlight w:val="none"/>
        </w:rPr>
        <w:t>（以下简称“</w:t>
      </w:r>
      <w:r>
        <w:rPr>
          <w:rFonts w:hint="eastAsia" w:ascii="宋体" w:hAnsi="宋体" w:eastAsia="宋体" w:cs="宋体"/>
          <w:color w:val="auto"/>
          <w:sz w:val="21"/>
          <w:szCs w:val="21"/>
          <w:highlight w:val="none"/>
          <w:lang w:val="en-US" w:eastAsia="zh-CN"/>
        </w:rPr>
        <w:t>招标代理机构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rPr>
        <w:t>受</w:t>
      </w:r>
      <w:r>
        <w:rPr>
          <w:rFonts w:hint="eastAsia" w:ascii="宋体" w:hAnsi="宋体" w:eastAsia="宋体" w:cs="宋体"/>
          <w:color w:val="auto"/>
          <w:sz w:val="21"/>
          <w:szCs w:val="21"/>
          <w:highlight w:val="none"/>
          <w:lang w:eastAsia="zh-CN"/>
        </w:rPr>
        <w:t>佛山市千灯湖创投小镇投资开发有限公司</w:t>
      </w:r>
      <w:r>
        <w:rPr>
          <w:rFonts w:hint="eastAsia" w:ascii="宋体" w:hAnsi="宋体" w:eastAsia="宋体" w:cs="宋体"/>
          <w:color w:val="auto"/>
          <w:sz w:val="21"/>
          <w:szCs w:val="21"/>
          <w:highlight w:val="none"/>
        </w:rPr>
        <w:t>（以下简称“</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r>
        <w:rPr>
          <w:rFonts w:hint="eastAsia" w:ascii="宋体" w:hAnsi="宋体" w:eastAsia="宋体" w:cs="宋体"/>
          <w:bCs/>
          <w:color w:val="auto"/>
          <w:sz w:val="21"/>
          <w:szCs w:val="21"/>
          <w:highlight w:val="none"/>
        </w:rPr>
        <w:t>委托，对</w:t>
      </w:r>
      <w:r>
        <w:rPr>
          <w:rFonts w:hint="eastAsia" w:ascii="宋体" w:hAnsi="宋体" w:eastAsia="宋体" w:cs="宋体"/>
          <w:color w:val="auto"/>
          <w:sz w:val="21"/>
          <w:szCs w:val="21"/>
          <w:highlight w:val="none"/>
          <w:lang w:eastAsia="zh-CN"/>
        </w:rPr>
        <w:t>千灯湖创投小镇核心区物业管理服务</w:t>
      </w:r>
      <w:r>
        <w:rPr>
          <w:rFonts w:hint="eastAsia" w:ascii="宋体" w:hAnsi="宋体" w:eastAsia="宋体" w:cs="宋体"/>
          <w:bCs/>
          <w:color w:val="auto"/>
          <w:sz w:val="21"/>
          <w:szCs w:val="21"/>
          <w:highlight w:val="none"/>
        </w:rPr>
        <w:t>进行公开招标，</w:t>
      </w:r>
      <w:r>
        <w:rPr>
          <w:rFonts w:hint="eastAsia" w:ascii="宋体" w:hAnsi="宋体" w:eastAsia="宋体" w:cs="宋体"/>
          <w:bCs/>
          <w:color w:val="auto"/>
          <w:sz w:val="21"/>
          <w:szCs w:val="21"/>
          <w:highlight w:val="none"/>
          <w:lang w:val="zh-CN"/>
        </w:rPr>
        <w:t>欢迎符合资格条件</w:t>
      </w:r>
      <w:r>
        <w:rPr>
          <w:rFonts w:hint="eastAsia" w:ascii="宋体" w:hAnsi="宋体" w:eastAsia="宋体" w:cs="宋体"/>
          <w:bCs/>
          <w:color w:val="auto"/>
          <w:sz w:val="21"/>
          <w:szCs w:val="21"/>
          <w:highlight w:val="none"/>
        </w:rPr>
        <w:t>的供应商投标。</w:t>
      </w:r>
    </w:p>
    <w:p>
      <w:pPr>
        <w:numPr>
          <w:ilvl w:val="0"/>
          <w:numId w:val="2"/>
        </w:numPr>
        <w:snapToGrid w:val="0"/>
        <w:spacing w:line="360" w:lineRule="auto"/>
        <w:ind w:firstLine="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项目编号：</w:t>
      </w:r>
      <w:r>
        <w:rPr>
          <w:rFonts w:hint="eastAsia" w:ascii="宋体" w:hAnsi="宋体" w:eastAsia="宋体" w:cs="宋体"/>
          <w:color w:val="auto"/>
          <w:sz w:val="21"/>
          <w:szCs w:val="21"/>
          <w:highlight w:val="none"/>
          <w:lang w:eastAsia="zh-CN"/>
        </w:rPr>
        <w:t>GDZC-21GZ198</w:t>
      </w:r>
      <w:r>
        <w:rPr>
          <w:rFonts w:hint="eastAsia" w:ascii="宋体" w:hAnsi="宋体" w:eastAsia="宋体" w:cs="宋体"/>
          <w:color w:val="auto"/>
          <w:sz w:val="21"/>
          <w:szCs w:val="21"/>
          <w:highlight w:val="none"/>
        </w:rPr>
        <w:t xml:space="preserve">  </w:t>
      </w:r>
    </w:p>
    <w:p>
      <w:pPr>
        <w:numPr>
          <w:ilvl w:val="0"/>
          <w:numId w:val="2"/>
        </w:numPr>
        <w:snapToGrid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项目名称：</w:t>
      </w:r>
      <w:r>
        <w:rPr>
          <w:rFonts w:hint="eastAsia" w:ascii="宋体" w:hAnsi="宋体" w:eastAsia="宋体" w:cs="宋体"/>
          <w:color w:val="auto"/>
          <w:sz w:val="21"/>
          <w:szCs w:val="21"/>
          <w:highlight w:val="none"/>
          <w:lang w:eastAsia="zh-CN"/>
        </w:rPr>
        <w:t>千灯湖创投小镇核心区物业管理服务</w:t>
      </w:r>
    </w:p>
    <w:p>
      <w:pPr>
        <w:numPr>
          <w:ilvl w:val="0"/>
          <w:numId w:val="2"/>
        </w:numPr>
        <w:snapToGrid w:val="0"/>
        <w:spacing w:line="360" w:lineRule="auto"/>
        <w:ind w:firstLine="0"/>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采购项目预算金额（元）：</w:t>
      </w:r>
      <w:r>
        <w:rPr>
          <w:rFonts w:hint="eastAsia" w:ascii="宋体" w:hAnsi="宋体" w:cs="宋体"/>
          <w:bCs/>
          <w:color w:val="auto"/>
          <w:sz w:val="21"/>
          <w:szCs w:val="21"/>
          <w:highlight w:val="none"/>
          <w:lang w:eastAsia="zh-CN"/>
        </w:rPr>
        <w:t>9,849,327.60</w:t>
      </w:r>
    </w:p>
    <w:p>
      <w:pPr>
        <w:numPr>
          <w:ilvl w:val="0"/>
          <w:numId w:val="2"/>
        </w:numPr>
        <w:snapToGrid w:val="0"/>
        <w:spacing w:line="360" w:lineRule="auto"/>
        <w:ind w:firstLine="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采购项目内容及需求：</w:t>
      </w:r>
    </w:p>
    <w:p>
      <w:pPr>
        <w:numPr>
          <w:ilvl w:val="0"/>
          <w:numId w:val="3"/>
        </w:numPr>
        <w:tabs>
          <w:tab w:val="left" w:pos="709"/>
        </w:tabs>
        <w:snapToGrid w:val="0"/>
        <w:spacing w:line="360" w:lineRule="auto"/>
        <w:ind w:left="709" w:hanging="425"/>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项目内容：</w:t>
      </w:r>
    </w:p>
    <w:tbl>
      <w:tblPr>
        <w:tblStyle w:val="21"/>
        <w:tblW w:w="8378" w:type="dxa"/>
        <w:tblInd w:w="46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04"/>
        <w:gridCol w:w="1022"/>
        <w:gridCol w:w="2573"/>
        <w:gridCol w:w="2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trPr>
        <w:tc>
          <w:tcPr>
            <w:tcW w:w="2704" w:type="dxa"/>
            <w:shd w:val="clear" w:color="auto" w:fill="EEECE1"/>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采购内容</w:t>
            </w:r>
          </w:p>
        </w:tc>
        <w:tc>
          <w:tcPr>
            <w:tcW w:w="1022" w:type="dxa"/>
            <w:shd w:val="clear" w:color="auto" w:fill="EEECE1"/>
            <w:vAlign w:val="center"/>
          </w:tcPr>
          <w:p>
            <w:pPr>
              <w:spacing w:line="36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数量</w:t>
            </w:r>
          </w:p>
        </w:tc>
        <w:tc>
          <w:tcPr>
            <w:tcW w:w="2573" w:type="dxa"/>
            <w:shd w:val="clear" w:color="auto" w:fill="EEECE1"/>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服务期</w:t>
            </w:r>
          </w:p>
        </w:tc>
        <w:tc>
          <w:tcPr>
            <w:tcW w:w="2079" w:type="dxa"/>
            <w:shd w:val="clear" w:color="auto" w:fill="EEECE1"/>
            <w:vAlign w:val="center"/>
          </w:tcPr>
          <w:p>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最高限价</w:t>
            </w:r>
          </w:p>
          <w:p>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（人民币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4" w:hRule="atLeast"/>
        </w:trPr>
        <w:tc>
          <w:tcPr>
            <w:tcW w:w="2704"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千灯湖创投小镇核心区物业管理服务</w:t>
            </w:r>
          </w:p>
        </w:tc>
        <w:tc>
          <w:tcPr>
            <w:tcW w:w="1022" w:type="dxa"/>
            <w:vAlign w:val="center"/>
          </w:tcPr>
          <w:p>
            <w:pPr>
              <w:spacing w:line="360" w:lineRule="auto"/>
              <w:jc w:val="center"/>
              <w:rPr>
                <w:rFonts w:hint="eastAsia" w:ascii="宋体" w:hAnsi="宋体" w:eastAsia="宋体" w:cs="宋体"/>
                <w:snapToGrid/>
                <w:color w:val="auto"/>
                <w:spacing w:val="0"/>
                <w:kern w:val="2"/>
                <w:sz w:val="21"/>
                <w:szCs w:val="21"/>
                <w:highlight w:val="none"/>
                <w:lang w:val="en-US" w:eastAsia="zh-CN"/>
              </w:rPr>
            </w:pPr>
            <w:r>
              <w:rPr>
                <w:rFonts w:hint="eastAsia" w:ascii="宋体" w:hAnsi="宋体" w:eastAsia="宋体" w:cs="宋体"/>
                <w:color w:val="auto"/>
                <w:sz w:val="21"/>
                <w:szCs w:val="21"/>
                <w:highlight w:val="none"/>
                <w:lang w:eastAsia="zh-CN"/>
              </w:rPr>
              <w:t>一项</w:t>
            </w:r>
          </w:p>
        </w:tc>
        <w:tc>
          <w:tcPr>
            <w:tcW w:w="2573" w:type="dxa"/>
            <w:vAlign w:val="center"/>
          </w:tcPr>
          <w:p>
            <w:pPr>
              <w:pStyle w:val="47"/>
              <w:spacing w:line="440" w:lineRule="exact"/>
              <w:ind w:firstLine="120"/>
              <w:rPr>
                <w:rFonts w:hint="eastAsia" w:ascii="宋体" w:hAnsi="宋体" w:eastAsia="宋体" w:cs="宋体"/>
                <w:snapToGrid/>
                <w:color w:val="auto"/>
                <w:spacing w:val="0"/>
                <w:kern w:val="2"/>
                <w:sz w:val="21"/>
                <w:szCs w:val="21"/>
                <w:highlight w:val="none"/>
                <w:lang w:val="en-US" w:eastAsia="zh-CN"/>
              </w:rPr>
            </w:pPr>
            <w:r>
              <w:rPr>
                <w:rFonts w:hint="eastAsia" w:ascii="宋体" w:hAnsi="宋体" w:eastAsia="宋体" w:cs="宋体"/>
                <w:snapToGrid/>
                <w:color w:val="auto"/>
                <w:spacing w:val="0"/>
                <w:kern w:val="2"/>
                <w:sz w:val="21"/>
                <w:szCs w:val="21"/>
                <w:highlight w:val="none"/>
                <w:lang w:val="en-US" w:eastAsia="zh-CN"/>
              </w:rPr>
              <w:t>自合同签订之日2年</w:t>
            </w:r>
          </w:p>
        </w:tc>
        <w:tc>
          <w:tcPr>
            <w:tcW w:w="2079" w:type="dxa"/>
            <w:vAlign w:val="center"/>
          </w:tcPr>
          <w:p>
            <w:pPr>
              <w:pStyle w:val="47"/>
              <w:spacing w:line="440" w:lineRule="exact"/>
              <w:ind w:firstLine="120"/>
              <w:rPr>
                <w:rFonts w:hint="eastAsia" w:ascii="宋体" w:hAnsi="宋体" w:eastAsia="宋体" w:cs="宋体"/>
                <w:snapToGrid/>
                <w:color w:val="auto"/>
                <w:spacing w:val="0"/>
                <w:kern w:val="2"/>
                <w:sz w:val="21"/>
                <w:szCs w:val="21"/>
                <w:highlight w:val="none"/>
                <w:lang w:val="en-US" w:eastAsia="zh-CN"/>
              </w:rPr>
            </w:pPr>
            <w:r>
              <w:rPr>
                <w:rFonts w:hint="eastAsia" w:ascii="宋体" w:hAnsi="宋体" w:cs="宋体"/>
                <w:snapToGrid/>
                <w:color w:val="auto"/>
                <w:spacing w:val="0"/>
                <w:kern w:val="2"/>
                <w:sz w:val="21"/>
                <w:szCs w:val="21"/>
                <w:highlight w:val="none"/>
                <w:lang w:val="en-US" w:eastAsia="zh-CN"/>
              </w:rPr>
              <w:t>9,849,327.60</w:t>
            </w:r>
          </w:p>
        </w:tc>
      </w:tr>
    </w:tbl>
    <w:p>
      <w:pPr>
        <w:numPr>
          <w:ilvl w:val="0"/>
          <w:numId w:val="3"/>
        </w:numPr>
        <w:tabs>
          <w:tab w:val="left" w:pos="567"/>
        </w:tabs>
        <w:snapToGrid w:val="0"/>
        <w:spacing w:line="360" w:lineRule="auto"/>
        <w:ind w:left="709" w:hanging="425"/>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项目技术规格、参数及要求：详见本招标文件第三章《用户需求书》。</w:t>
      </w:r>
    </w:p>
    <w:p>
      <w:pPr>
        <w:numPr>
          <w:ilvl w:val="0"/>
          <w:numId w:val="2"/>
        </w:numPr>
        <w:snapToGrid w:val="0"/>
        <w:spacing w:line="360" w:lineRule="auto"/>
        <w:ind w:firstLine="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投标人资格：</w:t>
      </w:r>
    </w:p>
    <w:p>
      <w:pPr>
        <w:numPr>
          <w:ilvl w:val="0"/>
          <w:numId w:val="4"/>
        </w:numPr>
        <w:snapToGrid w:val="0"/>
        <w:spacing w:line="360" w:lineRule="auto"/>
        <w:ind w:left="425" w:leftChars="0" w:hanging="5"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必须是具有独立承担民事责任能力的在中华人民共和国境内注册的法人</w:t>
      </w:r>
      <w:r>
        <w:rPr>
          <w:rFonts w:hint="eastAsia" w:ascii="宋体" w:hAnsi="宋体" w:eastAsia="宋体" w:cs="宋体"/>
          <w:bCs/>
          <w:color w:val="auto"/>
          <w:sz w:val="21"/>
          <w:szCs w:val="21"/>
          <w:highlight w:val="none"/>
          <w:lang w:eastAsia="zh-CN"/>
        </w:rPr>
        <w:t>（提供</w:t>
      </w:r>
      <w:r>
        <w:rPr>
          <w:rFonts w:hint="eastAsia" w:ascii="宋体" w:hAnsi="宋体" w:eastAsia="宋体" w:cs="宋体"/>
          <w:color w:val="auto"/>
          <w:kern w:val="0"/>
          <w:sz w:val="21"/>
          <w:szCs w:val="21"/>
          <w:highlight w:val="none"/>
        </w:rPr>
        <w:t>有效的营业执照</w:t>
      </w:r>
      <w:r>
        <w:rPr>
          <w:rFonts w:hint="eastAsia" w:ascii="宋体" w:hAnsi="宋体" w:eastAsia="宋体" w:cs="宋体"/>
          <w:bCs/>
          <w:color w:val="auto"/>
          <w:sz w:val="21"/>
          <w:szCs w:val="21"/>
          <w:highlight w:val="none"/>
          <w:lang w:eastAsia="zh-CN"/>
        </w:rPr>
        <w:t>复印件）</w:t>
      </w:r>
      <w:r>
        <w:rPr>
          <w:rFonts w:hint="eastAsia" w:ascii="宋体" w:hAnsi="宋体" w:eastAsia="宋体" w:cs="宋体"/>
          <w:bCs/>
          <w:color w:val="auto"/>
          <w:sz w:val="21"/>
          <w:szCs w:val="21"/>
          <w:highlight w:val="none"/>
          <w:lang w:val="en-US" w:eastAsia="zh-CN"/>
        </w:rPr>
        <w:t>；</w:t>
      </w:r>
    </w:p>
    <w:p>
      <w:pPr>
        <w:numPr>
          <w:ilvl w:val="0"/>
          <w:numId w:val="4"/>
        </w:numPr>
        <w:snapToGrid w:val="0"/>
        <w:spacing w:line="360" w:lineRule="auto"/>
        <w:ind w:left="425" w:leftChars="0" w:hanging="5"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财务会计制度，须提供下列任一项证明材料：</w:t>
      </w:r>
    </w:p>
    <w:p>
      <w:pPr>
        <w:numPr>
          <w:ilvl w:val="0"/>
          <w:numId w:val="5"/>
        </w:numPr>
        <w:snapToGrid w:val="0"/>
        <w:spacing w:line="360" w:lineRule="auto"/>
        <w:ind w:left="425" w:leftChars="0" w:hanging="5"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2019年度或2020年度经审计的财务报告及财务报表（资产负债表、利润表和现金流量表）复印件(要求：审计报告由第三方会计师事务所或其它合法审计机构出具，须包含会计师事务所或审计机构的盖章页)。</w:t>
      </w:r>
    </w:p>
    <w:p>
      <w:pPr>
        <w:numPr>
          <w:ilvl w:val="0"/>
          <w:numId w:val="5"/>
        </w:numPr>
        <w:snapToGrid w:val="0"/>
        <w:spacing w:line="360" w:lineRule="auto"/>
        <w:ind w:left="425" w:leftChars="0" w:hanging="5"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基本开户银行出具的资信证明复印件【要求：资信证明书内容应能够清晰准确反映投标人最近6个月内（从本项目招标公告发布之日起，往前倒推计算）的商业信誉情况和满足采购文件有关要求，且其符合性及有效性将以最终审查结果为准。如成立时间不足6个月的，按成立时间提供】。</w:t>
      </w:r>
    </w:p>
    <w:p>
      <w:pPr>
        <w:numPr>
          <w:ilvl w:val="0"/>
          <w:numId w:val="4"/>
        </w:numPr>
        <w:snapToGrid w:val="0"/>
        <w:spacing w:line="360" w:lineRule="auto"/>
        <w:ind w:left="425" w:leftChars="0" w:hanging="5"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2021年度任意1个月依法缴纳税收和社会保障资金</w:t>
      </w:r>
      <w:r>
        <w:rPr>
          <w:rFonts w:hint="eastAsia" w:ascii="宋体" w:hAnsi="宋体" w:eastAsia="宋体" w:cs="宋体"/>
          <w:bCs/>
          <w:color w:val="auto"/>
          <w:sz w:val="21"/>
          <w:szCs w:val="21"/>
          <w:highlight w:val="none"/>
        </w:rPr>
        <w:t>的相关材料。如依法免税或不需要缴纳社会保障资金的，提供相应证明材料；</w:t>
      </w:r>
    </w:p>
    <w:p>
      <w:pPr>
        <w:numPr>
          <w:ilvl w:val="0"/>
          <w:numId w:val="4"/>
        </w:numPr>
        <w:snapToGrid w:val="0"/>
        <w:spacing w:line="360" w:lineRule="auto"/>
        <w:ind w:left="425" w:leftChars="0" w:hanging="5"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履行合同所必需的设备和专业技术能力的书面声明（提供《投标人资格声明函》）；</w:t>
      </w:r>
    </w:p>
    <w:p>
      <w:pPr>
        <w:numPr>
          <w:ilvl w:val="0"/>
          <w:numId w:val="4"/>
        </w:numPr>
        <w:snapToGrid w:val="0"/>
        <w:spacing w:line="360" w:lineRule="auto"/>
        <w:ind w:left="425" w:leftChars="0" w:hanging="5"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参与本项目采购活动前三年内，在经营活动中没有重大违法记录的书面声明（提供《投标人资格声明函》）</w:t>
      </w:r>
    </w:p>
    <w:p>
      <w:pPr>
        <w:numPr>
          <w:ilvl w:val="0"/>
          <w:numId w:val="4"/>
        </w:numPr>
        <w:snapToGrid w:val="0"/>
        <w:spacing w:line="360" w:lineRule="auto"/>
        <w:ind w:left="425" w:leftChars="0" w:hanging="5"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w:t>
      </w:r>
      <w:r>
        <w:rPr>
          <w:rFonts w:hint="eastAsia" w:ascii="宋体" w:hAnsi="宋体" w:eastAsia="宋体" w:cs="宋体"/>
          <w:bCs/>
          <w:color w:val="auto"/>
          <w:sz w:val="21"/>
          <w:szCs w:val="21"/>
          <w:highlight w:val="none"/>
          <w:lang w:eastAsia="zh-CN"/>
        </w:rPr>
        <w:t>招标代理机构</w:t>
      </w:r>
      <w:r>
        <w:rPr>
          <w:rFonts w:hint="eastAsia" w:ascii="宋体" w:hAnsi="宋体" w:eastAsia="宋体" w:cs="宋体"/>
          <w:bCs/>
          <w:color w:val="auto"/>
          <w:sz w:val="21"/>
          <w:szCs w:val="21"/>
          <w:highlight w:val="none"/>
        </w:rPr>
        <w:t>于投标截止日当天在“信用中国”网站（www.creditchina.gov.cn）及中国政府采购网(www.ccgp.gov.cn)查询结果为准，如相关失信记录已失效，供应商需提供相关证明资料】。</w:t>
      </w:r>
    </w:p>
    <w:p>
      <w:pPr>
        <w:numPr>
          <w:ilvl w:val="0"/>
          <w:numId w:val="4"/>
        </w:numPr>
        <w:snapToGrid w:val="0"/>
        <w:spacing w:line="360" w:lineRule="auto"/>
        <w:ind w:left="425" w:leftChars="0" w:hanging="5"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本项目不接受联合体投标。</w:t>
      </w:r>
    </w:p>
    <w:p>
      <w:pPr>
        <w:numPr>
          <w:ilvl w:val="0"/>
          <w:numId w:val="2"/>
        </w:numPr>
        <w:snapToGrid w:val="0"/>
        <w:spacing w:line="360" w:lineRule="auto"/>
        <w:ind w:firstLine="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采购</w:t>
      </w:r>
      <w:r>
        <w:rPr>
          <w:rFonts w:hint="eastAsia" w:ascii="宋体" w:hAnsi="宋体" w:eastAsia="宋体" w:cs="宋体"/>
          <w:b/>
          <w:color w:val="auto"/>
          <w:sz w:val="21"/>
          <w:szCs w:val="21"/>
          <w:highlight w:val="none"/>
        </w:rPr>
        <w:t>文件的获取</w:t>
      </w:r>
    </w:p>
    <w:p>
      <w:pPr>
        <w:snapToGrid w:val="0"/>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采购</w:t>
      </w:r>
      <w:r>
        <w:rPr>
          <w:rFonts w:hint="eastAsia" w:ascii="宋体" w:hAnsi="宋体" w:eastAsia="宋体" w:cs="宋体"/>
          <w:b/>
          <w:color w:val="auto"/>
          <w:sz w:val="21"/>
          <w:szCs w:val="21"/>
          <w:highlight w:val="none"/>
        </w:rPr>
        <w:t>文件详见附件</w:t>
      </w:r>
      <w:r>
        <w:rPr>
          <w:rFonts w:hint="eastAsia" w:ascii="宋体" w:hAnsi="宋体" w:eastAsia="宋体" w:cs="宋体"/>
          <w:b/>
          <w:color w:val="auto"/>
          <w:sz w:val="21"/>
          <w:szCs w:val="21"/>
          <w:highlight w:val="none"/>
          <w:lang w:eastAsia="zh-CN"/>
        </w:rPr>
        <w:t>采购</w:t>
      </w:r>
      <w:r>
        <w:rPr>
          <w:rFonts w:hint="eastAsia" w:ascii="宋体" w:hAnsi="宋体" w:eastAsia="宋体" w:cs="宋体"/>
          <w:b/>
          <w:color w:val="auto"/>
          <w:sz w:val="21"/>
          <w:szCs w:val="21"/>
          <w:highlight w:val="none"/>
        </w:rPr>
        <w:t>文件下载</w:t>
      </w:r>
    </w:p>
    <w:p>
      <w:pPr>
        <w:numPr>
          <w:ilvl w:val="0"/>
          <w:numId w:val="2"/>
        </w:numPr>
        <w:snapToGrid w:val="0"/>
        <w:spacing w:line="360" w:lineRule="auto"/>
        <w:ind w:left="420" w:hanging="420" w:hanging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投标文件递交时间：</w:t>
      </w:r>
      <w:r>
        <w:rPr>
          <w:rFonts w:hint="eastAsia" w:ascii="宋体" w:hAnsi="宋体" w:eastAsia="宋体" w:cs="宋体"/>
          <w:bCs/>
          <w:color w:val="auto"/>
          <w:sz w:val="21"/>
          <w:szCs w:val="21"/>
          <w:highlight w:val="none"/>
          <w:lang w:eastAsia="zh-CN"/>
        </w:rPr>
        <w:t>20</w:t>
      </w:r>
      <w:r>
        <w:rPr>
          <w:rFonts w:hint="eastAsia" w:ascii="宋体" w:hAnsi="宋体" w:eastAsia="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年</w:t>
      </w: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月</w:t>
      </w:r>
      <w:r>
        <w:rPr>
          <w:rFonts w:hint="eastAsia" w:ascii="宋体" w:hAnsi="宋体" w:cs="宋体"/>
          <w:bCs/>
          <w:color w:val="auto"/>
          <w:sz w:val="21"/>
          <w:szCs w:val="21"/>
          <w:highlight w:val="none"/>
          <w:lang w:val="en-US" w:eastAsia="zh-CN"/>
        </w:rPr>
        <w:t>13</w:t>
      </w:r>
      <w:r>
        <w:rPr>
          <w:rFonts w:hint="eastAsia" w:ascii="宋体" w:hAnsi="宋体" w:eastAsia="宋体" w:cs="宋体"/>
          <w:bCs/>
          <w:color w:val="auto"/>
          <w:sz w:val="21"/>
          <w:szCs w:val="21"/>
          <w:highlight w:val="none"/>
        </w:rPr>
        <w:t>日</w:t>
      </w:r>
      <w:r>
        <w:rPr>
          <w:rFonts w:hint="eastAsia" w:ascii="宋体" w:hAnsi="宋体" w:eastAsia="宋体" w:cs="宋体"/>
          <w:bCs/>
          <w:color w:val="auto"/>
          <w:sz w:val="21"/>
          <w:szCs w:val="21"/>
          <w:highlight w:val="none"/>
          <w:lang w:eastAsia="zh-CN"/>
        </w:rPr>
        <w:t>上午</w:t>
      </w: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时</w:t>
      </w:r>
      <w:r>
        <w:rPr>
          <w:rFonts w:hint="eastAsia" w:ascii="宋体" w:hAnsi="宋体" w:eastAsia="宋体" w:cs="宋体"/>
          <w:bCs/>
          <w:color w:val="auto"/>
          <w:sz w:val="21"/>
          <w:szCs w:val="21"/>
          <w:highlight w:val="none"/>
          <w:lang w:val="en-US" w:eastAsia="zh-CN"/>
        </w:rPr>
        <w:t>00</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至</w:t>
      </w:r>
      <w:r>
        <w:rPr>
          <w:rFonts w:hint="eastAsia" w:ascii="宋体" w:hAnsi="宋体" w:eastAsia="宋体" w:cs="宋体"/>
          <w:bCs/>
          <w:color w:val="auto"/>
          <w:sz w:val="21"/>
          <w:szCs w:val="21"/>
          <w:highlight w:val="none"/>
          <w:lang w:val="en-US" w:eastAsia="zh-CN"/>
        </w:rPr>
        <w:t>2021年</w:t>
      </w: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lang w:val="en-US" w:eastAsia="zh-CN"/>
        </w:rPr>
        <w:t>月</w:t>
      </w:r>
      <w:r>
        <w:rPr>
          <w:rFonts w:hint="eastAsia" w:ascii="宋体" w:hAnsi="宋体" w:cs="宋体"/>
          <w:bCs/>
          <w:color w:val="auto"/>
          <w:sz w:val="21"/>
          <w:szCs w:val="21"/>
          <w:highlight w:val="none"/>
          <w:lang w:val="en-US" w:eastAsia="zh-CN"/>
        </w:rPr>
        <w:t>13</w:t>
      </w:r>
      <w:r>
        <w:rPr>
          <w:rFonts w:hint="eastAsia" w:ascii="宋体" w:hAnsi="宋体" w:eastAsia="宋体" w:cs="宋体"/>
          <w:bCs/>
          <w:color w:val="auto"/>
          <w:sz w:val="21"/>
          <w:szCs w:val="21"/>
          <w:highlight w:val="none"/>
          <w:lang w:val="en-US" w:eastAsia="zh-CN"/>
        </w:rPr>
        <w:t>日上午9</w:t>
      </w:r>
      <w:r>
        <w:rPr>
          <w:rFonts w:hint="eastAsia" w:ascii="宋体" w:hAnsi="宋体" w:eastAsia="宋体" w:cs="宋体"/>
          <w:bCs/>
          <w:color w:val="auto"/>
          <w:sz w:val="21"/>
          <w:szCs w:val="21"/>
          <w:highlight w:val="none"/>
        </w:rPr>
        <w:t>时</w:t>
      </w:r>
      <w:r>
        <w:rPr>
          <w:rFonts w:hint="eastAsia" w:ascii="宋体" w:hAnsi="宋体" w:eastAsia="宋体" w:cs="宋体"/>
          <w:bCs/>
          <w:color w:val="auto"/>
          <w:sz w:val="21"/>
          <w:szCs w:val="21"/>
          <w:highlight w:val="none"/>
          <w:lang w:val="en-US" w:eastAsia="zh-CN"/>
        </w:rPr>
        <w:t>30</w:t>
      </w:r>
      <w:r>
        <w:rPr>
          <w:rFonts w:hint="eastAsia" w:ascii="宋体" w:hAnsi="宋体" w:eastAsia="宋体" w:cs="宋体"/>
          <w:bCs/>
          <w:color w:val="auto"/>
          <w:sz w:val="21"/>
          <w:szCs w:val="21"/>
          <w:highlight w:val="none"/>
        </w:rPr>
        <w:t>分</w:t>
      </w:r>
      <w:r>
        <w:rPr>
          <w:rFonts w:hint="eastAsia" w:ascii="宋体" w:hAnsi="宋体" w:eastAsia="宋体" w:cs="宋体"/>
          <w:bCs/>
          <w:color w:val="auto"/>
          <w:sz w:val="21"/>
          <w:szCs w:val="21"/>
          <w:highlight w:val="none"/>
          <w:lang w:eastAsia="zh-CN"/>
        </w:rPr>
        <w:t>止</w:t>
      </w:r>
      <w:r>
        <w:rPr>
          <w:rFonts w:hint="eastAsia" w:ascii="宋体" w:hAnsi="宋体" w:eastAsia="宋体" w:cs="宋体"/>
          <w:bCs/>
          <w:color w:val="auto"/>
          <w:sz w:val="21"/>
          <w:szCs w:val="21"/>
          <w:highlight w:val="none"/>
        </w:rPr>
        <w:t>。</w:t>
      </w:r>
    </w:p>
    <w:p>
      <w:pPr>
        <w:numPr>
          <w:ilvl w:val="0"/>
          <w:numId w:val="2"/>
        </w:numPr>
        <w:snapToGrid w:val="0"/>
        <w:spacing w:line="360" w:lineRule="auto"/>
        <w:ind w:left="420" w:hanging="420" w:hanging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提交投标文件地点：</w:t>
      </w:r>
      <w:r>
        <w:rPr>
          <w:rFonts w:hint="eastAsia" w:ascii="宋体" w:hAnsi="宋体" w:eastAsia="宋体" w:cs="宋体"/>
          <w:color w:val="auto"/>
          <w:kern w:val="0"/>
          <w:sz w:val="21"/>
          <w:szCs w:val="21"/>
          <w:highlight w:val="none"/>
        </w:rPr>
        <w:t>佛山市南海区桂城海六路8号联达大厦</w:t>
      </w:r>
      <w:r>
        <w:rPr>
          <w:rFonts w:hint="eastAsia" w:ascii="宋体" w:hAnsi="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楼佛山市南海公有资产流转服务有限公司</w:t>
      </w:r>
      <w:r>
        <w:rPr>
          <w:rFonts w:hint="eastAsia" w:ascii="宋体" w:hAnsi="宋体" w:eastAsia="宋体" w:cs="宋体"/>
          <w:bCs/>
          <w:color w:val="auto"/>
          <w:sz w:val="21"/>
          <w:szCs w:val="21"/>
          <w:highlight w:val="none"/>
        </w:rPr>
        <w:t>。</w:t>
      </w:r>
    </w:p>
    <w:p>
      <w:pPr>
        <w:numPr>
          <w:ilvl w:val="0"/>
          <w:numId w:val="2"/>
        </w:numPr>
        <w:snapToGrid w:val="0"/>
        <w:spacing w:line="360" w:lineRule="auto"/>
        <w:ind w:left="420" w:hanging="420" w:hanging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投标截止及开标时间：</w:t>
      </w:r>
      <w:r>
        <w:rPr>
          <w:rFonts w:hint="eastAsia" w:ascii="宋体" w:hAnsi="宋体" w:eastAsia="宋体" w:cs="宋体"/>
          <w:bCs/>
          <w:color w:val="auto"/>
          <w:sz w:val="21"/>
          <w:szCs w:val="21"/>
          <w:highlight w:val="none"/>
          <w:lang w:eastAsia="zh-CN"/>
        </w:rPr>
        <w:t>20</w:t>
      </w:r>
      <w:r>
        <w:rPr>
          <w:rFonts w:hint="eastAsia" w:ascii="宋体" w:hAnsi="宋体" w:eastAsia="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年</w:t>
      </w:r>
      <w:r>
        <w:rPr>
          <w:rFonts w:hint="eastAsia" w:ascii="宋体" w:hAnsi="宋体" w:cs="宋体"/>
          <w:bCs/>
          <w:color w:val="auto"/>
          <w:sz w:val="21"/>
          <w:szCs w:val="21"/>
          <w:highlight w:val="none"/>
          <w:lang w:val="en-US" w:eastAsia="zh-CN"/>
        </w:rPr>
        <w:t>7</w:t>
      </w:r>
      <w:r>
        <w:rPr>
          <w:rFonts w:hint="eastAsia" w:ascii="宋体" w:hAnsi="宋体" w:eastAsia="宋体" w:cs="宋体"/>
          <w:bCs/>
          <w:color w:val="auto"/>
          <w:sz w:val="21"/>
          <w:szCs w:val="21"/>
          <w:highlight w:val="none"/>
        </w:rPr>
        <w:t>月</w:t>
      </w:r>
      <w:r>
        <w:rPr>
          <w:rFonts w:hint="eastAsia" w:ascii="宋体" w:hAnsi="宋体" w:cs="宋体"/>
          <w:bCs/>
          <w:color w:val="auto"/>
          <w:sz w:val="21"/>
          <w:szCs w:val="21"/>
          <w:highlight w:val="none"/>
          <w:lang w:val="en-US" w:eastAsia="zh-CN"/>
        </w:rPr>
        <w:t>13</w:t>
      </w:r>
      <w:r>
        <w:rPr>
          <w:rFonts w:hint="eastAsia" w:ascii="宋体" w:hAnsi="宋体" w:eastAsia="宋体" w:cs="宋体"/>
          <w:bCs/>
          <w:color w:val="auto"/>
          <w:sz w:val="21"/>
          <w:szCs w:val="21"/>
          <w:highlight w:val="none"/>
        </w:rPr>
        <w:t>日</w:t>
      </w:r>
      <w:r>
        <w:rPr>
          <w:rFonts w:hint="eastAsia" w:ascii="宋体" w:hAnsi="宋体" w:eastAsia="宋体" w:cs="宋体"/>
          <w:bCs/>
          <w:color w:val="auto"/>
          <w:sz w:val="21"/>
          <w:szCs w:val="21"/>
          <w:highlight w:val="none"/>
          <w:lang w:eastAsia="zh-CN"/>
        </w:rPr>
        <w:t>上午</w:t>
      </w: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时</w:t>
      </w:r>
      <w:r>
        <w:rPr>
          <w:rFonts w:hint="eastAsia" w:ascii="宋体" w:hAnsi="宋体" w:eastAsia="宋体" w:cs="宋体"/>
          <w:bCs/>
          <w:color w:val="auto"/>
          <w:sz w:val="21"/>
          <w:szCs w:val="21"/>
          <w:highlight w:val="none"/>
          <w:lang w:val="en-US" w:eastAsia="zh-CN"/>
        </w:rPr>
        <w:t>30</w:t>
      </w:r>
      <w:r>
        <w:rPr>
          <w:rFonts w:hint="eastAsia" w:ascii="宋体" w:hAnsi="宋体" w:eastAsia="宋体" w:cs="宋体"/>
          <w:bCs/>
          <w:color w:val="auto"/>
          <w:sz w:val="21"/>
          <w:szCs w:val="21"/>
          <w:highlight w:val="none"/>
        </w:rPr>
        <w:t>分。</w:t>
      </w:r>
    </w:p>
    <w:p>
      <w:pPr>
        <w:numPr>
          <w:ilvl w:val="0"/>
          <w:numId w:val="2"/>
        </w:numPr>
        <w:snapToGrid w:val="0"/>
        <w:spacing w:line="360" w:lineRule="auto"/>
        <w:ind w:left="420" w:hanging="420" w:hanging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开标地点：</w:t>
      </w:r>
      <w:r>
        <w:rPr>
          <w:rFonts w:hint="eastAsia" w:ascii="宋体" w:hAnsi="宋体" w:eastAsia="宋体" w:cs="宋体"/>
          <w:color w:val="auto"/>
          <w:kern w:val="0"/>
          <w:sz w:val="21"/>
          <w:szCs w:val="21"/>
          <w:highlight w:val="none"/>
        </w:rPr>
        <w:t>佛山市南海区桂城海六路8号联达大厦</w:t>
      </w:r>
      <w:r>
        <w:rPr>
          <w:rFonts w:hint="eastAsia" w:ascii="宋体" w:hAnsi="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楼佛山市南海公有资产流转服务有限公司</w:t>
      </w:r>
      <w:r>
        <w:rPr>
          <w:rFonts w:hint="eastAsia" w:ascii="宋体" w:hAnsi="宋体" w:eastAsia="宋体" w:cs="宋体"/>
          <w:bCs/>
          <w:color w:val="auto"/>
          <w:sz w:val="21"/>
          <w:szCs w:val="21"/>
          <w:highlight w:val="none"/>
        </w:rPr>
        <w:t>。</w:t>
      </w:r>
    </w:p>
    <w:p>
      <w:pPr>
        <w:numPr>
          <w:ilvl w:val="0"/>
          <w:numId w:val="2"/>
        </w:numPr>
        <w:snapToGrid w:val="0"/>
        <w:spacing w:line="360" w:lineRule="auto"/>
        <w:ind w:left="420" w:hanging="420" w:hanging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投标保证金递交时间、其支付方式及保证金金额：</w:t>
      </w:r>
    </w:p>
    <w:p>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投标人须于公告之日起至</w:t>
      </w:r>
      <w:r>
        <w:rPr>
          <w:rFonts w:hint="eastAsia" w:ascii="宋体" w:hAnsi="宋体" w:eastAsia="宋体" w:cs="宋体"/>
          <w:color w:val="auto"/>
          <w:kern w:val="0"/>
          <w:sz w:val="21"/>
          <w:szCs w:val="21"/>
          <w:highlight w:val="none"/>
          <w:lang w:eastAsia="zh-CN"/>
        </w:rPr>
        <w:t>20</w:t>
      </w:r>
      <w:r>
        <w:rPr>
          <w:rFonts w:hint="eastAsia" w:ascii="宋体" w:hAnsi="宋体" w:eastAsia="宋体" w:cs="宋体"/>
          <w:color w:val="auto"/>
          <w:kern w:val="0"/>
          <w:sz w:val="21"/>
          <w:szCs w:val="21"/>
          <w:highlight w:val="none"/>
          <w:lang w:val="en-US" w:eastAsia="zh-CN"/>
        </w:rPr>
        <w:t>21</w:t>
      </w:r>
      <w:r>
        <w:rPr>
          <w:rFonts w:hint="eastAsia" w:ascii="宋体" w:hAnsi="宋体" w:eastAsia="宋体" w:cs="宋体"/>
          <w:color w:val="auto"/>
          <w:kern w:val="0"/>
          <w:sz w:val="21"/>
          <w:szCs w:val="21"/>
          <w:highlight w:val="none"/>
        </w:rPr>
        <w:t>年</w:t>
      </w:r>
      <w:r>
        <w:rPr>
          <w:rFonts w:hint="eastAsia" w:ascii="宋体" w:hAnsi="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月</w:t>
      </w:r>
      <w:r>
        <w:rPr>
          <w:rFonts w:hint="eastAsia" w:ascii="宋体" w:hAnsi="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日下午17：00时前，将采购项目保证金由投标人名下的银行账户（采用银行柜台、网上银行转账两种方式之一的方式）缴纳到以下指定账户，以银行到账为准。保证金金额为￥</w:t>
      </w:r>
      <w:r>
        <w:rPr>
          <w:rFonts w:hint="eastAsia" w:ascii="宋体" w:hAnsi="宋体" w:eastAsia="宋体" w:cs="宋体"/>
          <w:color w:val="auto"/>
          <w:kern w:val="0"/>
          <w:sz w:val="21"/>
          <w:szCs w:val="21"/>
          <w:highlight w:val="none"/>
          <w:lang w:val="en-US" w:eastAsia="zh-CN"/>
        </w:rPr>
        <w:t>19</w:t>
      </w:r>
      <w:r>
        <w:rPr>
          <w:rFonts w:hint="eastAsia" w:ascii="宋体" w:hAnsi="宋体" w:cs="宋体"/>
          <w:color w:val="auto"/>
          <w:kern w:val="0"/>
          <w:sz w:val="21"/>
          <w:szCs w:val="21"/>
          <w:highlight w:val="none"/>
          <w:lang w:val="en-US" w:eastAsia="zh-CN"/>
        </w:rPr>
        <w:t>6</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000</w:t>
      </w:r>
      <w:r>
        <w:rPr>
          <w:rFonts w:hint="eastAsia" w:ascii="宋体" w:hAnsi="宋体" w:eastAsia="宋体" w:cs="宋体"/>
          <w:color w:val="auto"/>
          <w:kern w:val="0"/>
          <w:sz w:val="21"/>
          <w:szCs w:val="21"/>
          <w:highlight w:val="none"/>
          <w:lang w:val="en-US" w:eastAsia="zh-CN"/>
        </w:rPr>
        <w:t>.0</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元（大写：人民币</w:t>
      </w:r>
      <w:r>
        <w:rPr>
          <w:rFonts w:hint="eastAsia" w:ascii="宋体" w:hAnsi="宋体" w:eastAsia="宋体" w:cs="宋体"/>
          <w:color w:val="auto"/>
          <w:kern w:val="0"/>
          <w:sz w:val="21"/>
          <w:szCs w:val="21"/>
          <w:highlight w:val="none"/>
          <w:lang w:val="en-US" w:eastAsia="zh-CN"/>
        </w:rPr>
        <w:t>壹拾玖万</w:t>
      </w:r>
      <w:r>
        <w:rPr>
          <w:rFonts w:hint="eastAsia" w:ascii="宋体" w:hAnsi="宋体" w:cs="宋体"/>
          <w:color w:val="auto"/>
          <w:kern w:val="0"/>
          <w:sz w:val="21"/>
          <w:szCs w:val="21"/>
          <w:highlight w:val="none"/>
          <w:lang w:val="en-US" w:eastAsia="zh-CN"/>
        </w:rPr>
        <w:t>陆仟元整</w:t>
      </w:r>
      <w:r>
        <w:rPr>
          <w:rFonts w:hint="eastAsia" w:ascii="宋体" w:hAnsi="宋体" w:eastAsia="宋体" w:cs="宋体"/>
          <w:color w:val="auto"/>
          <w:kern w:val="0"/>
          <w:sz w:val="21"/>
          <w:szCs w:val="21"/>
          <w:highlight w:val="none"/>
        </w:rPr>
        <w:t>）。</w:t>
      </w:r>
    </w:p>
    <w:p>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特别说明：本项目无须报名，已经缴纳保证金的投标人须在规定时间内提交投标文件，</w:t>
      </w:r>
      <w:r>
        <w:rPr>
          <w:rFonts w:hint="eastAsia" w:ascii="宋体" w:hAnsi="宋体" w:eastAsia="宋体" w:cs="宋体"/>
          <w:color w:val="auto"/>
          <w:sz w:val="21"/>
          <w:szCs w:val="21"/>
          <w:highlight w:val="none"/>
        </w:rPr>
        <w:t>《企业采购保证金退付委托书》</w:t>
      </w:r>
      <w:r>
        <w:rPr>
          <w:rFonts w:hint="eastAsia" w:ascii="宋体" w:hAnsi="宋体" w:eastAsia="宋体" w:cs="宋体"/>
          <w:color w:val="auto"/>
          <w:kern w:val="0"/>
          <w:sz w:val="21"/>
          <w:szCs w:val="21"/>
          <w:highlight w:val="none"/>
          <w:lang w:val="en-US" w:eastAsia="zh-CN"/>
        </w:rPr>
        <w:t>和营业执照复印件（需盖单位公章）须另外单独提交，其</w:t>
      </w:r>
      <w:r>
        <w:rPr>
          <w:rFonts w:hint="eastAsia" w:ascii="宋体" w:hAnsi="宋体" w:eastAsia="宋体" w:cs="宋体"/>
          <w:color w:val="auto"/>
          <w:sz w:val="21"/>
          <w:szCs w:val="21"/>
          <w:highlight w:val="none"/>
        </w:rPr>
        <w:t>为投标人办理投标保证金退付的必须资料</w:t>
      </w:r>
      <w:r>
        <w:rPr>
          <w:rFonts w:hint="eastAsia" w:ascii="宋体" w:hAnsi="宋体" w:eastAsia="宋体" w:cs="宋体"/>
          <w:color w:val="auto"/>
          <w:kern w:val="0"/>
          <w:sz w:val="21"/>
          <w:szCs w:val="21"/>
          <w:highlight w:val="none"/>
        </w:rPr>
        <w:t>，由佛山市南海公有资产流转服务有限公司按照相关文件要求规定办理退款。</w:t>
      </w:r>
      <w:r>
        <w:rPr>
          <w:rFonts w:hint="eastAsia" w:ascii="宋体" w:hAnsi="宋体" w:eastAsia="宋体" w:cs="宋体"/>
          <w:color w:val="auto"/>
          <w:kern w:val="0"/>
          <w:sz w:val="21"/>
          <w:szCs w:val="21"/>
          <w:highlight w:val="none"/>
          <w:lang w:eastAsia="zh-CN"/>
        </w:rPr>
        <w:t>】</w:t>
      </w:r>
    </w:p>
    <w:p>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（1）通过银行柜台转账时，</w:t>
      </w:r>
      <w:r>
        <w:rPr>
          <w:rFonts w:hint="eastAsia" w:ascii="宋体" w:hAnsi="宋体" w:eastAsia="宋体" w:cs="宋体"/>
          <w:color w:val="auto"/>
          <w:kern w:val="0"/>
          <w:sz w:val="21"/>
          <w:szCs w:val="21"/>
          <w:highlight w:val="none"/>
          <w:lang w:eastAsia="zh-CN"/>
        </w:rPr>
        <w:t>必须</w:t>
      </w:r>
      <w:r>
        <w:rPr>
          <w:rFonts w:hint="eastAsia" w:ascii="宋体" w:hAnsi="宋体" w:eastAsia="宋体" w:cs="宋体"/>
          <w:color w:val="auto"/>
          <w:kern w:val="0"/>
          <w:sz w:val="21"/>
          <w:szCs w:val="21"/>
          <w:highlight w:val="none"/>
        </w:rPr>
        <w:t>在银行进账单或汇款凭证中准确填写收款人和交款人名称、账户，以及缴纳金额、交纳人证件号码信息；银行进账单或汇款凭证的备注/用途/附言等备注信息栏中</w:t>
      </w:r>
      <w:r>
        <w:rPr>
          <w:rFonts w:hint="eastAsia" w:ascii="宋体" w:hAnsi="宋体" w:eastAsia="宋体" w:cs="宋体"/>
          <w:color w:val="auto"/>
          <w:kern w:val="0"/>
          <w:sz w:val="21"/>
          <w:szCs w:val="21"/>
          <w:highlight w:val="none"/>
          <w:lang w:eastAsia="zh-CN"/>
        </w:rPr>
        <w:t>需</w:t>
      </w:r>
      <w:r>
        <w:rPr>
          <w:rFonts w:hint="eastAsia" w:ascii="宋体" w:hAnsi="宋体" w:eastAsia="宋体" w:cs="宋体"/>
          <w:color w:val="auto"/>
          <w:kern w:val="0"/>
          <w:sz w:val="21"/>
          <w:szCs w:val="21"/>
          <w:highlight w:val="none"/>
        </w:rPr>
        <w:t>准确填写采购项目的项目名称简称。</w:t>
      </w:r>
    </w:p>
    <w:p>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（2）通过网上银行转账时，必须在网上银行支付界面准确填写收款人和交款人名称、账户、缴纳金额，备注/用途/附言等备注信息栏中</w:t>
      </w:r>
      <w:r>
        <w:rPr>
          <w:rFonts w:hint="eastAsia" w:ascii="宋体" w:hAnsi="宋体" w:eastAsia="宋体" w:cs="宋体"/>
          <w:color w:val="auto"/>
          <w:kern w:val="0"/>
          <w:sz w:val="21"/>
          <w:szCs w:val="21"/>
          <w:highlight w:val="none"/>
          <w:lang w:eastAsia="zh-CN"/>
        </w:rPr>
        <w:t>需</w:t>
      </w:r>
      <w:r>
        <w:rPr>
          <w:rFonts w:hint="eastAsia" w:ascii="宋体" w:hAnsi="宋体" w:eastAsia="宋体" w:cs="宋体"/>
          <w:color w:val="auto"/>
          <w:kern w:val="0"/>
          <w:sz w:val="21"/>
          <w:szCs w:val="21"/>
          <w:highlight w:val="none"/>
        </w:rPr>
        <w:t>准确填写采购项目的项目名称简称。</w:t>
      </w:r>
    </w:p>
    <w:p>
      <w:pPr>
        <w:widowControl/>
        <w:spacing w:line="360" w:lineRule="auto"/>
        <w:jc w:val="left"/>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kern w:val="0"/>
          <w:sz w:val="21"/>
          <w:szCs w:val="21"/>
          <w:highlight w:val="none"/>
        </w:rPr>
        <w:t>（3）本项目名称简称：GZ</w:t>
      </w:r>
      <w:r>
        <w:rPr>
          <w:rFonts w:hint="eastAsia" w:ascii="宋体" w:hAnsi="宋体" w:cs="宋体"/>
          <w:color w:val="auto"/>
          <w:kern w:val="0"/>
          <w:sz w:val="21"/>
          <w:szCs w:val="21"/>
          <w:highlight w:val="none"/>
          <w:lang w:val="en-US" w:eastAsia="zh-CN"/>
        </w:rPr>
        <w:t>19</w:t>
      </w:r>
      <w:r>
        <w:rPr>
          <w:rFonts w:hint="eastAsia" w:ascii="宋体" w:hAnsi="宋体" w:eastAsia="宋体" w:cs="宋体"/>
          <w:color w:val="auto"/>
          <w:kern w:val="0"/>
          <w:sz w:val="21"/>
          <w:szCs w:val="21"/>
          <w:highlight w:val="none"/>
        </w:rPr>
        <w:t>8</w:t>
      </w:r>
      <w:r>
        <w:rPr>
          <w:rFonts w:hint="eastAsia" w:ascii="宋体" w:hAnsi="宋体" w:eastAsia="宋体" w:cs="宋体"/>
          <w:color w:val="auto"/>
          <w:kern w:val="0"/>
          <w:sz w:val="21"/>
          <w:szCs w:val="21"/>
          <w:highlight w:val="none"/>
          <w:lang w:val="en-US" w:eastAsia="zh-CN"/>
        </w:rPr>
        <w:t>+单位简称</w:t>
      </w:r>
    </w:p>
    <w:p>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收款（人）单位名称：佛山市南海公有资产流转服务有限公司</w:t>
      </w:r>
    </w:p>
    <w:p>
      <w:pPr>
        <w:widowControl/>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     账号：44504001040012386</w:t>
      </w:r>
    </w:p>
    <w:p>
      <w:pPr>
        <w:widowControl/>
        <w:spacing w:line="360" w:lineRule="auto"/>
        <w:jc w:val="left"/>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 xml:space="preserve">     开户行：中国农业银行佛山南海桂城支行</w:t>
      </w:r>
    </w:p>
    <w:p>
      <w:pPr>
        <w:numPr>
          <w:ilvl w:val="0"/>
          <w:numId w:val="2"/>
        </w:numPr>
        <w:snapToGrid w:val="0"/>
        <w:spacing w:line="360" w:lineRule="auto"/>
        <w:ind w:left="420" w:hanging="420" w:hanging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本公告期限自</w:t>
      </w:r>
      <w:bookmarkStart w:id="148" w:name="_GoBack"/>
      <w:r>
        <w:rPr>
          <w:rFonts w:hint="eastAsia" w:ascii="宋体" w:hAnsi="宋体" w:eastAsia="宋体" w:cs="宋体"/>
          <w:bCs/>
          <w:color w:val="auto"/>
          <w:sz w:val="21"/>
          <w:szCs w:val="21"/>
          <w:highlight w:val="none"/>
          <w:lang w:eastAsia="zh-CN"/>
        </w:rPr>
        <w:t>20</w:t>
      </w:r>
      <w:r>
        <w:rPr>
          <w:rFonts w:hint="eastAsia" w:ascii="宋体" w:hAnsi="宋体" w:eastAsia="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年</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月</w:t>
      </w:r>
      <w:r>
        <w:rPr>
          <w:rFonts w:hint="eastAsia" w:ascii="宋体" w:hAnsi="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日至</w:t>
      </w:r>
      <w:r>
        <w:rPr>
          <w:rFonts w:hint="eastAsia" w:ascii="宋体" w:hAnsi="宋体" w:eastAsia="宋体" w:cs="宋体"/>
          <w:bCs/>
          <w:color w:val="auto"/>
          <w:sz w:val="21"/>
          <w:szCs w:val="21"/>
          <w:highlight w:val="none"/>
          <w:lang w:eastAsia="zh-CN"/>
        </w:rPr>
        <w:t>20</w:t>
      </w:r>
      <w:r>
        <w:rPr>
          <w:rFonts w:hint="eastAsia" w:ascii="宋体" w:hAnsi="宋体" w:eastAsia="宋体" w:cs="宋体"/>
          <w:bCs/>
          <w:color w:val="auto"/>
          <w:sz w:val="21"/>
          <w:szCs w:val="21"/>
          <w:highlight w:val="none"/>
          <w:lang w:val="en-US" w:eastAsia="zh-CN"/>
        </w:rPr>
        <w:t>21</w:t>
      </w:r>
      <w:r>
        <w:rPr>
          <w:rFonts w:hint="eastAsia" w:ascii="宋体" w:hAnsi="宋体" w:eastAsia="宋体" w:cs="宋体"/>
          <w:bCs/>
          <w:color w:val="auto"/>
          <w:sz w:val="21"/>
          <w:szCs w:val="21"/>
          <w:highlight w:val="none"/>
        </w:rPr>
        <w:t>年</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月</w:t>
      </w:r>
      <w:r>
        <w:rPr>
          <w:rFonts w:hint="eastAsia" w:ascii="宋体" w:hAnsi="宋体" w:cs="宋体"/>
          <w:bCs/>
          <w:color w:val="auto"/>
          <w:sz w:val="21"/>
          <w:szCs w:val="21"/>
          <w:highlight w:val="none"/>
          <w:lang w:val="en-US" w:eastAsia="zh-CN"/>
        </w:rPr>
        <w:t>28</w:t>
      </w:r>
      <w:r>
        <w:rPr>
          <w:rFonts w:hint="eastAsia" w:ascii="宋体" w:hAnsi="宋体" w:eastAsia="宋体" w:cs="宋体"/>
          <w:bCs/>
          <w:color w:val="auto"/>
          <w:sz w:val="21"/>
          <w:szCs w:val="21"/>
          <w:highlight w:val="none"/>
        </w:rPr>
        <w:t>日</w:t>
      </w:r>
      <w:bookmarkEnd w:id="148"/>
      <w:r>
        <w:rPr>
          <w:rFonts w:hint="eastAsia" w:ascii="宋体" w:hAnsi="宋体" w:eastAsia="宋体" w:cs="宋体"/>
          <w:bCs/>
          <w:color w:val="auto"/>
          <w:sz w:val="21"/>
          <w:szCs w:val="21"/>
          <w:highlight w:val="none"/>
        </w:rPr>
        <w:t>止。</w:t>
      </w:r>
    </w:p>
    <w:p>
      <w:pPr>
        <w:numPr>
          <w:ilvl w:val="0"/>
          <w:numId w:val="2"/>
        </w:numPr>
        <w:snapToGrid w:val="0"/>
        <w:spacing w:line="360" w:lineRule="auto"/>
        <w:ind w:left="638" w:hanging="638" w:hangingChars="304"/>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采购过程如出现异常情况，佛山市南海公有资产流转服务有限公司有权暂停或者中止该采购项目</w:t>
      </w:r>
      <w:r>
        <w:rPr>
          <w:rFonts w:hint="eastAsia" w:ascii="宋体" w:hAnsi="宋体" w:eastAsia="宋体" w:cs="宋体"/>
          <w:bCs/>
          <w:color w:val="auto"/>
          <w:sz w:val="21"/>
          <w:szCs w:val="21"/>
          <w:highlight w:val="none"/>
        </w:rPr>
        <w:t>。</w:t>
      </w:r>
    </w:p>
    <w:p>
      <w:pPr>
        <w:numPr>
          <w:ilvl w:val="0"/>
          <w:numId w:val="2"/>
        </w:numPr>
        <w:snapToGrid w:val="0"/>
        <w:spacing w:line="360" w:lineRule="auto"/>
        <w:ind w:left="420" w:hanging="420" w:hanging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联系事项</w:t>
      </w:r>
    </w:p>
    <w:p>
      <w:pPr>
        <w:pStyle w:val="20"/>
        <w:widowControl w:val="0"/>
        <w:numPr>
          <w:ilvl w:val="0"/>
          <w:numId w:val="6"/>
        </w:numPr>
        <w:tabs>
          <w:tab w:val="left" w:pos="1050"/>
        </w:tabs>
        <w:snapToGrid w:val="0"/>
        <w:spacing w:before="0" w:beforeAutospacing="0" w:after="0" w:afterAutospacing="0" w:line="360" w:lineRule="auto"/>
        <w:ind w:firstLine="215"/>
        <w:jc w:val="both"/>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佛山市千灯湖创投小镇投资开发有限公司</w:t>
      </w:r>
      <w:r>
        <w:rPr>
          <w:rFonts w:hint="eastAsia" w:ascii="宋体" w:hAnsi="宋体" w:eastAsia="宋体" w:cs="宋体"/>
          <w:bCs/>
          <w:color w:val="auto"/>
          <w:sz w:val="21"/>
          <w:szCs w:val="21"/>
          <w:highlight w:val="none"/>
        </w:rPr>
        <w:t xml:space="preserve">      </w:t>
      </w:r>
    </w:p>
    <w:p>
      <w:pPr>
        <w:adjustRightInd w:val="0"/>
        <w:snapToGrid w:val="0"/>
        <w:spacing w:line="360" w:lineRule="auto"/>
        <w:ind w:left="425"/>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t>地址：</w:t>
      </w:r>
      <w:r>
        <w:rPr>
          <w:rFonts w:hint="eastAsia" w:ascii="宋体" w:hAnsi="宋体" w:eastAsia="宋体" w:cs="宋体"/>
          <w:bCs/>
          <w:color w:val="auto"/>
          <w:sz w:val="21"/>
          <w:szCs w:val="21"/>
          <w:highlight w:val="none"/>
        </w:rPr>
        <w:t>佛山市南海区桂城桂澜北路6号</w:t>
      </w:r>
    </w:p>
    <w:p>
      <w:pPr>
        <w:adjustRightInd w:val="0"/>
        <w:snapToGrid w:val="0"/>
        <w:spacing w:line="360" w:lineRule="auto"/>
        <w:ind w:left="425"/>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      联系人：</w:t>
      </w:r>
      <w:r>
        <w:rPr>
          <w:rFonts w:hint="eastAsia" w:ascii="宋体" w:hAnsi="宋体" w:eastAsia="宋体" w:cs="宋体"/>
          <w:color w:val="auto"/>
          <w:sz w:val="21"/>
          <w:szCs w:val="21"/>
          <w:highlight w:val="none"/>
          <w:lang w:eastAsia="zh-CN"/>
        </w:rPr>
        <w:t>张</w:t>
      </w:r>
      <w:r>
        <w:rPr>
          <w:rFonts w:hint="eastAsia" w:ascii="宋体" w:hAnsi="宋体" w:eastAsia="宋体" w:cs="宋体"/>
          <w:color w:val="auto"/>
          <w:sz w:val="21"/>
          <w:szCs w:val="21"/>
          <w:highlight w:val="none"/>
        </w:rPr>
        <w:t>先生</w:t>
      </w:r>
      <w:r>
        <w:rPr>
          <w:rFonts w:hint="eastAsia" w:ascii="宋体" w:hAnsi="宋体" w:eastAsia="宋体" w:cs="宋体"/>
          <w:bCs/>
          <w:color w:val="auto"/>
          <w:sz w:val="21"/>
          <w:szCs w:val="21"/>
          <w:highlight w:val="none"/>
        </w:rPr>
        <w:t xml:space="preserve">                        联系电话：</w:t>
      </w:r>
      <w:r>
        <w:rPr>
          <w:rFonts w:hint="eastAsia" w:ascii="宋体" w:hAnsi="宋体" w:cs="宋体"/>
          <w:color w:val="auto"/>
          <w:sz w:val="21"/>
          <w:szCs w:val="21"/>
          <w:highlight w:val="none"/>
          <w:lang w:val="en-US" w:eastAsia="zh-CN"/>
        </w:rPr>
        <w:t>0757-86678639</w:t>
      </w:r>
    </w:p>
    <w:p>
      <w:pPr>
        <w:adjustRightInd w:val="0"/>
        <w:snapToGrid w:val="0"/>
        <w:spacing w:line="360" w:lineRule="auto"/>
        <w:ind w:left="425"/>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 xml:space="preserve">      邮编：</w:t>
      </w:r>
      <w:r>
        <w:rPr>
          <w:rFonts w:hint="eastAsia" w:ascii="宋体" w:hAnsi="宋体" w:eastAsia="宋体" w:cs="宋体"/>
          <w:color w:val="auto"/>
          <w:sz w:val="21"/>
          <w:szCs w:val="21"/>
          <w:highlight w:val="none"/>
        </w:rPr>
        <w:t xml:space="preserve">528000    </w:t>
      </w:r>
    </w:p>
    <w:p>
      <w:pPr>
        <w:numPr>
          <w:ilvl w:val="0"/>
          <w:numId w:val="6"/>
        </w:numPr>
        <w:tabs>
          <w:tab w:val="left" w:pos="1050"/>
        </w:tabs>
        <w:adjustRightInd w:val="0"/>
        <w:snapToGrid w:val="0"/>
        <w:spacing w:line="360" w:lineRule="auto"/>
        <w:ind w:firstLine="215"/>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招标代理机构</w:t>
      </w:r>
      <w:r>
        <w:rPr>
          <w:rFonts w:hint="eastAsia" w:ascii="宋体" w:hAnsi="宋体" w:eastAsia="宋体" w:cs="宋体"/>
          <w:color w:val="auto"/>
          <w:sz w:val="21"/>
          <w:szCs w:val="21"/>
          <w:highlight w:val="none"/>
        </w:rPr>
        <w:t xml:space="preserve">：广东中采招标有限公司    </w:t>
      </w:r>
    </w:p>
    <w:p>
      <w:pPr>
        <w:numPr>
          <w:ilvl w:val="0"/>
          <w:numId w:val="0"/>
        </w:numPr>
        <w:tabs>
          <w:tab w:val="left" w:pos="1050"/>
        </w:tabs>
        <w:adjustRightInd w:val="0"/>
        <w:snapToGrid w:val="0"/>
        <w:spacing w:line="360" w:lineRule="auto"/>
        <w:ind w:left="640" w:leftChars="0"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地址：佛山市禅城区文华北路223号之一栋5层525、526、527单元</w:t>
      </w:r>
    </w:p>
    <w:p>
      <w:pPr>
        <w:adjustRightInd w:val="0"/>
        <w:snapToGrid w:val="0"/>
        <w:spacing w:line="360" w:lineRule="auto"/>
        <w:ind w:left="1054" w:leftChars="202" w:hanging="630" w:hanging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联系人：</w:t>
      </w:r>
      <w:r>
        <w:rPr>
          <w:rFonts w:hint="eastAsia" w:ascii="宋体" w:hAnsi="宋体" w:eastAsia="宋体" w:cs="宋体"/>
          <w:color w:val="auto"/>
          <w:sz w:val="21"/>
          <w:szCs w:val="21"/>
          <w:highlight w:val="none"/>
          <w:lang w:eastAsia="zh-CN"/>
        </w:rPr>
        <w:t>韩</w:t>
      </w:r>
      <w:r>
        <w:rPr>
          <w:rFonts w:hint="eastAsia" w:ascii="宋体" w:hAnsi="宋体" w:eastAsia="宋体" w:cs="宋体"/>
          <w:color w:val="auto"/>
          <w:sz w:val="21"/>
          <w:szCs w:val="21"/>
          <w:highlight w:val="none"/>
        </w:rPr>
        <w:t xml:space="preserve">小姐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联系方式：0757-81993027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 xml:space="preserve">0757-81279048                   邮政编码：528000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电邮：</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"mailto:gdzczb@126.com"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gdzczb@126.com</w:t>
      </w:r>
      <w:r>
        <w:rPr>
          <w:rFonts w:hint="eastAsia" w:ascii="宋体" w:hAnsi="宋体" w:eastAsia="宋体" w:cs="宋体"/>
          <w:color w:val="auto"/>
          <w:sz w:val="21"/>
          <w:szCs w:val="21"/>
          <w:highlight w:val="none"/>
        </w:rPr>
        <w:fldChar w:fldCharType="end"/>
      </w:r>
    </w:p>
    <w:p>
      <w:pPr>
        <w:snapToGrid w:val="0"/>
        <w:spacing w:line="360" w:lineRule="auto"/>
        <w:ind w:firstLine="435"/>
        <w:jc w:val="right"/>
        <w:rPr>
          <w:rFonts w:hint="eastAsia" w:ascii="宋体" w:hAnsi="宋体" w:eastAsia="宋体" w:cs="宋体"/>
          <w:b/>
          <w:color w:val="auto"/>
          <w:sz w:val="21"/>
          <w:szCs w:val="21"/>
          <w:highlight w:val="none"/>
        </w:rPr>
      </w:pPr>
    </w:p>
    <w:p>
      <w:pPr>
        <w:snapToGrid w:val="0"/>
        <w:spacing w:line="360" w:lineRule="auto"/>
        <w:ind w:firstLine="435"/>
        <w:jc w:val="righ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广东中采招标有限公司</w:t>
      </w:r>
    </w:p>
    <w:p>
      <w:pPr>
        <w:wordWrap w:val="0"/>
        <w:snapToGrid w:val="0"/>
        <w:spacing w:line="360" w:lineRule="auto"/>
        <w:ind w:firstLine="435"/>
        <w:jc w:val="righ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二〇二一</w:t>
      </w:r>
      <w:r>
        <w:rPr>
          <w:rFonts w:hint="eastAsia" w:ascii="宋体" w:hAnsi="宋体" w:eastAsia="宋体" w:cs="宋体"/>
          <w:b/>
          <w:color w:val="auto"/>
          <w:sz w:val="21"/>
          <w:szCs w:val="21"/>
          <w:highlight w:val="none"/>
        </w:rPr>
        <w:t>年</w:t>
      </w:r>
      <w:r>
        <w:rPr>
          <w:rFonts w:hint="eastAsia" w:ascii="宋体" w:hAnsi="宋体" w:cs="宋体"/>
          <w:b/>
          <w:color w:val="auto"/>
          <w:sz w:val="21"/>
          <w:szCs w:val="21"/>
          <w:highlight w:val="none"/>
          <w:lang w:eastAsia="zh-CN"/>
        </w:rPr>
        <w:t>六</w:t>
      </w:r>
      <w:r>
        <w:rPr>
          <w:rFonts w:hint="eastAsia" w:ascii="宋体" w:hAnsi="宋体" w:eastAsia="宋体" w:cs="宋体"/>
          <w:b/>
          <w:color w:val="auto"/>
          <w:sz w:val="21"/>
          <w:szCs w:val="21"/>
          <w:highlight w:val="none"/>
        </w:rPr>
        <w:t>月</w:t>
      </w:r>
      <w:r>
        <w:rPr>
          <w:rFonts w:hint="eastAsia" w:ascii="宋体" w:hAnsi="宋体" w:cs="宋体"/>
          <w:b/>
          <w:color w:val="auto"/>
          <w:sz w:val="21"/>
          <w:szCs w:val="21"/>
          <w:highlight w:val="none"/>
          <w:lang w:eastAsia="zh-CN"/>
        </w:rPr>
        <w:t>二十一</w:t>
      </w:r>
      <w:r>
        <w:rPr>
          <w:rFonts w:hint="eastAsia" w:ascii="宋体" w:hAnsi="宋体" w:eastAsia="宋体" w:cs="宋体"/>
          <w:b/>
          <w:color w:val="auto"/>
          <w:sz w:val="21"/>
          <w:szCs w:val="21"/>
          <w:highlight w:val="none"/>
        </w:rPr>
        <w:t>日</w:t>
      </w:r>
    </w:p>
    <w:p>
      <w:pPr>
        <w:numPr>
          <w:ilvl w:val="0"/>
          <w:numId w:val="0"/>
        </w:numPr>
        <w:snapToGrid w:val="0"/>
        <w:spacing w:line="360" w:lineRule="auto"/>
        <w:ind w:leftChars="-200"/>
        <w:rPr>
          <w:rFonts w:hint="eastAsia" w:ascii="宋体" w:hAnsi="宋体" w:eastAsia="宋体" w:cs="宋体"/>
          <w:bCs/>
          <w:color w:val="auto"/>
          <w:sz w:val="21"/>
          <w:szCs w:val="21"/>
          <w:highlight w:val="none"/>
        </w:rPr>
      </w:pPr>
    </w:p>
    <w:p>
      <w:pPr>
        <w:snapToGrid w:val="0"/>
        <w:spacing w:line="360" w:lineRule="auto"/>
        <w:jc w:val="right"/>
        <w:rPr>
          <w:rFonts w:hint="eastAsia" w:ascii="宋体" w:hAnsi="宋体" w:eastAsia="宋体" w:cs="宋体"/>
          <w:b/>
          <w:color w:val="auto"/>
          <w:sz w:val="21"/>
          <w:szCs w:val="21"/>
          <w:highlight w:val="none"/>
        </w:rPr>
        <w:sectPr>
          <w:footerReference r:id="rId9" w:type="first"/>
          <w:headerReference r:id="rId7" w:type="default"/>
          <w:footerReference r:id="rId8" w:type="default"/>
          <w:pgSz w:w="11906" w:h="16838"/>
          <w:pgMar w:top="1091" w:right="1466" w:bottom="1134" w:left="1260" w:header="623" w:footer="567" w:gutter="0"/>
          <w:pgBorders>
            <w:top w:val="none" w:sz="0" w:space="0"/>
            <w:left w:val="none" w:sz="0" w:space="0"/>
            <w:bottom w:val="none" w:sz="0" w:space="0"/>
            <w:right w:val="none" w:sz="0" w:space="0"/>
          </w:pgBorders>
          <w:pgNumType w:fmt="decimal" w:start="1"/>
          <w:cols w:space="720" w:num="1"/>
          <w:titlePg/>
          <w:docGrid w:type="lines" w:linePitch="312" w:charSpace="0"/>
        </w:sectPr>
      </w:pPr>
    </w:p>
    <w:p>
      <w:pPr>
        <w:adjustRightInd w:val="0"/>
        <w:snapToGrid w:val="0"/>
        <w:spacing w:before="156" w:beforeLines="50" w:after="156" w:afterLines="50" w:line="360" w:lineRule="auto"/>
        <w:jc w:val="center"/>
        <w:outlineLvl w:val="0"/>
        <w:rPr>
          <w:rFonts w:hint="eastAsia" w:ascii="Times New Roman" w:hAnsi="Times New Roman" w:eastAsia="宋体"/>
          <w:b/>
          <w:bCs/>
          <w:color w:val="auto"/>
          <w:sz w:val="28"/>
          <w:szCs w:val="28"/>
          <w:highlight w:val="none"/>
        </w:rPr>
      </w:pPr>
      <w:bookmarkStart w:id="1" w:name="_Toc996"/>
      <w:r>
        <w:rPr>
          <w:rFonts w:hint="eastAsia" w:ascii="Times New Roman" w:hAnsi="Times New Roman" w:eastAsia="宋体"/>
          <w:b/>
          <w:bCs/>
          <w:color w:val="auto"/>
          <w:sz w:val="28"/>
          <w:szCs w:val="28"/>
          <w:highlight w:val="none"/>
        </w:rPr>
        <w:t>第二章  投标资料表</w:t>
      </w:r>
      <w:bookmarkEnd w:id="1"/>
    </w:p>
    <w:p>
      <w:pPr>
        <w:numPr>
          <w:ilvl w:val="0"/>
          <w:numId w:val="7"/>
        </w:numPr>
        <w:spacing w:line="360" w:lineRule="auto"/>
        <w:ind w:right="-174" w:rightChars="-8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该资料表的条款项号是与第五章《投标人须知》条款项号对应的，或增加的条款，是对第五章《投标人须知》的补充、修改和完善。</w:t>
      </w:r>
    </w:p>
    <w:tbl>
      <w:tblPr>
        <w:tblStyle w:val="21"/>
        <w:tblW w:w="9093"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top w:val="single" w:color="auto" w:sz="12" w:space="0"/>
              <w:left w:val="single" w:color="auto" w:sz="12" w:space="0"/>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条款项号</w:t>
            </w:r>
          </w:p>
        </w:tc>
        <w:tc>
          <w:tcPr>
            <w:tcW w:w="7938" w:type="dxa"/>
            <w:tcBorders>
              <w:top w:val="single" w:color="auto" w:sz="12" w:space="0"/>
              <w:right w:val="single" w:color="auto" w:sz="12" w:space="0"/>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093" w:type="dxa"/>
            <w:gridSpan w:val="2"/>
            <w:tcBorders>
              <w:left w:val="single" w:color="auto" w:sz="12" w:space="0"/>
              <w:right w:val="single" w:color="auto" w:sz="12" w:space="0"/>
            </w:tcBorders>
            <w:vAlign w:val="center"/>
          </w:tcPr>
          <w:p>
            <w:pPr>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对第五章《投标人须知》的修改及补充：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left w:val="single" w:color="auto" w:sz="12" w:space="0"/>
              <w:right w:val="single" w:color="auto" w:sz="12" w:space="0"/>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2.3</w:t>
            </w:r>
          </w:p>
        </w:tc>
        <w:tc>
          <w:tcPr>
            <w:tcW w:w="7938" w:type="dxa"/>
            <w:tcBorders>
              <w:right w:val="single" w:color="auto" w:sz="12" w:space="0"/>
            </w:tcBorders>
            <w:vAlign w:val="center"/>
          </w:tcPr>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名称：</w:t>
            </w:r>
            <w:r>
              <w:rPr>
                <w:rFonts w:hint="eastAsia" w:ascii="宋体" w:hAnsi="宋体" w:eastAsia="宋体" w:cs="宋体"/>
                <w:color w:val="auto"/>
                <w:kern w:val="28"/>
                <w:sz w:val="21"/>
                <w:szCs w:val="21"/>
                <w:highlight w:val="none"/>
                <w:lang w:eastAsia="zh-CN"/>
              </w:rPr>
              <w:t>佛山市千灯湖创投小镇投资开发有限公司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7938" w:type="dxa"/>
            <w:tcBorders>
              <w:right w:val="single" w:color="auto" w:sz="12" w:space="0"/>
            </w:tcBorders>
            <w:vAlign w:val="center"/>
          </w:tcPr>
          <w:p>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招标代理机构</w:t>
            </w:r>
            <w:r>
              <w:rPr>
                <w:rFonts w:hint="eastAsia" w:ascii="宋体" w:hAnsi="宋体" w:eastAsia="宋体" w:cs="宋体"/>
                <w:color w:val="auto"/>
                <w:sz w:val="21"/>
                <w:szCs w:val="21"/>
                <w:highlight w:val="none"/>
              </w:rPr>
              <w:t>：广东中采招标有限公司</w:t>
            </w:r>
          </w:p>
          <w:p>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地址：佛山市禅城区文华北路223号之一栋5层525、526、527单元</w:t>
            </w:r>
          </w:p>
          <w:p>
            <w:pPr>
              <w:adjustRightInd w:val="0"/>
              <w:snapToGrid w:val="0"/>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电话：0757-81993027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0757-81279048。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left w:val="single" w:color="auto" w:sz="12" w:space="0"/>
              <w:right w:val="single" w:color="auto" w:sz="12" w:space="0"/>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二、招标文件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eastAsia="zh-CN"/>
              </w:rPr>
              <w:t>3</w:t>
            </w:r>
          </w:p>
        </w:tc>
        <w:tc>
          <w:tcPr>
            <w:tcW w:w="7938" w:type="dxa"/>
            <w:tcBorders>
              <w:right w:val="single" w:color="auto" w:sz="12" w:space="0"/>
            </w:tcBorders>
            <w:vAlign w:val="center"/>
          </w:tcPr>
          <w:p>
            <w:pPr>
              <w:adjustRightInd w:val="0"/>
              <w:snapToGrid w:val="0"/>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现场考察：</w:t>
            </w:r>
            <w:r>
              <w:rPr>
                <w:rFonts w:hint="eastAsia" w:ascii="宋体" w:hAnsi="宋体" w:cs="宋体"/>
                <w:color w:val="auto"/>
                <w:sz w:val="21"/>
                <w:szCs w:val="21"/>
                <w:highlight w:val="none"/>
                <w:lang w:eastAsia="zh-CN"/>
              </w:rPr>
              <w:t>自行考察</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8.1</w:t>
            </w:r>
          </w:p>
        </w:tc>
        <w:tc>
          <w:tcPr>
            <w:tcW w:w="7938" w:type="dxa"/>
            <w:tcBorders>
              <w:right w:val="single" w:color="auto" w:sz="12"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投标截止日期和时间：按招标文件第一章规定。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left w:val="single" w:color="auto" w:sz="12" w:space="0"/>
              <w:right w:val="single" w:color="auto" w:sz="12" w:space="0"/>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三、投标文件的编制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12.5</w:t>
            </w:r>
          </w:p>
        </w:tc>
        <w:tc>
          <w:tcPr>
            <w:tcW w:w="7938" w:type="dxa"/>
            <w:tcBorders>
              <w:right w:val="single" w:color="auto" w:sz="12"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投标人所报的投标价在合同执行过程中是固定不变的，不得以任何理由予以变更。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12.6</w:t>
            </w:r>
          </w:p>
        </w:tc>
        <w:tc>
          <w:tcPr>
            <w:tcW w:w="7938" w:type="dxa"/>
            <w:tcBorders>
              <w:right w:val="single" w:color="auto" w:sz="12"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不允许有备选方案，否则将被视为无效投标。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12.7</w:t>
            </w:r>
          </w:p>
        </w:tc>
        <w:tc>
          <w:tcPr>
            <w:tcW w:w="7938" w:type="dxa"/>
            <w:tcBorders>
              <w:right w:val="single" w:color="auto" w:sz="12"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不允许附加条件报价，否则将被视为无效投标。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17.1</w:t>
            </w:r>
          </w:p>
        </w:tc>
        <w:tc>
          <w:tcPr>
            <w:tcW w:w="7938" w:type="dxa"/>
            <w:tcBorders>
              <w:right w:val="single" w:color="auto" w:sz="12" w:space="0"/>
            </w:tcBorders>
            <w:vAlign w:val="center"/>
          </w:tcPr>
          <w:p>
            <w:pPr>
              <w:numPr>
                <w:ilvl w:val="0"/>
                <w:numId w:val="8"/>
              </w:numPr>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在规定时间内，投标人投标保证金必须采用转账或电汇方式，由投标人注册地基本账户（不含分公司账户）转出，转入</w:t>
            </w:r>
            <w:r>
              <w:rPr>
                <w:rFonts w:hint="eastAsia" w:ascii="宋体" w:hAnsi="宋体" w:eastAsia="宋体" w:cs="宋体"/>
                <w:color w:val="auto"/>
                <w:kern w:val="0"/>
                <w:sz w:val="21"/>
                <w:szCs w:val="21"/>
                <w:highlight w:val="none"/>
              </w:rPr>
              <w:t>佛山市南海公有资产流转服务有限公司</w:t>
            </w:r>
            <w:r>
              <w:rPr>
                <w:rFonts w:hint="eastAsia" w:ascii="宋体" w:hAnsi="宋体" w:eastAsia="宋体" w:cs="宋体"/>
                <w:color w:val="auto"/>
                <w:sz w:val="21"/>
                <w:szCs w:val="21"/>
                <w:highlight w:val="none"/>
              </w:rPr>
              <w:t>专用存款账户；</w:t>
            </w:r>
          </w:p>
          <w:p>
            <w:pPr>
              <w:numPr>
                <w:ilvl w:val="0"/>
                <w:numId w:val="8"/>
              </w:numPr>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投标人在开标会前，必须向招标代理机构提交有《企业采购保证金退付委托书》和营业执照复印件（需</w:t>
            </w:r>
            <w:r>
              <w:rPr>
                <w:rFonts w:hint="eastAsia" w:ascii="宋体" w:hAnsi="宋体" w:eastAsia="宋体" w:cs="宋体"/>
                <w:color w:val="auto"/>
                <w:sz w:val="21"/>
                <w:szCs w:val="21"/>
                <w:highlight w:val="none"/>
                <w:lang w:eastAsia="zh-CN"/>
              </w:rPr>
              <w:t>加</w:t>
            </w:r>
            <w:r>
              <w:rPr>
                <w:rFonts w:hint="eastAsia" w:ascii="宋体" w:hAnsi="宋体" w:eastAsia="宋体" w:cs="宋体"/>
                <w:color w:val="auto"/>
                <w:sz w:val="21"/>
                <w:szCs w:val="21"/>
                <w:highlight w:val="none"/>
              </w:rPr>
              <w:t>盖</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公章），作为退付保证金材料。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18.1</w:t>
            </w:r>
          </w:p>
        </w:tc>
        <w:tc>
          <w:tcPr>
            <w:tcW w:w="7938" w:type="dxa"/>
            <w:tcBorders>
              <w:right w:val="single" w:color="auto" w:sz="12"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19.1</w:t>
            </w:r>
          </w:p>
        </w:tc>
        <w:tc>
          <w:tcPr>
            <w:tcW w:w="7938" w:type="dxa"/>
            <w:tcBorders>
              <w:right w:val="single" w:color="auto" w:sz="12"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w:t>
            </w:r>
            <w:r>
              <w:rPr>
                <w:rFonts w:hint="eastAsia" w:ascii="宋体" w:hAnsi="宋体" w:eastAsia="宋体" w:cs="宋体"/>
                <w:color w:val="auto"/>
                <w:sz w:val="21"/>
                <w:szCs w:val="21"/>
                <w:highlight w:val="none"/>
              </w:rPr>
              <w:t>文件份数：正本一份，副本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份，电子文件一份。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left w:val="single" w:color="auto" w:sz="12" w:space="0"/>
              <w:right w:val="single" w:color="auto" w:sz="12" w:space="0"/>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四、投标文件的递交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20.2.1</w:t>
            </w:r>
          </w:p>
        </w:tc>
        <w:tc>
          <w:tcPr>
            <w:tcW w:w="7938" w:type="dxa"/>
            <w:tcBorders>
              <w:right w:val="single" w:color="auto" w:sz="12" w:space="0"/>
            </w:tcBorders>
            <w:vAlign w:val="center"/>
          </w:tcPr>
          <w:p>
            <w:pPr>
              <w:ind w:left="105" w:hanging="105" w:hanging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投标文件递交地址：按招标文件第一章投标邀请中规定。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w:t>
            </w:r>
          </w:p>
        </w:tc>
        <w:tc>
          <w:tcPr>
            <w:tcW w:w="7938" w:type="dxa"/>
            <w:tcBorders>
              <w:right w:val="single" w:color="auto" w:sz="12"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开标日期、时间和地点：按招标文件第一章投标邀请中规定。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left w:val="single" w:color="auto" w:sz="12" w:space="0"/>
              <w:right w:val="single" w:color="auto" w:sz="12" w:space="0"/>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五、开标与评标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.1</w:t>
            </w:r>
          </w:p>
        </w:tc>
        <w:tc>
          <w:tcPr>
            <w:tcW w:w="7938" w:type="dxa"/>
            <w:tcBorders>
              <w:right w:val="single" w:color="auto" w:sz="12" w:space="0"/>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zh-CN"/>
              </w:rPr>
              <w:t>评标委员会由5名单数组成，均</w:t>
            </w:r>
            <w:r>
              <w:rPr>
                <w:rFonts w:hint="eastAsia" w:ascii="宋体" w:hAnsi="宋体" w:eastAsia="宋体" w:cs="宋体"/>
                <w:bCs/>
                <w:color w:val="auto"/>
                <w:kern w:val="0"/>
                <w:sz w:val="21"/>
                <w:szCs w:val="21"/>
                <w:highlight w:val="none"/>
              </w:rPr>
              <w:t>从</w:t>
            </w:r>
            <w:r>
              <w:rPr>
                <w:rFonts w:hint="eastAsia" w:ascii="宋体" w:hAnsi="宋体" w:eastAsia="宋体" w:cs="宋体"/>
                <w:color w:val="auto"/>
                <w:kern w:val="0"/>
                <w:sz w:val="21"/>
                <w:szCs w:val="21"/>
                <w:highlight w:val="none"/>
                <w:lang w:val="zh-CN"/>
              </w:rPr>
              <w:t>广东省综合评标评审专家库随机抽取的专家组成。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28.2</w:t>
            </w:r>
          </w:p>
        </w:tc>
        <w:tc>
          <w:tcPr>
            <w:tcW w:w="7938" w:type="dxa"/>
            <w:tcBorders>
              <w:right w:val="single" w:color="auto" w:sz="12" w:space="0"/>
            </w:tcBorders>
            <w:vAlign w:val="center"/>
          </w:tcPr>
          <w:p>
            <w:pP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评标方法：采用综合评分法。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28.2</w:t>
            </w:r>
          </w:p>
        </w:tc>
        <w:tc>
          <w:tcPr>
            <w:tcW w:w="7938" w:type="dxa"/>
            <w:tcBorders>
              <w:right w:val="single" w:color="auto" w:sz="12" w:space="0"/>
            </w:tcBorders>
            <w:vAlign w:val="center"/>
          </w:tcPr>
          <w:p>
            <w:pP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定标原则：推荐综合得分排名第一的投标人为第一中标候选人。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 w:hRule="atLeast"/>
        </w:trPr>
        <w:tc>
          <w:tcPr>
            <w:tcW w:w="9093" w:type="dxa"/>
            <w:gridSpan w:val="2"/>
            <w:tcBorders>
              <w:left w:val="single" w:color="auto" w:sz="12" w:space="0"/>
              <w:right w:val="single" w:color="auto" w:sz="12" w:space="0"/>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六、授予合同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32.1</w:t>
            </w:r>
          </w:p>
        </w:tc>
        <w:tc>
          <w:tcPr>
            <w:tcW w:w="7938" w:type="dxa"/>
            <w:tcBorders>
              <w:right w:val="single" w:color="auto" w:sz="12" w:space="0"/>
            </w:tcBorders>
            <w:vAlign w:val="center"/>
          </w:tcPr>
          <w:p>
            <w:pPr>
              <w:spacing w:line="30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合同签订时间：自《中标通知书》发出之日起</w:t>
            </w:r>
            <w:r>
              <w:rPr>
                <w:rFonts w:hint="eastAsia" w:ascii="宋体" w:hAnsi="宋体" w:eastAsia="宋体" w:cs="宋体"/>
                <w:color w:val="auto"/>
                <w:sz w:val="21"/>
                <w:szCs w:val="21"/>
                <w:highlight w:val="none"/>
                <w:lang w:eastAsia="zh-CN"/>
              </w:rPr>
              <w:t>五个工作日</w:t>
            </w:r>
            <w:r>
              <w:rPr>
                <w:rFonts w:hint="eastAsia" w:ascii="宋体" w:hAnsi="宋体" w:eastAsia="宋体" w:cs="宋体"/>
                <w:color w:val="auto"/>
                <w:sz w:val="21"/>
                <w:szCs w:val="21"/>
                <w:highlight w:val="none"/>
              </w:rPr>
              <w:t>内</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155" w:type="dxa"/>
            <w:tcBorders>
              <w:left w:val="single" w:color="auto" w:sz="12" w:space="0"/>
            </w:tcBorders>
            <w:vAlign w:val="center"/>
          </w:tcPr>
          <w:p>
            <w:pPr>
              <w:adjustRightInd w:val="0"/>
              <w:snapToGrid w:val="0"/>
              <w:spacing w:line="38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33.1</w:t>
            </w:r>
          </w:p>
        </w:tc>
        <w:tc>
          <w:tcPr>
            <w:tcW w:w="7938" w:type="dxa"/>
            <w:tcBorders>
              <w:right w:val="single" w:color="auto" w:sz="12" w:space="0"/>
            </w:tcBorders>
            <w:vAlign w:val="center"/>
          </w:tcPr>
          <w:p>
            <w:pPr>
              <w:adjustRightInd w:val="0"/>
              <w:snapToGrid w:val="0"/>
              <w:spacing w:line="38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lang w:val="en-US" w:eastAsia="zh-CN"/>
              </w:rPr>
              <w:t>详见用户需求书。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trPr>
        <w:tc>
          <w:tcPr>
            <w:tcW w:w="1155" w:type="dxa"/>
            <w:tcBorders>
              <w:left w:val="single" w:color="auto" w:sz="12" w:space="0"/>
            </w:tcBorders>
            <w:vAlign w:val="center"/>
          </w:tcPr>
          <w:p>
            <w:pPr>
              <w:adjustRightInd w:val="0"/>
              <w:snapToGrid w:val="0"/>
              <w:spacing w:line="38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34.2</w:t>
            </w:r>
          </w:p>
        </w:tc>
        <w:tc>
          <w:tcPr>
            <w:tcW w:w="7938" w:type="dxa"/>
            <w:tcBorders>
              <w:right w:val="single" w:color="auto" w:sz="12" w:space="0"/>
            </w:tcBorders>
            <w:vAlign w:val="top"/>
          </w:tcPr>
          <w:p>
            <w:pPr>
              <w:numPr>
                <w:ilvl w:val="0"/>
                <w:numId w:val="9"/>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中标人须向</w:t>
            </w:r>
            <w:r>
              <w:rPr>
                <w:rFonts w:hint="eastAsia" w:ascii="宋体" w:hAnsi="宋体" w:cs="宋体"/>
                <w:color w:val="auto"/>
                <w:sz w:val="21"/>
                <w:szCs w:val="21"/>
                <w:highlight w:val="none"/>
                <w:lang w:eastAsia="zh-CN"/>
              </w:rPr>
              <w:t>招标代理机构</w:t>
            </w:r>
            <w:r>
              <w:rPr>
                <w:rFonts w:hint="eastAsia" w:ascii="宋体" w:hAnsi="宋体" w:eastAsia="宋体" w:cs="宋体"/>
                <w:color w:val="auto"/>
                <w:sz w:val="21"/>
                <w:szCs w:val="21"/>
                <w:highlight w:val="none"/>
              </w:rPr>
              <w:t>按如下标准和规定缴纳招标代理服务费：</w:t>
            </w:r>
          </w:p>
          <w:p>
            <w:pPr>
              <w:numPr>
                <w:ilvl w:val="0"/>
                <w:numId w:val="10"/>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以中标通知书中的中标金额</w:t>
            </w:r>
            <w:r>
              <w:rPr>
                <w:rFonts w:hint="eastAsia" w:ascii="宋体" w:hAnsi="宋体" w:eastAsia="宋体" w:cs="宋体"/>
                <w:bCs/>
                <w:color w:val="auto"/>
                <w:sz w:val="21"/>
                <w:szCs w:val="21"/>
                <w:highlight w:val="none"/>
              </w:rPr>
              <w:t>作为招标代理服务费的计算基数。</w:t>
            </w:r>
          </w:p>
          <w:p>
            <w:pPr>
              <w:numPr>
                <w:ilvl w:val="0"/>
                <w:numId w:val="0"/>
              </w:numPr>
              <w:adjustRightInd w:val="0"/>
              <w:snapToGrid w:val="0"/>
              <w:spacing w:line="360" w:lineRule="auto"/>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招标代理服务费收费采用差额定率累进法计算方式。按中华人民共和国国家发展计划委员会颁发的计价格[2002]1980号、国家发改委[2003]857号及发改价格</w:t>
            </w:r>
            <w:r>
              <w:rPr>
                <w:rFonts w:hint="eastAsia" w:ascii="宋体" w:hAnsi="宋体" w:eastAsia="宋体" w:cs="宋体"/>
                <w:color w:val="auto"/>
                <w:sz w:val="21"/>
                <w:szCs w:val="21"/>
                <w:highlight w:val="none"/>
              </w:rPr>
              <w:sym w:font="Symbol" w:char="F05B"/>
            </w:r>
            <w:r>
              <w:rPr>
                <w:rFonts w:hint="eastAsia" w:ascii="宋体" w:hAnsi="宋体" w:eastAsia="宋体" w:cs="宋体"/>
                <w:color w:val="auto"/>
                <w:sz w:val="21"/>
                <w:szCs w:val="21"/>
                <w:highlight w:val="none"/>
              </w:rPr>
              <w:t>2011</w:t>
            </w:r>
            <w:r>
              <w:rPr>
                <w:rFonts w:hint="eastAsia" w:ascii="宋体" w:hAnsi="宋体" w:eastAsia="宋体" w:cs="宋体"/>
                <w:color w:val="auto"/>
                <w:sz w:val="21"/>
                <w:szCs w:val="21"/>
                <w:highlight w:val="none"/>
              </w:rPr>
              <w:sym w:font="Symbol" w:char="F05D"/>
            </w:r>
            <w:r>
              <w:rPr>
                <w:rFonts w:hint="eastAsia" w:ascii="宋体" w:hAnsi="宋体" w:eastAsia="宋体" w:cs="宋体"/>
                <w:color w:val="auto"/>
                <w:sz w:val="21"/>
                <w:szCs w:val="21"/>
                <w:highlight w:val="none"/>
              </w:rPr>
              <w:t>534号文规定的“服务类”计算。</w:t>
            </w:r>
          </w:p>
          <w:p>
            <w:pPr>
              <w:pStyle w:val="13"/>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实际招标代理服务费用=招标代理服务费×</w:t>
            </w:r>
            <w:r>
              <w:rPr>
                <w:rFonts w:hint="eastAsia" w:ascii="宋体" w:hAnsi="宋体" w:eastAsia="宋体" w:cs="宋体"/>
                <w:b w:val="0"/>
                <w:bCs w:val="0"/>
                <w:color w:val="auto"/>
                <w:sz w:val="21"/>
                <w:szCs w:val="21"/>
                <w:highlight w:val="none"/>
                <w:lang w:val="en-US" w:eastAsia="zh-CN"/>
              </w:rPr>
              <w:t>80</w:t>
            </w:r>
            <w:r>
              <w:rPr>
                <w:rFonts w:hint="eastAsia" w:ascii="宋体" w:hAnsi="宋体" w:eastAsia="宋体" w:cs="宋体"/>
                <w:b w:val="0"/>
                <w:bCs w:val="0"/>
                <w:color w:val="auto"/>
                <w:sz w:val="21"/>
                <w:szCs w:val="21"/>
                <w:highlight w:val="none"/>
              </w:rPr>
              <w:t>%</w:t>
            </w:r>
          </w:p>
          <w:p>
            <w:pPr>
              <w:numPr>
                <w:ilvl w:val="0"/>
                <w:numId w:val="10"/>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招标代理服务费的缴纳形式：向</w:t>
            </w:r>
            <w:r>
              <w:rPr>
                <w:rFonts w:hint="eastAsia" w:ascii="宋体" w:hAnsi="宋体" w:cs="宋体"/>
                <w:color w:val="auto"/>
                <w:sz w:val="21"/>
                <w:szCs w:val="21"/>
                <w:highlight w:val="none"/>
                <w:lang w:eastAsia="zh-CN"/>
              </w:rPr>
              <w:t>招标代理机构</w:t>
            </w:r>
            <w:r>
              <w:rPr>
                <w:rFonts w:hint="eastAsia" w:ascii="宋体" w:hAnsi="宋体" w:eastAsia="宋体" w:cs="宋体"/>
                <w:color w:val="auto"/>
                <w:sz w:val="21"/>
                <w:szCs w:val="21"/>
                <w:highlight w:val="none"/>
              </w:rPr>
              <w:t xml:space="preserve">直接缴纳招标代理服务费。可用支票、汇票、电汇、现金等付款方式。 </w:t>
            </w:r>
          </w:p>
          <w:p>
            <w:pPr>
              <w:numPr>
                <w:ilvl w:val="0"/>
                <w:numId w:val="9"/>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投标人应签署第七章所附格式的招标代理服务费承诺书，作为投标文件的一部分。</w:t>
            </w:r>
          </w:p>
          <w:p>
            <w:pPr>
              <w:numPr>
                <w:ilvl w:val="0"/>
                <w:numId w:val="9"/>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中标人须</w:t>
            </w:r>
            <w:r>
              <w:rPr>
                <w:rFonts w:hint="eastAsia" w:ascii="宋体" w:hAnsi="宋体" w:eastAsia="宋体" w:cs="宋体"/>
                <w:b/>
                <w:bCs/>
                <w:color w:val="auto"/>
                <w:sz w:val="21"/>
                <w:szCs w:val="21"/>
                <w:highlight w:val="none"/>
              </w:rPr>
              <w:t>凭领取人的身份证复印件并加盖公章</w:t>
            </w:r>
            <w:r>
              <w:rPr>
                <w:rFonts w:hint="eastAsia" w:ascii="宋体" w:hAnsi="宋体" w:eastAsia="宋体" w:cs="宋体"/>
                <w:bCs/>
                <w:color w:val="auto"/>
                <w:sz w:val="21"/>
                <w:szCs w:val="21"/>
                <w:highlight w:val="none"/>
              </w:rPr>
              <w:t>领取中标通知书。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093" w:type="dxa"/>
            <w:gridSpan w:val="2"/>
            <w:tcBorders>
              <w:left w:val="single" w:color="auto" w:sz="12" w:space="0"/>
              <w:bottom w:val="single" w:color="auto" w:sz="12" w:space="0"/>
              <w:right w:val="single" w:color="auto" w:sz="12" w:space="0"/>
            </w:tcBorders>
            <w:vAlign w:val="center"/>
          </w:tcPr>
          <w:p>
            <w:pPr>
              <w:keepNext w:val="0"/>
              <w:keepLines w:val="0"/>
              <w:pageBreakBefore w:val="0"/>
              <w:widowControl w:val="0"/>
              <w:suppressLineNumbers w:val="0"/>
              <w:kinsoku/>
              <w:wordWrap w:val="0"/>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本项目相关公</w:t>
            </w:r>
            <w:r>
              <w:rPr>
                <w:rFonts w:hint="eastAsia" w:ascii="宋体" w:hAnsi="宋体" w:eastAsia="宋体" w:cs="宋体"/>
                <w:b w:val="0"/>
                <w:bCs/>
                <w:color w:val="auto"/>
                <w:sz w:val="21"/>
                <w:szCs w:val="21"/>
                <w:highlight w:val="none"/>
              </w:rPr>
              <w:t>告在以下媒体发布：</w:t>
            </w:r>
            <w:r>
              <w:rPr>
                <w:rFonts w:hint="eastAsia" w:ascii="宋体" w:hAnsi="宋体" w:eastAsia="宋体" w:cs="宋体"/>
                <w:bCs/>
                <w:color w:val="auto"/>
                <w:sz w:val="21"/>
                <w:szCs w:val="21"/>
                <w:highlight w:val="none"/>
                <w:lang w:val="en-US" w:eastAsia="zh-CN"/>
              </w:rPr>
              <w:t>南海区公共资源交易网(http://www.nanhai.gov.cn/fsnh/wzjyh/ggzyjyzx/jyxx/)、中国采购与招标网(http://www.chinabidding.com.cn/)及招标代理机构网站（http://www.gdzczb.com/）上公布之日即视为有效送达，不再另行通知。</w:t>
            </w:r>
          </w:p>
        </w:tc>
      </w:tr>
    </w:tbl>
    <w:p>
      <w:pPr>
        <w:adjustRightInd w:val="0"/>
        <w:snapToGrid w:val="0"/>
        <w:spacing w:before="156" w:beforeLines="50" w:after="156" w:afterLines="50" w:line="360" w:lineRule="auto"/>
        <w:jc w:val="center"/>
        <w:outlineLvl w:val="0"/>
        <w:rPr>
          <w:rFonts w:hint="eastAsia" w:ascii="Times New Roman" w:hAnsi="Times New Roman" w:eastAsia="宋体"/>
          <w:b/>
          <w:bCs/>
          <w:color w:val="auto"/>
          <w:sz w:val="28"/>
          <w:szCs w:val="28"/>
          <w:highlight w:val="none"/>
        </w:rPr>
      </w:pPr>
      <w:r>
        <w:rPr>
          <w:rFonts w:hint="eastAsia" w:ascii="宋体" w:hAnsi="宋体" w:eastAsia="宋体" w:cs="宋体"/>
          <w:color w:val="auto"/>
          <w:sz w:val="21"/>
          <w:szCs w:val="21"/>
          <w:highlight w:val="none"/>
        </w:rPr>
        <w:br w:type="page"/>
      </w:r>
      <w:bookmarkStart w:id="2" w:name="_Toc31360"/>
      <w:r>
        <w:rPr>
          <w:rFonts w:hint="eastAsia" w:ascii="Times New Roman" w:hAnsi="Times New Roman" w:eastAsia="宋体"/>
          <w:b/>
          <w:bCs/>
          <w:color w:val="auto"/>
          <w:sz w:val="28"/>
          <w:szCs w:val="28"/>
          <w:highlight w:val="none"/>
        </w:rPr>
        <w:t>第三章  用户需求书</w:t>
      </w:r>
      <w:bookmarkEnd w:id="2"/>
    </w:p>
    <w:p>
      <w:p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p>
      <w:pPr>
        <w:numPr>
          <w:ilvl w:val="0"/>
          <w:numId w:val="11"/>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投标人须对本项目为单位的</w:t>
      </w:r>
      <w:r>
        <w:rPr>
          <w:rFonts w:hint="eastAsia" w:ascii="宋体" w:hAnsi="宋体" w:eastAsia="宋体" w:cs="宋体"/>
          <w:b/>
          <w:bCs/>
          <w:color w:val="auto"/>
          <w:sz w:val="21"/>
          <w:szCs w:val="21"/>
          <w:highlight w:val="none"/>
          <w:lang w:val="en-US" w:eastAsia="zh-CN"/>
        </w:rPr>
        <w:t>服务内容</w:t>
      </w:r>
      <w:r>
        <w:rPr>
          <w:rFonts w:hint="eastAsia" w:ascii="宋体" w:hAnsi="宋体" w:eastAsia="宋体" w:cs="宋体"/>
          <w:b/>
          <w:bCs/>
          <w:color w:val="auto"/>
          <w:sz w:val="21"/>
          <w:szCs w:val="21"/>
          <w:highlight w:val="none"/>
        </w:rPr>
        <w:t>进行整体投标，任何只对</w:t>
      </w:r>
      <w:r>
        <w:rPr>
          <w:rFonts w:hint="eastAsia" w:ascii="宋体" w:hAnsi="宋体" w:eastAsia="宋体" w:cs="宋体"/>
          <w:b/>
          <w:bCs/>
          <w:color w:val="auto"/>
          <w:sz w:val="21"/>
          <w:szCs w:val="21"/>
          <w:highlight w:val="none"/>
          <w:lang w:val="en-US" w:eastAsia="zh-CN"/>
        </w:rPr>
        <w:t>服务内容</w:t>
      </w:r>
      <w:r>
        <w:rPr>
          <w:rFonts w:hint="eastAsia" w:ascii="宋体" w:hAnsi="宋体" w:eastAsia="宋体" w:cs="宋体"/>
          <w:b/>
          <w:bCs/>
          <w:color w:val="auto"/>
          <w:sz w:val="21"/>
          <w:szCs w:val="21"/>
          <w:highlight w:val="none"/>
        </w:rPr>
        <w:t>其中一部分内容进行的投标都被视为无效投标。</w:t>
      </w:r>
    </w:p>
    <w:p>
      <w:pPr>
        <w:numPr>
          <w:ilvl w:val="0"/>
          <w:numId w:val="11"/>
        </w:num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用户需求书中打“★”号条款为实质性条款，投标人如有任何一条负偏离则导致投标无效。</w:t>
      </w:r>
    </w:p>
    <w:p>
      <w:pPr>
        <w:numPr>
          <w:ilvl w:val="0"/>
          <w:numId w:val="11"/>
        </w:numP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项目内容</w:t>
      </w:r>
    </w:p>
    <w:tbl>
      <w:tblPr>
        <w:tblStyle w:val="21"/>
        <w:tblW w:w="8378" w:type="dxa"/>
        <w:tblInd w:w="46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04"/>
        <w:gridCol w:w="1022"/>
        <w:gridCol w:w="2573"/>
        <w:gridCol w:w="2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5" w:hRule="atLeast"/>
        </w:trPr>
        <w:tc>
          <w:tcPr>
            <w:tcW w:w="2704" w:type="dxa"/>
            <w:shd w:val="clear" w:color="auto" w:fill="EEECE1"/>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采购内容</w:t>
            </w:r>
          </w:p>
        </w:tc>
        <w:tc>
          <w:tcPr>
            <w:tcW w:w="1022" w:type="dxa"/>
            <w:shd w:val="clear" w:color="auto" w:fill="EEECE1"/>
            <w:vAlign w:val="center"/>
          </w:tcPr>
          <w:p>
            <w:pPr>
              <w:spacing w:line="360" w:lineRule="auto"/>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数量</w:t>
            </w:r>
          </w:p>
        </w:tc>
        <w:tc>
          <w:tcPr>
            <w:tcW w:w="2573" w:type="dxa"/>
            <w:shd w:val="clear" w:color="auto" w:fill="EEECE1"/>
            <w:vAlign w:val="center"/>
          </w:tcPr>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服务期</w:t>
            </w:r>
          </w:p>
        </w:tc>
        <w:tc>
          <w:tcPr>
            <w:tcW w:w="2079" w:type="dxa"/>
            <w:shd w:val="clear" w:color="auto" w:fill="EEECE1"/>
            <w:vAlign w:val="center"/>
          </w:tcPr>
          <w:p>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最高限价</w:t>
            </w:r>
          </w:p>
          <w:p>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（人民币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4" w:hRule="atLeast"/>
        </w:trPr>
        <w:tc>
          <w:tcPr>
            <w:tcW w:w="2704" w:type="dxa"/>
            <w:vAlign w:val="center"/>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千灯湖创投小镇核心区物业管理服务</w:t>
            </w:r>
          </w:p>
        </w:tc>
        <w:tc>
          <w:tcPr>
            <w:tcW w:w="1022" w:type="dxa"/>
            <w:vAlign w:val="center"/>
          </w:tcPr>
          <w:p>
            <w:pPr>
              <w:spacing w:line="360" w:lineRule="auto"/>
              <w:jc w:val="center"/>
              <w:rPr>
                <w:rFonts w:hint="eastAsia" w:ascii="宋体" w:hAnsi="宋体" w:eastAsia="宋体" w:cs="宋体"/>
                <w:snapToGrid/>
                <w:color w:val="auto"/>
                <w:spacing w:val="0"/>
                <w:kern w:val="2"/>
                <w:sz w:val="21"/>
                <w:szCs w:val="21"/>
                <w:highlight w:val="none"/>
                <w:lang w:val="en-US" w:eastAsia="zh-CN"/>
              </w:rPr>
            </w:pPr>
            <w:r>
              <w:rPr>
                <w:rFonts w:hint="eastAsia" w:ascii="宋体" w:hAnsi="宋体" w:eastAsia="宋体" w:cs="宋体"/>
                <w:color w:val="auto"/>
                <w:sz w:val="21"/>
                <w:szCs w:val="21"/>
                <w:highlight w:val="none"/>
                <w:lang w:eastAsia="zh-CN"/>
              </w:rPr>
              <w:t>一项</w:t>
            </w:r>
          </w:p>
        </w:tc>
        <w:tc>
          <w:tcPr>
            <w:tcW w:w="2573" w:type="dxa"/>
            <w:vAlign w:val="center"/>
          </w:tcPr>
          <w:p>
            <w:pPr>
              <w:pStyle w:val="47"/>
              <w:spacing w:line="440" w:lineRule="exact"/>
              <w:ind w:firstLine="120"/>
              <w:rPr>
                <w:rFonts w:hint="eastAsia" w:ascii="宋体" w:hAnsi="宋体" w:eastAsia="宋体" w:cs="宋体"/>
                <w:snapToGrid/>
                <w:color w:val="auto"/>
                <w:spacing w:val="0"/>
                <w:kern w:val="2"/>
                <w:sz w:val="21"/>
                <w:szCs w:val="21"/>
                <w:highlight w:val="none"/>
                <w:lang w:val="en-US" w:eastAsia="zh-CN"/>
              </w:rPr>
            </w:pPr>
            <w:r>
              <w:rPr>
                <w:rFonts w:hint="eastAsia" w:ascii="宋体" w:hAnsi="宋体" w:eastAsia="宋体" w:cs="宋体"/>
                <w:snapToGrid/>
                <w:color w:val="auto"/>
                <w:spacing w:val="0"/>
                <w:kern w:val="2"/>
                <w:sz w:val="21"/>
                <w:szCs w:val="21"/>
                <w:highlight w:val="none"/>
                <w:lang w:val="en-US" w:eastAsia="zh-CN"/>
              </w:rPr>
              <w:t>自合同签订之日2年</w:t>
            </w:r>
          </w:p>
        </w:tc>
        <w:tc>
          <w:tcPr>
            <w:tcW w:w="2079" w:type="dxa"/>
            <w:vAlign w:val="center"/>
          </w:tcPr>
          <w:p>
            <w:pPr>
              <w:pStyle w:val="47"/>
              <w:spacing w:line="440" w:lineRule="exact"/>
              <w:ind w:firstLine="120"/>
              <w:rPr>
                <w:rFonts w:hint="eastAsia" w:ascii="宋体" w:hAnsi="宋体" w:eastAsia="宋体" w:cs="宋体"/>
                <w:snapToGrid/>
                <w:color w:val="auto"/>
                <w:spacing w:val="0"/>
                <w:kern w:val="2"/>
                <w:sz w:val="21"/>
                <w:szCs w:val="21"/>
                <w:highlight w:val="none"/>
                <w:lang w:val="en-US" w:eastAsia="zh-CN"/>
              </w:rPr>
            </w:pPr>
            <w:r>
              <w:rPr>
                <w:rFonts w:hint="eastAsia" w:ascii="宋体" w:hAnsi="宋体" w:cs="宋体"/>
                <w:snapToGrid/>
                <w:color w:val="auto"/>
                <w:spacing w:val="0"/>
                <w:kern w:val="2"/>
                <w:sz w:val="21"/>
                <w:szCs w:val="21"/>
                <w:highlight w:val="none"/>
                <w:lang w:val="en-US" w:eastAsia="zh-CN"/>
              </w:rPr>
              <w:t>9,849,327.60</w:t>
            </w:r>
          </w:p>
        </w:tc>
      </w:tr>
    </w:tbl>
    <w:p>
      <w:pPr>
        <w:numPr>
          <w:ilvl w:val="0"/>
          <w:numId w:val="12"/>
        </w:numPr>
        <w:adjustRightInd w:val="0"/>
        <w:snapToGrid w:val="0"/>
        <w:spacing w:line="360" w:lineRule="auto"/>
        <w:ind w:left="1109" w:leftChars="0" w:hanging="689" w:firstLineChars="0"/>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0"/>
          <w:sz w:val="21"/>
          <w:szCs w:val="21"/>
          <w:highlight w:val="none"/>
        </w:rPr>
        <w:t>项目概况及范围</w:t>
      </w:r>
    </w:p>
    <w:p>
      <w:pPr>
        <w:numPr>
          <w:ilvl w:val="0"/>
          <w:numId w:val="1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千灯湖创投小镇核心区（下称“核心区”）概况</w:t>
      </w:r>
      <w:r>
        <w:rPr>
          <w:rFonts w:hint="eastAsia" w:hAnsi="宋体" w:cs="宋体"/>
          <w:color w:val="auto"/>
          <w:kern w:val="0"/>
          <w:sz w:val="21"/>
          <w:szCs w:val="21"/>
          <w:highlight w:val="none"/>
          <w:lang w:val="en-US" w:eastAsia="zh-CN"/>
        </w:rPr>
        <w:t>和范围</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千灯湖创投小镇核心区规划总用地面积约7.8万平方米，一期规划建筑面积约5.8万平方米，二期规划建筑面积约 10万平方米。核心区以天使投资、创业投资、风险投资、股权投资等私募基金类、创新型金融业态为产业特色，打造一个低密度、生态化的舒适办公社区。核心区原有建筑21栋，新建建筑9栋，总建筑面积为58730.96平方米，其中临时停车场面积约为11196平方米（北区停车场约5766平方米，南区停车场约5430平方米</w:t>
      </w:r>
      <w:r>
        <w:rPr>
          <w:rFonts w:hint="eastAsia" w:hAnsi="宋体" w:cs="宋体"/>
          <w:color w:val="auto"/>
          <w:sz w:val="21"/>
          <w:szCs w:val="21"/>
          <w:highlight w:val="none"/>
          <w:lang w:val="en-US" w:eastAsia="zh-CN"/>
        </w:rPr>
        <w:t>)</w:t>
      </w:r>
      <w:r>
        <w:rPr>
          <w:rFonts w:hint="eastAsia" w:ascii="宋体" w:hAnsi="宋体" w:eastAsia="宋体" w:cs="宋体"/>
          <w:color w:val="auto"/>
          <w:sz w:val="21"/>
          <w:szCs w:val="21"/>
          <w:highlight w:val="none"/>
        </w:rPr>
        <w:t>；新建可出租物业建筑面积为8136.39平方米，按规划分为六个功能区:金融集聚区、商业配套区、公共服务区、生活服务区、金融/创新孵化混合区、金融/商业混合区。规划平面图、功能分区图详见合同附件1、2</w:t>
      </w:r>
      <w:r>
        <w:rPr>
          <w:rFonts w:hint="eastAsia" w:ascii="宋体" w:hAnsi="宋体" w:eastAsia="宋体" w:cs="宋体"/>
          <w:color w:val="auto"/>
          <w:kern w:val="0"/>
          <w:sz w:val="21"/>
          <w:szCs w:val="21"/>
          <w:highlight w:val="none"/>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kern w:val="0"/>
          <w:sz w:val="21"/>
          <w:szCs w:val="21"/>
          <w:highlight w:val="none"/>
        </w:rPr>
        <w:t xml:space="preserve">  园区建筑面积：</w:t>
      </w:r>
    </w:p>
    <w:tbl>
      <w:tblPr>
        <w:tblStyle w:val="21"/>
        <w:tblW w:w="89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3574"/>
        <w:gridCol w:w="1134"/>
        <w:gridCol w:w="2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12" w:type="dxa"/>
            <w:tcBorders>
              <w:tl2br w:val="nil"/>
              <w:tr2bl w:val="nil"/>
            </w:tcBorders>
            <w:vAlign w:val="center"/>
          </w:tcPr>
          <w:p>
            <w:pPr>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物业功能</w:t>
            </w:r>
          </w:p>
        </w:tc>
        <w:tc>
          <w:tcPr>
            <w:tcW w:w="3574" w:type="dxa"/>
            <w:tcBorders>
              <w:tl2br w:val="nil"/>
              <w:tr2bl w:val="nil"/>
            </w:tcBorders>
            <w:vAlign w:val="center"/>
          </w:tcPr>
          <w:p>
            <w:pPr>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楼宇编号</w:t>
            </w:r>
          </w:p>
        </w:tc>
        <w:tc>
          <w:tcPr>
            <w:tcW w:w="1134" w:type="dxa"/>
            <w:tcBorders>
              <w:tl2br w:val="nil"/>
              <w:tr2bl w:val="nil"/>
            </w:tcBorders>
            <w:vAlign w:val="center"/>
          </w:tcPr>
          <w:p>
            <w:pPr>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面积（㎡）</w:t>
            </w:r>
          </w:p>
        </w:tc>
        <w:tc>
          <w:tcPr>
            <w:tcW w:w="2410" w:type="dxa"/>
            <w:tcBorders>
              <w:tl2br w:val="nil"/>
              <w:tr2bl w:val="nil"/>
            </w:tcBorders>
            <w:vAlign w:val="center"/>
          </w:tcPr>
          <w:p>
            <w:pPr>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1812"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独栋办公物业</w:t>
            </w:r>
          </w:p>
        </w:tc>
        <w:tc>
          <w:tcPr>
            <w:tcW w:w="3574" w:type="dxa"/>
            <w:tcBorders>
              <w:tl2br w:val="nil"/>
              <w:tr2bl w:val="nil"/>
            </w:tcBorders>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商铺4、商铺5、商铺6、商铺7、商铺8、商铺9、商铺10、六座、七座、十三座、十七座、十八座、二十一座</w:t>
            </w:r>
          </w:p>
        </w:tc>
        <w:tc>
          <w:tcPr>
            <w:tcW w:w="113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6580.26</w:t>
            </w:r>
          </w:p>
        </w:tc>
        <w:tc>
          <w:tcPr>
            <w:tcW w:w="2410" w:type="dxa"/>
            <w:tcBorders>
              <w:tl2br w:val="nil"/>
              <w:tr2bl w:val="nil"/>
            </w:tcBorders>
            <w:vAlign w:val="center"/>
          </w:tcPr>
          <w:p>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812"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综合办公物业</w:t>
            </w:r>
          </w:p>
        </w:tc>
        <w:tc>
          <w:tcPr>
            <w:tcW w:w="3574" w:type="dxa"/>
            <w:tcBorders>
              <w:tl2br w:val="nil"/>
              <w:tr2bl w:val="nil"/>
            </w:tcBorders>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一座（二层以上）、三座（二层以上）、四座（一层北侧、二层）、五座、八座（二、三层）、十四座、十五座、十六座、二十座</w:t>
            </w:r>
          </w:p>
        </w:tc>
        <w:tc>
          <w:tcPr>
            <w:tcW w:w="113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19468.78</w:t>
            </w:r>
          </w:p>
        </w:tc>
        <w:tc>
          <w:tcPr>
            <w:tcW w:w="2410" w:type="dxa"/>
            <w:tcBorders>
              <w:tl2br w:val="nil"/>
              <w:tr2bl w:val="nil"/>
            </w:tcBorders>
            <w:vAlign w:val="center"/>
          </w:tcPr>
          <w:p>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812"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商业配套物业</w:t>
            </w:r>
          </w:p>
        </w:tc>
        <w:tc>
          <w:tcPr>
            <w:tcW w:w="3574" w:type="dxa"/>
            <w:tcBorders>
              <w:tl2br w:val="nil"/>
              <w:tr2bl w:val="nil"/>
            </w:tcBorders>
            <w:vAlign w:val="center"/>
          </w:tcPr>
          <w:p>
            <w:pPr>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商铺1、商铺2、一座（首层）二座（首层）、三座（首层）、九座、十座、十一座、十二座、十九座</w:t>
            </w:r>
          </w:p>
        </w:tc>
        <w:tc>
          <w:tcPr>
            <w:tcW w:w="113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8259.89</w:t>
            </w:r>
          </w:p>
        </w:tc>
        <w:tc>
          <w:tcPr>
            <w:tcW w:w="2410" w:type="dxa"/>
            <w:tcBorders>
              <w:tl2br w:val="nil"/>
              <w:tr2bl w:val="nil"/>
            </w:tcBorders>
            <w:vAlign w:val="center"/>
          </w:tcPr>
          <w:p>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812"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公共配套物业</w:t>
            </w:r>
          </w:p>
        </w:tc>
        <w:tc>
          <w:tcPr>
            <w:tcW w:w="357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八座首层、四座首层路演厅</w:t>
            </w:r>
          </w:p>
        </w:tc>
        <w:tc>
          <w:tcPr>
            <w:tcW w:w="1134" w:type="dxa"/>
            <w:tcBorders>
              <w:tl2br w:val="nil"/>
              <w:tr2bl w:val="nil"/>
            </w:tcBorders>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6816.73</w:t>
            </w:r>
          </w:p>
        </w:tc>
        <w:tc>
          <w:tcPr>
            <w:tcW w:w="2410" w:type="dxa"/>
            <w:tcBorders>
              <w:tl2br w:val="nil"/>
              <w:tr2bl w:val="nil"/>
            </w:tcBorders>
            <w:vAlign w:val="center"/>
          </w:tcPr>
          <w:p>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812"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功能配套用房</w:t>
            </w:r>
          </w:p>
        </w:tc>
        <w:tc>
          <w:tcPr>
            <w:tcW w:w="357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变电所、水房、</w:t>
            </w:r>
          </w:p>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消防水池（2个）等</w:t>
            </w:r>
          </w:p>
        </w:tc>
        <w:tc>
          <w:tcPr>
            <w:tcW w:w="113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1855.66</w:t>
            </w:r>
          </w:p>
        </w:tc>
        <w:tc>
          <w:tcPr>
            <w:tcW w:w="2410" w:type="dxa"/>
            <w:tcBorders>
              <w:tl2br w:val="nil"/>
              <w:tr2bl w:val="nil"/>
            </w:tcBorders>
            <w:vAlign w:val="center"/>
          </w:tcPr>
          <w:p>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812" w:type="dxa"/>
            <w:tcBorders>
              <w:tl2br w:val="nil"/>
              <w:tr2bl w:val="nil"/>
            </w:tcBorders>
            <w:vAlign w:val="center"/>
          </w:tcPr>
          <w:p>
            <w:pPr>
              <w:jc w:val="center"/>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招标人</w:t>
            </w:r>
          </w:p>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办公用房</w:t>
            </w:r>
          </w:p>
        </w:tc>
        <w:tc>
          <w:tcPr>
            <w:tcW w:w="357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三座四层</w:t>
            </w:r>
          </w:p>
        </w:tc>
        <w:tc>
          <w:tcPr>
            <w:tcW w:w="113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542.31</w:t>
            </w:r>
          </w:p>
        </w:tc>
        <w:tc>
          <w:tcPr>
            <w:tcW w:w="2410" w:type="dxa"/>
            <w:tcBorders>
              <w:tl2br w:val="nil"/>
              <w:tr2bl w:val="nil"/>
            </w:tcBorders>
            <w:vAlign w:val="center"/>
          </w:tcPr>
          <w:p>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812"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其它物业</w:t>
            </w:r>
          </w:p>
        </w:tc>
        <w:tc>
          <w:tcPr>
            <w:tcW w:w="357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人才公寓（二座二层以上）、区公共资源交易中心</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二十二座）</w:t>
            </w:r>
          </w:p>
        </w:tc>
        <w:tc>
          <w:tcPr>
            <w:tcW w:w="113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15207.33</w:t>
            </w:r>
          </w:p>
        </w:tc>
        <w:tc>
          <w:tcPr>
            <w:tcW w:w="2410" w:type="dxa"/>
            <w:tcBorders>
              <w:tl2br w:val="nil"/>
              <w:tr2bl w:val="nil"/>
            </w:tcBorders>
            <w:vAlign w:val="top"/>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物业内部物管由承租方自行管理，无需中标人负责，中标人负责建筑外围公共区域及建筑外立面清洁。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6" w:type="dxa"/>
            <w:gridSpan w:val="2"/>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    计</w:t>
            </w:r>
          </w:p>
        </w:tc>
        <w:tc>
          <w:tcPr>
            <w:tcW w:w="1134" w:type="dxa"/>
            <w:tcBorders>
              <w:tl2br w:val="nil"/>
              <w:tr2bl w:val="nil"/>
            </w:tcBorders>
            <w:vAlign w:val="center"/>
          </w:tcPr>
          <w:p>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58730.96</w:t>
            </w:r>
          </w:p>
        </w:tc>
        <w:tc>
          <w:tcPr>
            <w:tcW w:w="2410" w:type="dxa"/>
            <w:tcBorders>
              <w:tl2br w:val="nil"/>
              <w:tr2bl w:val="nil"/>
            </w:tcBorders>
            <w:vAlign w:val="center"/>
          </w:tcPr>
          <w:p>
            <w:pPr>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tc>
      </w:tr>
    </w:tbl>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园区绿化面积：</w:t>
      </w:r>
      <w:r>
        <w:rPr>
          <w:rFonts w:hint="eastAsia" w:ascii="宋体" w:hAnsi="宋体" w:eastAsia="宋体" w:cs="宋体"/>
          <w:color w:val="auto"/>
          <w:kern w:val="0"/>
          <w:sz w:val="21"/>
          <w:szCs w:val="21"/>
          <w:highlight w:val="none"/>
          <w:lang w:val="en-US" w:eastAsia="zh-CN"/>
        </w:rPr>
        <w:t>19210.85</w:t>
      </w:r>
      <w:r>
        <w:rPr>
          <w:rFonts w:hint="eastAsia" w:ascii="宋体" w:hAnsi="宋体" w:eastAsia="宋体" w:cs="宋体"/>
          <w:color w:val="auto"/>
          <w:kern w:val="0"/>
          <w:sz w:val="21"/>
          <w:szCs w:val="21"/>
          <w:highlight w:val="none"/>
        </w:rPr>
        <w:t>平方米（不含橄榄球场</w:t>
      </w:r>
      <w:r>
        <w:rPr>
          <w:rFonts w:hint="eastAsia" w:ascii="宋体" w:hAnsi="宋体" w:eastAsia="宋体" w:cs="宋体"/>
          <w:color w:val="auto"/>
          <w:kern w:val="0"/>
          <w:sz w:val="21"/>
          <w:szCs w:val="21"/>
          <w:highlight w:val="none"/>
          <w:lang w:eastAsia="zh-CN"/>
        </w:rPr>
        <w:t>）；</w:t>
      </w:r>
    </w:p>
    <w:p>
      <w:pPr>
        <w:adjustRightInd w:val="0"/>
        <w:snapToGrid w:val="0"/>
        <w:spacing w:line="360" w:lineRule="auto"/>
        <w:ind w:left="359" w:leftChars="171" w:firstLine="472" w:firstLineChars="225"/>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园区道路、广场铺装面积：20254平方米；</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园区水景面积：2253平方米</w:t>
      </w:r>
      <w:r>
        <w:rPr>
          <w:rFonts w:hint="eastAsia" w:ascii="宋体" w:hAnsi="宋体" w:eastAsia="宋体" w:cs="宋体"/>
          <w:color w:val="auto"/>
          <w:kern w:val="0"/>
          <w:sz w:val="21"/>
          <w:szCs w:val="21"/>
          <w:highlight w:val="none"/>
          <w:lang w:eastAsia="zh-CN"/>
        </w:rPr>
        <w:t>；</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园区主要出入口：</w:t>
      </w:r>
      <w:r>
        <w:rPr>
          <w:rFonts w:hint="eastAsia" w:ascii="宋体" w:hAnsi="宋体" w:eastAsia="宋体" w:cs="宋体"/>
          <w:color w:val="auto"/>
          <w:kern w:val="0"/>
          <w:sz w:val="21"/>
          <w:szCs w:val="21"/>
          <w:highlight w:val="none"/>
          <w:lang w:val="en-US" w:eastAsia="zh-CN"/>
        </w:rPr>
        <w:t>西门、南门，</w:t>
      </w:r>
      <w:r>
        <w:rPr>
          <w:rFonts w:hint="eastAsia" w:hAnsi="宋体" w:cs="宋体"/>
          <w:color w:val="auto"/>
          <w:kern w:val="0"/>
          <w:sz w:val="21"/>
          <w:szCs w:val="21"/>
          <w:highlight w:val="none"/>
          <w:lang w:val="en-US" w:eastAsia="zh-CN"/>
        </w:rPr>
        <w:t>北区停车场出入口、南区停车场出入口</w:t>
      </w:r>
      <w:r>
        <w:rPr>
          <w:rFonts w:hint="eastAsia" w:ascii="宋体" w:hAnsi="宋体" w:eastAsia="宋体" w:cs="宋体"/>
          <w:color w:val="auto"/>
          <w:kern w:val="0"/>
          <w:sz w:val="21"/>
          <w:szCs w:val="21"/>
          <w:highlight w:val="none"/>
          <w:lang w:val="en-US" w:eastAsia="zh-CN"/>
        </w:rPr>
        <w:t>；</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电梯台数：8台（两层、六层、八层各1台， 五层2台，三层3台）</w:t>
      </w:r>
      <w:r>
        <w:rPr>
          <w:rFonts w:hint="eastAsia" w:ascii="宋体" w:hAnsi="宋体" w:eastAsia="宋体" w:cs="宋体"/>
          <w:color w:val="auto"/>
          <w:kern w:val="0"/>
          <w:sz w:val="21"/>
          <w:szCs w:val="21"/>
          <w:highlight w:val="none"/>
          <w:lang w:eastAsia="zh-CN"/>
        </w:rPr>
        <w:t>；</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园区车位：</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个</w:t>
      </w:r>
      <w:r>
        <w:rPr>
          <w:rFonts w:hint="eastAsia" w:ascii="宋体" w:hAnsi="宋体" w:eastAsia="宋体" w:cs="宋体"/>
          <w:color w:val="auto"/>
          <w:kern w:val="0"/>
          <w:sz w:val="21"/>
          <w:szCs w:val="21"/>
          <w:highlight w:val="none"/>
          <w:lang w:val="en-US" w:eastAsia="zh-CN"/>
        </w:rPr>
        <w:t>临时</w:t>
      </w:r>
      <w:r>
        <w:rPr>
          <w:rFonts w:hint="eastAsia" w:ascii="宋体" w:hAnsi="宋体" w:eastAsia="宋体" w:cs="宋体"/>
          <w:color w:val="auto"/>
          <w:kern w:val="0"/>
          <w:sz w:val="21"/>
          <w:szCs w:val="21"/>
          <w:highlight w:val="none"/>
        </w:rPr>
        <w:t>停车场，</w:t>
      </w:r>
      <w:r>
        <w:rPr>
          <w:rFonts w:hint="eastAsia" w:ascii="宋体" w:hAnsi="宋体" w:eastAsia="宋体" w:cs="宋体"/>
          <w:color w:val="auto"/>
          <w:kern w:val="0"/>
          <w:sz w:val="21"/>
          <w:szCs w:val="21"/>
          <w:highlight w:val="none"/>
          <w:lang w:val="en-US" w:eastAsia="zh-CN"/>
        </w:rPr>
        <w:t>其中北区停车场（约5766平方米，连通园区）</w:t>
      </w:r>
      <w:r>
        <w:rPr>
          <w:rFonts w:hint="eastAsia" w:ascii="宋体" w:hAnsi="宋体" w:eastAsia="宋体" w:cs="宋体"/>
          <w:color w:val="auto"/>
          <w:kern w:val="0"/>
          <w:sz w:val="21"/>
          <w:szCs w:val="21"/>
          <w:highlight w:val="none"/>
        </w:rPr>
        <w:t>约130个车位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南区停车场（约5430平方米，在园区外）约196个车位。</w:t>
      </w:r>
    </w:p>
    <w:p>
      <w:pPr>
        <w:numPr>
          <w:ilvl w:val="0"/>
          <w:numId w:val="1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color w:val="auto"/>
          <w:kern w:val="0"/>
          <w:sz w:val="21"/>
          <w:szCs w:val="21"/>
          <w:highlight w:val="none"/>
        </w:rPr>
        <w:t>备注：</w:t>
      </w:r>
      <w:r>
        <w:rPr>
          <w:rFonts w:hint="eastAsia" w:ascii="宋体" w:hAnsi="宋体" w:eastAsia="宋体" w:cs="宋体"/>
          <w:color w:val="auto"/>
          <w:kern w:val="0"/>
          <w:sz w:val="21"/>
          <w:szCs w:val="21"/>
          <w:highlight w:val="none"/>
          <w:lang w:val="en-US" w:eastAsia="zh-CN"/>
        </w:rPr>
        <w:t>①</w:t>
      </w:r>
      <w:r>
        <w:rPr>
          <w:rFonts w:hint="eastAsia" w:ascii="宋体" w:hAnsi="宋体" w:eastAsia="宋体" w:cs="宋体"/>
          <w:color w:val="auto"/>
          <w:kern w:val="0"/>
          <w:sz w:val="21"/>
          <w:szCs w:val="21"/>
          <w:highlight w:val="none"/>
        </w:rPr>
        <w:t>园区橄榄球场物管目前由球场承租方自主管理，绿化面积不含球场面积，2022年橄榄球场及北区临时停车场拟实施</w:t>
      </w:r>
      <w:r>
        <w:rPr>
          <w:rFonts w:hint="eastAsia" w:ascii="宋体" w:hAnsi="宋体" w:eastAsia="宋体" w:cs="宋体"/>
          <w:color w:val="auto"/>
          <w:kern w:val="0"/>
          <w:sz w:val="21"/>
          <w:szCs w:val="21"/>
          <w:highlight w:val="none"/>
          <w:lang w:val="en-US" w:eastAsia="zh-CN"/>
        </w:rPr>
        <w:t>二期建设项目</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需负责改造期间场地</w:t>
      </w:r>
      <w:r>
        <w:rPr>
          <w:rFonts w:hint="eastAsia" w:hAnsi="宋体" w:cs="宋体"/>
          <w:color w:val="auto"/>
          <w:kern w:val="0"/>
          <w:sz w:val="21"/>
          <w:szCs w:val="21"/>
          <w:highlight w:val="none"/>
          <w:lang w:val="en-US" w:eastAsia="zh-CN"/>
        </w:rPr>
        <w:t>外围</w:t>
      </w:r>
      <w:r>
        <w:rPr>
          <w:rFonts w:hint="eastAsia" w:ascii="宋体" w:hAnsi="宋体" w:eastAsia="宋体" w:cs="宋体"/>
          <w:color w:val="auto"/>
          <w:kern w:val="0"/>
          <w:sz w:val="21"/>
          <w:szCs w:val="21"/>
          <w:highlight w:val="none"/>
        </w:rPr>
        <w:t>的物业管理工作；②园区三圣河道水质由政府相关部门管理，水景面积不含三圣河，但</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需负责</w:t>
      </w:r>
      <w:r>
        <w:rPr>
          <w:rFonts w:hint="eastAsia" w:ascii="宋体" w:hAnsi="宋体" w:eastAsia="宋体" w:cs="宋体"/>
          <w:color w:val="auto"/>
          <w:kern w:val="0"/>
          <w:sz w:val="21"/>
          <w:szCs w:val="21"/>
          <w:highlight w:val="none"/>
          <w:lang w:val="en-US" w:eastAsia="zh-CN"/>
        </w:rPr>
        <w:t>配合</w:t>
      </w:r>
      <w:r>
        <w:rPr>
          <w:rFonts w:hint="eastAsia" w:ascii="宋体" w:hAnsi="宋体" w:eastAsia="宋体" w:cs="宋体"/>
          <w:color w:val="auto"/>
          <w:kern w:val="0"/>
          <w:sz w:val="21"/>
          <w:szCs w:val="21"/>
          <w:highlight w:val="none"/>
        </w:rPr>
        <w:t>三圣河的落叶、水上垃圾清理。③园区两个停车场为临时性质，若另作他用</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将提前一个月通知</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，该管理服务费用（南区停车场为人民币23,017.56元/月，北区停车场为人民币23,017.56元/月）作相应减除，不视为</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违约，</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无需承担任何法律责任</w:t>
      </w:r>
      <w:r>
        <w:rPr>
          <w:rFonts w:hint="eastAsia" w:ascii="宋体" w:hAnsi="宋体" w:eastAsia="宋体" w:cs="宋体"/>
          <w:color w:val="auto"/>
          <w:kern w:val="0"/>
          <w:sz w:val="21"/>
          <w:szCs w:val="21"/>
          <w:highlight w:val="none"/>
          <w:lang w:val="en-US" w:eastAsia="zh-CN"/>
        </w:rPr>
        <w:t>。</w:t>
      </w:r>
    </w:p>
    <w:p>
      <w:pPr>
        <w:numPr>
          <w:ilvl w:val="0"/>
          <w:numId w:val="14"/>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lang w:val="en-US" w:eastAsia="zh-CN"/>
        </w:rPr>
      </w:pPr>
      <w:r>
        <w:rPr>
          <w:rFonts w:hint="eastAsia"/>
          <w:b w:val="0"/>
          <w:bCs w:val="0"/>
          <w:color w:val="auto"/>
          <w:sz w:val="21"/>
          <w:szCs w:val="21"/>
          <w:highlight w:val="none"/>
          <w:lang w:val="en-US" w:eastAsia="zh-CN"/>
        </w:rPr>
        <w:t>投标时须提供自行实地考察“项目概况及范围”的现场照片（照片上须含考察时间）并附有区域范围等介绍作为对“</w:t>
      </w:r>
      <w:r>
        <w:rPr>
          <w:rFonts w:hint="eastAsia" w:ascii="宋体" w:hAnsi="宋体" w:eastAsia="宋体" w:cs="宋体"/>
          <w:color w:val="auto"/>
          <w:kern w:val="0"/>
          <w:sz w:val="21"/>
          <w:szCs w:val="21"/>
          <w:highlight w:val="none"/>
          <w:lang w:val="en-US" w:eastAsia="zh-CN"/>
        </w:rPr>
        <w:t>对项目的熟悉程度</w:t>
      </w:r>
      <w:r>
        <w:rPr>
          <w:rFonts w:hint="eastAsia"/>
          <w:b w:val="0"/>
          <w:bCs w:val="0"/>
          <w:color w:val="auto"/>
          <w:sz w:val="21"/>
          <w:szCs w:val="21"/>
          <w:highlight w:val="none"/>
          <w:lang w:val="en-US" w:eastAsia="zh-CN"/>
        </w:rPr>
        <w:t>”证明材料。</w:t>
      </w:r>
    </w:p>
    <w:p>
      <w:pPr>
        <w:numPr>
          <w:ilvl w:val="0"/>
          <w:numId w:val="14"/>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项目内容概况</w:t>
      </w:r>
    </w:p>
    <w:p>
      <w:pPr>
        <w:adjustRightInd w:val="0"/>
        <w:snapToGrid w:val="0"/>
        <w:spacing w:line="360" w:lineRule="auto"/>
        <w:ind w:left="19" w:leftChars="9" w:firstLine="399" w:firstLineChars="19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在核心区范围内提供物业管理相关服务，包括保安、消防、清洁、绿化、工程维修（房屋及附属物）、设备设施维护及管理（</w:t>
      </w:r>
      <w:r>
        <w:rPr>
          <w:rFonts w:hint="eastAsia" w:hAnsi="宋体" w:cs="宋体"/>
          <w:color w:val="auto"/>
          <w:kern w:val="0"/>
          <w:sz w:val="21"/>
          <w:szCs w:val="21"/>
          <w:highlight w:val="none"/>
          <w:lang w:val="en-US" w:eastAsia="zh-CN"/>
        </w:rPr>
        <w:t>公共照明、智能化系统、</w:t>
      </w:r>
      <w:r>
        <w:rPr>
          <w:rFonts w:hint="eastAsia" w:ascii="宋体" w:hAnsi="宋体" w:eastAsia="宋体" w:cs="宋体"/>
          <w:color w:val="auto"/>
          <w:kern w:val="0"/>
          <w:sz w:val="21"/>
          <w:szCs w:val="21"/>
          <w:highlight w:val="none"/>
        </w:rPr>
        <w:t>消防系统、电梯、电房、空调、监控系统等)、消杀四害、园区服务等。</w:t>
      </w:r>
    </w:p>
    <w:p>
      <w:pPr>
        <w:numPr>
          <w:ilvl w:val="0"/>
          <w:numId w:val="12"/>
        </w:numPr>
        <w:adjustRightInd w:val="0"/>
        <w:snapToGrid w:val="0"/>
        <w:spacing w:line="360" w:lineRule="auto"/>
        <w:ind w:left="1109" w:leftChars="0" w:hanging="689" w:firstLineChars="0"/>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服务要求</w:t>
      </w:r>
    </w:p>
    <w:p>
      <w:pPr>
        <w:adjustRightInd w:val="0"/>
        <w:snapToGrid w:val="0"/>
        <w:spacing w:line="360" w:lineRule="auto"/>
        <w:ind w:left="19" w:leftChars="9" w:firstLine="399" w:firstLineChars="19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中标人提供的物业管理服务应达到约定的质量标准，物业服务标准内无约定的，则按《物业管理条例》等国家、地方政府的有关规定、行业标准执行。</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制度管理</w:t>
      </w:r>
    </w:p>
    <w:p>
      <w:pPr>
        <w:numPr>
          <w:ilvl w:val="0"/>
          <w:numId w:val="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有完善的物业管理方案，质量管理、财务管理、档案管理等制度健全。管理服务中的相关作业记录完整，可追溯；</w:t>
      </w:r>
    </w:p>
    <w:p>
      <w:pPr>
        <w:numPr>
          <w:ilvl w:val="0"/>
          <w:numId w:val="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制订、保管和更新物业管理规章制度和实施细则；</w:t>
      </w:r>
    </w:p>
    <w:p>
      <w:pPr>
        <w:numPr>
          <w:ilvl w:val="0"/>
          <w:numId w:val="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制订大要事计划、物业维修及养护计划、设施/设备年度检修计划、月季年度工作计划并记录实施情况；</w:t>
      </w:r>
    </w:p>
    <w:p>
      <w:pPr>
        <w:numPr>
          <w:ilvl w:val="0"/>
          <w:numId w:val="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制定和实施保安、保洁工作的规章制度、工作程序和工作标准；</w:t>
      </w:r>
    </w:p>
    <w:p>
      <w:pPr>
        <w:numPr>
          <w:ilvl w:val="0"/>
          <w:numId w:val="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制订安全生产管理规章制度和各种应急预案；</w:t>
      </w:r>
    </w:p>
    <w:p>
      <w:pPr>
        <w:numPr>
          <w:ilvl w:val="0"/>
          <w:numId w:val="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制订值班巡查规章制度、安排巡逻路线、排班计划，节假日值班计划；</w:t>
      </w:r>
    </w:p>
    <w:p>
      <w:pPr>
        <w:numPr>
          <w:ilvl w:val="0"/>
          <w:numId w:val="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制订、整理及保管其它必要的档案和资料；</w:t>
      </w:r>
    </w:p>
    <w:p>
      <w:pPr>
        <w:numPr>
          <w:ilvl w:val="0"/>
          <w:numId w:val="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每月至少报送1次月度报告，内容应详尽，有相应的摄像照片记录。</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秩序/安保管</w:t>
      </w:r>
      <w:r>
        <w:rPr>
          <w:rFonts w:hint="eastAsia" w:ascii="宋体" w:hAnsi="宋体" w:eastAsia="宋体" w:cs="宋体"/>
          <w:b/>
          <w:color w:val="auto"/>
          <w:kern w:val="0"/>
          <w:sz w:val="21"/>
          <w:szCs w:val="21"/>
          <w:highlight w:val="none"/>
          <w:lang w:eastAsia="zh-CN"/>
        </w:rPr>
        <w:t>理</w:t>
      </w:r>
    </w:p>
    <w:p>
      <w:pPr>
        <w:numPr>
          <w:ilvl w:val="0"/>
          <w:numId w:val="1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与当地公安机关建立联防机制，协助进行治安管理工作；</w:t>
      </w:r>
    </w:p>
    <w:p>
      <w:pPr>
        <w:numPr>
          <w:ilvl w:val="0"/>
          <w:numId w:val="1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全天24小时值班、巡查制度（固定路线和机动路线），设置形象岗位和机动岗位，要求3分钟内能集结5人以上应对突发情况</w:t>
      </w:r>
      <w:r>
        <w:rPr>
          <w:rFonts w:hint="eastAsia"/>
          <w:color w:val="auto"/>
          <w:highlight w:val="none"/>
          <w:lang w:eastAsia="zh-CN"/>
        </w:rPr>
        <w:t>（投标时提供应对突发情况经验，作为对</w:t>
      </w:r>
      <w:r>
        <w:rPr>
          <w:rFonts w:hint="eastAsia"/>
          <w:b w:val="0"/>
          <w:bCs w:val="0"/>
          <w:color w:val="auto"/>
          <w:sz w:val="21"/>
          <w:szCs w:val="21"/>
          <w:highlight w:val="none"/>
          <w:lang w:val="en-US" w:eastAsia="zh-CN"/>
        </w:rPr>
        <w:t>“</w:t>
      </w:r>
      <w:r>
        <w:rPr>
          <w:rFonts w:hint="eastAsia" w:ascii="宋体" w:hAnsi="宋体" w:eastAsia="宋体" w:cs="宋体"/>
          <w:color w:val="auto"/>
          <w:kern w:val="0"/>
          <w:sz w:val="21"/>
          <w:szCs w:val="21"/>
          <w:highlight w:val="none"/>
        </w:rPr>
        <w:t>安保服务方案</w:t>
      </w:r>
      <w:r>
        <w:rPr>
          <w:rFonts w:hint="eastAsia"/>
          <w:b w:val="0"/>
          <w:bCs w:val="0"/>
          <w:color w:val="auto"/>
          <w:sz w:val="21"/>
          <w:szCs w:val="21"/>
          <w:highlight w:val="none"/>
          <w:lang w:val="en-US" w:eastAsia="zh-CN"/>
        </w:rPr>
        <w:t>”证明材料</w:t>
      </w:r>
      <w:r>
        <w:rPr>
          <w:rFonts w:hint="eastAsia"/>
          <w:color w:val="auto"/>
          <w:highlight w:val="none"/>
          <w:lang w:eastAsia="zh-CN"/>
        </w:rPr>
        <w:t>）</w:t>
      </w:r>
      <w:r>
        <w:rPr>
          <w:rFonts w:hint="eastAsia" w:ascii="宋体" w:hAnsi="宋体" w:eastAsia="宋体" w:cs="宋体"/>
          <w:color w:val="auto"/>
          <w:kern w:val="0"/>
          <w:sz w:val="21"/>
          <w:szCs w:val="21"/>
          <w:highlight w:val="none"/>
        </w:rPr>
        <w:t>；</w:t>
      </w:r>
    </w:p>
    <w:p>
      <w:pPr>
        <w:numPr>
          <w:ilvl w:val="0"/>
          <w:numId w:val="1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全天24小时公共秩序和交通秩序的管理；车辆、财物和人员的出入、行驶及停泊管理（摩托车、单车按招标人要求统一停放在指定区域）；</w:t>
      </w:r>
    </w:p>
    <w:p>
      <w:pPr>
        <w:numPr>
          <w:ilvl w:val="0"/>
          <w:numId w:val="1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协助有关部门进行消防、防止群体冲突、应对紧急事件和灾难应变，并定期进行上述演习</w:t>
      </w:r>
      <w:r>
        <w:rPr>
          <w:rFonts w:hint="eastAsia"/>
          <w:color w:val="auto"/>
          <w:highlight w:val="none"/>
          <w:lang w:eastAsia="zh-CN"/>
        </w:rPr>
        <w:t>（投标时提供相关演习案例，作为对</w:t>
      </w:r>
      <w:r>
        <w:rPr>
          <w:rFonts w:hint="eastAsia"/>
          <w:b w:val="0"/>
          <w:bCs w:val="0"/>
          <w:color w:val="auto"/>
          <w:sz w:val="21"/>
          <w:szCs w:val="21"/>
          <w:highlight w:val="none"/>
          <w:lang w:val="en-US" w:eastAsia="zh-CN"/>
        </w:rPr>
        <w:t>“</w:t>
      </w:r>
      <w:r>
        <w:rPr>
          <w:rFonts w:hint="eastAsia" w:ascii="宋体" w:hAnsi="宋体" w:eastAsia="宋体" w:cs="宋体"/>
          <w:color w:val="auto"/>
          <w:kern w:val="0"/>
          <w:sz w:val="21"/>
          <w:szCs w:val="21"/>
          <w:highlight w:val="none"/>
        </w:rPr>
        <w:t>安保服务方案</w:t>
      </w:r>
      <w:r>
        <w:rPr>
          <w:rFonts w:hint="eastAsia"/>
          <w:b w:val="0"/>
          <w:bCs w:val="0"/>
          <w:color w:val="auto"/>
          <w:sz w:val="21"/>
          <w:szCs w:val="21"/>
          <w:highlight w:val="none"/>
          <w:lang w:val="en-US" w:eastAsia="zh-CN"/>
        </w:rPr>
        <w:t>”证明材料</w:t>
      </w:r>
      <w:r>
        <w:rPr>
          <w:rFonts w:hint="eastAsia"/>
          <w:color w:val="auto"/>
          <w:highlight w:val="none"/>
          <w:lang w:eastAsia="zh-CN"/>
        </w:rPr>
        <w:t>）</w:t>
      </w:r>
      <w:r>
        <w:rPr>
          <w:rFonts w:hint="eastAsia" w:ascii="宋体" w:hAnsi="宋体" w:eastAsia="宋体" w:cs="宋体"/>
          <w:color w:val="auto"/>
          <w:kern w:val="0"/>
          <w:sz w:val="21"/>
          <w:szCs w:val="21"/>
          <w:highlight w:val="none"/>
        </w:rPr>
        <w:t>；</w:t>
      </w:r>
    </w:p>
    <w:p>
      <w:pPr>
        <w:numPr>
          <w:ilvl w:val="0"/>
          <w:numId w:val="1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与园区租户、行政部门形成联络机制，建立联防机制；</w:t>
      </w:r>
    </w:p>
    <w:p>
      <w:pPr>
        <w:numPr>
          <w:ilvl w:val="0"/>
          <w:numId w:val="1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实行军事化培训和管理，安保岗位要求35周岁以下；</w:t>
      </w:r>
    </w:p>
    <w:p>
      <w:pPr>
        <w:numPr>
          <w:ilvl w:val="0"/>
          <w:numId w:val="1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按要求做好门岗、巡逻、监控、交通管理工作，具体如下</w:t>
      </w:r>
      <w:r>
        <w:rPr>
          <w:rFonts w:hint="eastAsia" w:ascii="宋体" w:hAnsi="宋体" w:eastAsia="宋体" w:cs="宋体"/>
          <w:color w:val="auto"/>
          <w:kern w:val="0"/>
          <w:sz w:val="21"/>
          <w:szCs w:val="21"/>
          <w:highlight w:val="none"/>
          <w:lang w:eastAsia="zh-CN"/>
        </w:rPr>
        <w:t>：</w:t>
      </w:r>
    </w:p>
    <w:tbl>
      <w:tblPr>
        <w:tblStyle w:val="21"/>
        <w:tblW w:w="88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
        <w:gridCol w:w="84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A</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门岗管理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主出入口设置形象岗，要求35岁以下，形象好、身体素质好。门岗24 小时值班，值班人员举止文明、态度和蔼，用语规范、礼仪规范，按时到岗，坚守岗位不脱岗。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59" w:type="dxa"/>
            <w:tcBorders>
              <w:tl2br w:val="nil"/>
              <w:tr2bl w:val="nil"/>
            </w:tcBorders>
            <w:vAlign w:val="center"/>
          </w:tcPr>
          <w:p>
            <w:pPr>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个人仪表整洁、门岗周围环境清洁，注意观察人员进出情况，发现疑点应当及时询问，劝阻小商小贩不要在物业管理区域内乱设摊点。对进出物业管理区域的各类车辆进行有效疏导，保持出入口畅通。无人值守的人行通道非开放时间上锁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根据园区管理要求，对指定区域临时进出的人员实行登记及去向公司人员确认，做到区内无形迹可疑、无明确探访对象的闲杂人员、广告推销人员进入或逗留。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对物品进出实施分类管理，大件物品进出应进行审验，拒绝危险物品进入。大件物品出园应事前检查，并报</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审批同意。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B</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巡逻管理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配备电子轨迹巡更系统，并负责相关设备、软件购置及维护的费用投入；科学、合理安排巡逻路线，重点、要害部分每2小时至少巡逻1次，发现违法、违章行为应及时制止。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按规定时间、路线巡回检查，多看、多听、多闻、多问，排除各种不安全因素；发现疑点应追查原因，同时通知上级及</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巡查中发现异常情况，应立即通知上级，并在现场采取必要措施，随时准备启动相应的应急预案，并第一时间通知</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或政府有关部门。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收到中央监控室发出指令后，巡逻人员应及时到达，并采取相应措施。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对物业管理区域内设置的消火栓（箱）、窨井盖、安全警示标志等涉及公共安全的设施进行巡查，发现缺失、损坏或不能正常使用等情况，应及时报告并记录。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负责电子轨迹巡更系统。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C</w:t>
            </w:r>
          </w:p>
        </w:tc>
        <w:tc>
          <w:tcPr>
            <w:tcW w:w="8459" w:type="dxa"/>
            <w:tcBorders>
              <w:tl2br w:val="nil"/>
              <w:tr2bl w:val="nil"/>
            </w:tcBorders>
            <w:vAlign w:val="center"/>
          </w:tcPr>
          <w:p>
            <w:pPr>
              <w:tabs>
                <w:tab w:val="left" w:pos="0"/>
              </w:tabs>
              <w:autoSpaceDE w:val="0"/>
              <w:autoSpaceDN w:val="0"/>
              <w:adjustRightInd w:val="0"/>
              <w:snapToGrid w:val="0"/>
              <w:spacing w:line="276" w:lineRule="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监控管理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负责配备24小时安防固话，监控中心设施应24小时开通，保证对安全出入口、内部重点区域的安全监控，保持完整的监控记录。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监控中心收到火情、险情及其他异常情况报警信号后，应及时报警，并通知相关人员及时直到现场进行处理。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监控的录入资料应至少保持30天，有特殊要求的参照相关规定或行业标准执行。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治安电话畅通，接听及时，记录准备详尽。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闭路监控画面清晰、视角合理，大堂、电梯、人行路口监控画面能够识别进出人员面孔；晚间光线充足或有红外补光。监控画面完好率100%。监控岗对关键镜头进行24小时实时监控，遮蔽镜头3分钟，控制中心监控岗能及时发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制订完善的监控查阅管理制度。对进出监控中心进行登记。查阅监控录像，必须经</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审批同意；非</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审批同意或执法机关办案需要，不能提供录像拷贝。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D</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交通管理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根据实际情况设置行车指示标志，规定车辆行驶路线，指定车辆停放区域 ，公开收费标准，代</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向园区停车场的临停车辆收取停车费。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车辆管理人员应对进出的种类车辆进行管理，维护交通秩序，保证车辆便于通行、易于停放；若对进出车辆有疑问，应向驾驶员进行询问。做好运输装修材料的施工车辆出入及停放位置管理，做到园内人车分流，不影响园区租户的正常经营和园区的整体形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停车场车辆应停放有序，车库场地定时清洁，无易燃易爆等物品存放；防止漏油、漏气车辆进入停车场。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地面、墙面按车辆道路行驶要求设立明显指示牌，照明、消防器械配置齐全。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做好停车场管理，维护停车场公共秩序，指挥车辆按车位停放，非机动车定点停放。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全天 24 小时对停车场、临时停车实施管理和服务，保证车辆停放安全，严格执行园区停车场管理规定或临时特定要求。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负责重要接待及活动的车辆停放指挥，必要时增加保安人员加强车辆临时停放管理。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负责停车场智能系统日常使用、管理、联系保养工作，负责停车场交通配套设备、设施的日常使用、管理，联系跟进保养及维修等工作。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对停车场和办公楼辖内发生的交通事故及交通设施损坏应及时妥善处理并报告协助园区做好善后处理工作。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459"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严禁电瓶车私自拉电、充电现象。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40"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459"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停车场收费续期办证工作。</w:t>
            </w:r>
          </w:p>
        </w:tc>
      </w:tr>
    </w:tbl>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消防管理</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建立健全消防管理制度，建立消防责任制；</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全天24小时消防值班，24小时消防主机监管；工作人员按照《中华人民共和国消防法》及相关法律法规持证上岗，每班不少于2人；</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建立义务消防队伍，出现消防事故应有人到达现场，进行必要的扑救；</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负责园区内的全部消防设施、设备的使用和管理及大楼火灾的报警和救助工作，并制定完善的消防应急方案；</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认真贯彻“安全第一，预防为主”的方针，建立消防组织机构、职责、规章制度和工作程序，落实各级消防责任人。全面熟练掌握消防报警、干式灭火（气体）、湿式灭火（喷淋）、防排烟及消防栓五个系统的作用、位置和操作方法；</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对消防设备和设施的维修保养，进行全面检查，确保消防设备和设施随时处于正常工作状态。负责办公区域和公共区域配装的各种灭火器材、防毒面具、烟感、喷淋设施以及楼梯、走道和出口的安全疏散提示、应急照明、通风设施等日常检查、维修；</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每周对园区所有的消防设备进行一次全面检查、设施巡视检查工作，并做好记录，及时整改火险隐患，监护动火和易燃易爆用品存放情况，保持消防区及楼梯走道和出口畅通；</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做好消防知识的培训和宣传，每年组织综合消防应急演练不少于2次；</w:t>
      </w:r>
    </w:p>
    <w:p>
      <w:pPr>
        <w:numPr>
          <w:ilvl w:val="0"/>
          <w:numId w:val="1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做好其它防火灭火工作及消防配套设施的维修及保养。</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应急管理</w:t>
      </w:r>
    </w:p>
    <w:p>
      <w:pPr>
        <w:numPr>
          <w:ilvl w:val="0"/>
          <w:numId w:val="19"/>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的实际情况和要求，制订并严格执行突发性公共事件应急预案，每年按照相关法律法规完成应急演练，组织消防应急演练不少于2次，电梯安全应急演练不少于1次，突发事件应急演练不少于1次；</w:t>
      </w:r>
    </w:p>
    <w:p>
      <w:pPr>
        <w:numPr>
          <w:ilvl w:val="0"/>
          <w:numId w:val="19"/>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当发生突发性事件时，应按预定方案进行处理，全力配合有关部门，保护人身安全并尽量减少财产损失；</w:t>
      </w:r>
    </w:p>
    <w:p>
      <w:pPr>
        <w:numPr>
          <w:ilvl w:val="0"/>
          <w:numId w:val="19"/>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生突发事件时，所在区域内的当班人员应在3分钟内赶到现场，到场后能准确判断情况，有效控制局面，并采取必要的隔离行动；监控中心指挥得当；如需协助，救援人员应在下表规定的时间内赶到现场，合理布控；赶到现场人员须携带与事发性质相对应的应急工具；</w:t>
      </w:r>
    </w:p>
    <w:p>
      <w:pPr>
        <w:numPr>
          <w:ilvl w:val="0"/>
          <w:numId w:val="19"/>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遇暴雨或其他灾害性天气，应采取以下应急措施：①对设备机房、停车场、广告牌等露天设施的抗强风能力进行检查和加固②对集水井泵运转情况进行检查，保证正常排涝③对排水系统进行检查疏通清除杂物，确保排水通畅④及时准备必要的抢险物资，安排值班人员进行巡查。</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装修管理</w:t>
      </w:r>
    </w:p>
    <w:p>
      <w:pPr>
        <w:numPr>
          <w:ilvl w:val="0"/>
          <w:numId w:val="2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严格落实装修报建相关的法规制度，根据招标人要求负责园区租户装修的方案审批、监督管理、竣工备案及档案管理工作，对需要向相关行政部门报建的，严格把控通过后方可施工。</w:t>
      </w:r>
    </w:p>
    <w:p>
      <w:pPr>
        <w:numPr>
          <w:ilvl w:val="0"/>
          <w:numId w:val="2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完善的园区租户装修服务制度，包括事前告知（法律法规禁止事项）、事中制止及事后上报义务履行的措施与方法，及日常巡查范围、要求及频次等。装修前，受理企业装修申报登记，与租户、装修施工单位签订装修服务协议，对用房的装修方案进行初步审核，告知租户、装修施工单位有关装饰装修的禁止行为和注意事项，装修方案经园区同意及备案后，方可施工。</w:t>
      </w:r>
    </w:p>
    <w:p>
      <w:pPr>
        <w:numPr>
          <w:ilvl w:val="0"/>
          <w:numId w:val="2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依据装修户数提前做好现场巡查人员配备及工具材料准备等工作。装修期间，每天巡查1次装修施工现场，登记工程进度。发现影响房屋外观、危及房屋结构安全及违规拆改共用管线、消防设施等行为，及时劝阻。</w:t>
      </w:r>
    </w:p>
    <w:p>
      <w:pPr>
        <w:numPr>
          <w:ilvl w:val="0"/>
          <w:numId w:val="2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装修结束后，应进行检查。对违反装修服务协议的当事人应按照约定处理，问题严重的应报告主管部门。</w:t>
      </w:r>
    </w:p>
    <w:p>
      <w:pPr>
        <w:numPr>
          <w:ilvl w:val="0"/>
          <w:numId w:val="2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提前对可能因装修造成损坏的共用部位（大堂、电梯厅、电梯轿厢、特殊材质地面等）采取防护措施。</w:t>
      </w:r>
    </w:p>
    <w:p>
      <w:pPr>
        <w:numPr>
          <w:ilvl w:val="0"/>
          <w:numId w:val="2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与园区租户签订管理协议（如装修垃圾搬运等），明确违约责任、处理措施。或有其它的疏导、管理途径，避免强买、强卖或由此引起的投诉、经济纠纷。</w:t>
      </w:r>
    </w:p>
    <w:p>
      <w:pPr>
        <w:numPr>
          <w:ilvl w:val="0"/>
          <w:numId w:val="2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指定装修垃圾存放点并设置围挡，装修垃圾袋装并及时集中清运。</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停车场管理</w:t>
      </w:r>
    </w:p>
    <w:p>
      <w:pPr>
        <w:numPr>
          <w:ilvl w:val="0"/>
          <w:numId w:val="2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根据相关法律法规、物业服务合同和停车场管理规定（见附件3），对车辆进行规范管理；</w:t>
      </w:r>
    </w:p>
    <w:p>
      <w:pPr>
        <w:numPr>
          <w:ilvl w:val="0"/>
          <w:numId w:val="2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为停车场配备的服务人员要求上岗时着装整齐、统一、规范，安保人员要求年龄在35岁以下，身高1.70米以上，有安保、物业管理经验，身体健康，仪表大方；</w:t>
      </w:r>
    </w:p>
    <w:p>
      <w:pPr>
        <w:numPr>
          <w:ilvl w:val="0"/>
          <w:numId w:val="2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保障停车场内交通设施的完好，标线、标志牌的清楚和稳固，停车场内设施设备整洁，路面无明显杂物；</w:t>
      </w:r>
    </w:p>
    <w:p>
      <w:pPr>
        <w:numPr>
          <w:ilvl w:val="0"/>
          <w:numId w:val="2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对停车场的场地和设施设备定期展开检查、维修等相关管理工作；</w:t>
      </w:r>
    </w:p>
    <w:p>
      <w:pPr>
        <w:numPr>
          <w:ilvl w:val="0"/>
          <w:numId w:val="2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保持停车场场地的卫生整洁，引导车辆有序停放，并对车场实行24小时监控和定时巡查制度；</w:t>
      </w:r>
    </w:p>
    <w:p>
      <w:pPr>
        <w:numPr>
          <w:ilvl w:val="0"/>
          <w:numId w:val="2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保持停车场消防通道的畅通，并保证消防设施设备配置完好、运行正常。</w:t>
      </w:r>
    </w:p>
    <w:p>
      <w:pPr>
        <w:numPr>
          <w:ilvl w:val="0"/>
          <w:numId w:val="2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人须购置公众责任险，并根据相关法律法规、物业服务合同和车场管理规定对停放车辆规范管理，因管理不当造成的车辆或财产被盗、车辆损毁等责任由中标人承担，但由于车辆本身原因造成车辆损毁及第三方损失，责任由车位使用方承担</w:t>
      </w:r>
      <w:r>
        <w:rPr>
          <w:rFonts w:hint="eastAsia" w:ascii="宋体" w:hAnsi="宋体" w:eastAsia="宋体" w:cs="宋体"/>
          <w:color w:val="auto"/>
          <w:kern w:val="0"/>
          <w:sz w:val="21"/>
          <w:szCs w:val="21"/>
          <w:highlight w:val="none"/>
          <w:lang w:eastAsia="zh-CN"/>
        </w:rPr>
        <w:t>。</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意见管理</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设有服务接待中心，公示24小时服务电话；</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每年至少1次征询租户对物业服务的意见；</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建立客户投诉意见处理程序，明确处理流程、处理时效、各层级职责、监督与回访等要求并有效落实；</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建立24小时电话接听制度，24小时受理客户报修、求助、投诉等；</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安排专人负责客户投诉处理，对于物业服务相关的投诉及时跟进处理；（投标时</w:t>
      </w:r>
      <w:r>
        <w:rPr>
          <w:rFonts w:hint="eastAsia" w:hAnsi="宋体" w:cs="宋体"/>
          <w:color w:val="auto"/>
          <w:kern w:val="0"/>
          <w:sz w:val="21"/>
          <w:szCs w:val="21"/>
          <w:highlight w:val="none"/>
          <w:lang w:eastAsia="zh-CN"/>
        </w:rPr>
        <w:t>同时</w:t>
      </w:r>
      <w:r>
        <w:rPr>
          <w:rFonts w:hint="eastAsia" w:ascii="宋体" w:hAnsi="宋体" w:eastAsia="宋体" w:cs="宋体"/>
          <w:color w:val="auto"/>
          <w:kern w:val="0"/>
          <w:sz w:val="21"/>
          <w:szCs w:val="21"/>
          <w:highlight w:val="none"/>
        </w:rPr>
        <w:t>提供专人名单</w:t>
      </w:r>
      <w:r>
        <w:rPr>
          <w:rFonts w:hint="eastAsia" w:hAnsi="宋体" w:cs="宋体"/>
          <w:color w:val="auto"/>
          <w:kern w:val="0"/>
          <w:sz w:val="21"/>
          <w:szCs w:val="21"/>
          <w:highlight w:val="none"/>
          <w:lang w:eastAsia="zh-CN"/>
        </w:rPr>
        <w:t>和专人处理物业服务投诉的服务经验，</w:t>
      </w:r>
      <w:r>
        <w:rPr>
          <w:rFonts w:hint="eastAsia" w:cs="宋体"/>
          <w:color w:val="auto"/>
          <w:highlight w:val="none"/>
        </w:rPr>
        <w:t>对“</w:t>
      </w:r>
      <w:r>
        <w:rPr>
          <w:rFonts w:hint="eastAsia" w:ascii="宋体" w:hAnsi="宋体" w:eastAsia="宋体" w:cs="宋体"/>
          <w:color w:val="auto"/>
          <w:kern w:val="0"/>
          <w:sz w:val="21"/>
          <w:szCs w:val="21"/>
          <w:highlight w:val="none"/>
        </w:rPr>
        <w:t>项目组织方案</w:t>
      </w:r>
      <w:r>
        <w:rPr>
          <w:rFonts w:hint="eastAsia" w:cs="宋体"/>
          <w:color w:val="auto"/>
          <w:highlight w:val="none"/>
        </w:rPr>
        <w:t>”进行响应</w:t>
      </w:r>
      <w:r>
        <w:rPr>
          <w:rFonts w:hint="eastAsia" w:ascii="宋体" w:hAnsi="宋体" w:eastAsia="宋体" w:cs="宋体"/>
          <w:color w:val="auto"/>
          <w:kern w:val="0"/>
          <w:sz w:val="21"/>
          <w:szCs w:val="21"/>
          <w:highlight w:val="none"/>
        </w:rPr>
        <w:t>）</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项目现场受理的投诉，应及时作好记录，并根据投诉类别通知责任岗位处理；重大、热点投诉应及时填写相关记录发予送招标人；</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网络投诉须在投诉产生或收到转发后24小时内回复；其他形式的投诉均须在投诉产生或收到转发后1个工作日内回复；</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对于共性的、涉及公共部位和公共利益的投诉，每月整理汇总处理措施和结果，由</w:t>
      </w:r>
      <w:r>
        <w:rPr>
          <w:rFonts w:hint="eastAsia" w:hAnsi="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确定是否公示、公示张贴区域范围等；</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投诉处理过程中保持与客户沟通，投诉处理进度、处理情况应三天一次及时向投诉客户反馈；</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所有投诉均须有完整的处理记录，并建档保存；重大、热点投诉处理完毕后应形成专项报告，单独立卷保存；</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所有投诉处理完毕后，应进行100%回访；</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向公安机关报案的投诉，应协助公安部门处理；</w:t>
      </w:r>
    </w:p>
    <w:p>
      <w:pPr>
        <w:numPr>
          <w:ilvl w:val="0"/>
          <w:numId w:val="2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涉及依法裁决的投诉，按法律程序处理。</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设备、设施管理及维护服务</w:t>
      </w:r>
    </w:p>
    <w:p>
      <w:pPr>
        <w:numPr>
          <w:ilvl w:val="0"/>
          <w:numId w:val="2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负责园区所有土建、机电设备、给排水、外装饰及周边附属建筑物的管理、维护和保养；</w:t>
      </w:r>
    </w:p>
    <w:p>
      <w:pPr>
        <w:numPr>
          <w:ilvl w:val="0"/>
          <w:numId w:val="2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常巡检发现问题应立即处理，有完整的报修、维修记录；小修工作应在1天内完成。相关法律规范或机电设备原有维护标准有特殊要求的，从其执行，但各机电设备设施管理的标准不低于国家、政府部门有关规定要求。无列明维护管理标准要求的，按相类似设备要求执行；</w:t>
      </w:r>
    </w:p>
    <w:p>
      <w:pPr>
        <w:numPr>
          <w:ilvl w:val="0"/>
          <w:numId w:val="2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每月制定次月机电设备设施工作计划、主要工作情况，内容包括但不限于各机电设备设施的维护管理工作内容、工作人员排班等，汇编至物业月度报告（有相应的摄像照片记录）；</w:t>
      </w:r>
    </w:p>
    <w:p>
      <w:pPr>
        <w:numPr>
          <w:ilvl w:val="0"/>
          <w:numId w:val="2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设备设施标志、标牌齐全，墙面悬挂“操作、维修作业指导书”及必要的“应急处理预案”。设备房保证24小时有值班人员进行维护。无人值守的设备房上锁管理，控制中心留存所有设备房的钥匙；</w:t>
      </w:r>
    </w:p>
    <w:p>
      <w:pPr>
        <w:numPr>
          <w:ilvl w:val="0"/>
          <w:numId w:val="2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房地面应平坦、干燥、防滑，墙面应平整、整洁，无积尘，设备表面无油污；设备房中重要设备上端有排污管等设施时，应在该设备上方加装喇叭口、挡板等设施。天台或地下设备房内的控制室入口处应有防止水浸的措施。设置集水底坑的设备房，应保持排水通畅；</w:t>
      </w:r>
    </w:p>
    <w:p>
      <w:pPr>
        <w:numPr>
          <w:ilvl w:val="0"/>
          <w:numId w:val="2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相关工作要求如下：</w:t>
      </w:r>
    </w:p>
    <w:tbl>
      <w:tblPr>
        <w:tblStyle w:val="21"/>
        <w:tblW w:w="9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A</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变配电系统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按时规定周期对变配电设施进行检查维护、清洁，并做好记录。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高低压配电柜运行正常、操作灵活，仪表显示准确。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变压器运行正常，通风降温设备可靠，温度显示准确。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制定突发事件应急处理程序和临时用电管理 措施，明确停、送审批权限，停、送电按规定提前通知租户。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制定变本电室人员出入管理制度，配电室实行封闭管理，无鼠洞，配备符合要求的灭火器材。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高压防护用具、验电器按规定每半年检定1次，计量器具、检测仪表按规定周期送计检局检定。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自备电房贴、挂安全操作程序及应急管理制度。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设备责任人每日对供配电系统进行2次巡视检查并记录相关运行参数。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负责选聘有资质单位对高压部分（变压器之前的部分，含变压器）做好维护检修并支付相关费用；负责选聘</w:t>
            </w:r>
            <w:r>
              <w:rPr>
                <w:rFonts w:hint="eastAsia" w:ascii="宋体" w:hAnsi="宋体" w:eastAsia="宋体" w:cs="宋体"/>
                <w:color w:val="auto"/>
                <w:kern w:val="0"/>
                <w:sz w:val="21"/>
                <w:szCs w:val="21"/>
                <w:highlight w:val="none"/>
                <w:lang w:val="en-US" w:eastAsia="zh-CN"/>
              </w:rPr>
              <w:t>具备相关资质的</w:t>
            </w:r>
            <w:r>
              <w:rPr>
                <w:rFonts w:hint="eastAsia" w:ascii="宋体" w:hAnsi="宋体" w:eastAsia="宋体" w:cs="宋体"/>
                <w:color w:val="auto"/>
                <w:kern w:val="0"/>
                <w:sz w:val="21"/>
                <w:szCs w:val="21"/>
                <w:highlight w:val="none"/>
              </w:rPr>
              <w:t>专业人员对低压部分（变压器之后的部分）做好维护检修。（配备4个电房，分别为1号1000kVA，2号1000kVA,3号2000kVA,4号2*1250kVA，外部双回路供电至园区）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B</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给排水系统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天检查1次生活泵、气压罐、排污泵、水池水箱、管道阀门，检查公共卫生间、开水房、管道井内的上下水管道、阀门、减压阀，集水坑、污水坑、室内外排水沟渠（井）。设备运行正常，压力符合要求，仪表指示准确，无跑、冒、滴、漏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生活水泵、管道、阀门定期进行维护保养；集水坑、污水坑、化粪池、室内外排水沟渠（井）定期检查，视实际情况进行疏通清淘；排水畅通无堵塞。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生活水箱（池）检修口封闭、加锁，通气口需设隔离网，环境卫生，无污染物。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tabs>
                <w:tab w:val="left" w:pos="0"/>
                <w:tab w:val="left" w:pos="1575"/>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落实停水、爆管等应急处理程序，计划停水按规定提前通知园区租户。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C</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 xml:space="preserve">空调系统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负责园区公共部分及</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办公用房空调的维保、维修、清洗（约50台），进行园区公共区域空调系统的日常维护、保养进行监管，保证园区公共区域、自有空调的运行。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设备工作正常、安全装置有效。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运行期间每日巡视1次空调系统，保证室内温度符合相关规定。检查设备运行状态及参数。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每月检查空调主机，测试运行控制和安全控制功能，分析运行数据，对能源消耗进行统计、分析。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定期对空调系统电源柜、控制柜进行检查、紧固螺栓、测试绝缘，保证系统的用电安全。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管道、阀门无锈蚀，保温层完好，无跑、冒、滴、漏现象；每1年至少除锈漆刷漆1次。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tabs>
                <w:tab w:val="left" w:pos="3075"/>
              </w:tabs>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根据实际情况进行风管系统清洗，保证空气质量。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科学合理开、关中央空调，保障冷气正常供应使用。按国家相关要求严格控制温度范围，夏季室内温度 22-26℃，做好节能工作。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空调设备发生故障时，维保技术人员应在30分钟内到达现场抢修，一般故障在4小时内修复；如压缩机或电路板等其他特殊的大故障，则应在48小时内修复。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每年对空调系统进行1次整体清洗、维修养护。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D</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电梯系统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负责选聘专业有资质的公司对电梯实行维保并支付相关费用（合共8台电梯，两层、六层、八层各1台， 五层2台，三层3台），对电梯维保公司进行监管，负责办理电梯年审、日常维修保养</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含电梯机房、空调等与电梯相关的附属设备设施）</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测试调试</w:t>
            </w:r>
            <w:r>
              <w:rPr>
                <w:rFonts w:hint="eastAsia" w:ascii="宋体" w:hAnsi="宋体" w:eastAsia="宋体" w:cs="宋体"/>
                <w:color w:val="auto"/>
                <w:kern w:val="0"/>
                <w:sz w:val="21"/>
                <w:szCs w:val="21"/>
                <w:highlight w:val="none"/>
              </w:rPr>
              <w:t>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电梯运行平衡、乘坐舒适、平层准确，轿厢照明、内外扶梯按钮完好，楼层显示正常，轿厢内整洁无污染。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根据温度开启轿厢风扇。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警铃或其他救助设备功能完备，称重装备可靠，安全装备有效无缺损，电梯运行无异常。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设专职人员对电梯维护保养进行监督，对电梯运行进行管理，并按技术要求做好日常运行巡检记录。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电梯发生一般性故障，专业维修保养人员应在1小时内到达现场维修；发生电梯困人或其他重大事件时物业管理专职人员应及时应急处理，专业维修保养人员应在 15 分钟内到达现场进行抢修。电梯困人故障解除后，应对被困人员进行善后解释和安抚工作。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电梯机房实行封闭管理，机房内温度不超过设备安全运行环境温度，配备应急照明、灭器和盘车工具齐全，并挂于显眼方便处。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轿箱内张贴有效期内电梯年检合格证、电梯保险标识、24小时值班工作人员电话（具体电梯救援资格），紧急对讲使用方便可靠，有相应标识；按钮面板整洁，字迹清晰。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电梯维修保养合同完备（包括要求约定年度、季度、月度检修、维护保养计划、电梯年检合格、紧急救援时间），对供方的工作及人员有有效的监督管理制度。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体电梯系统设备设施每天不少于一次巡查记录。物业公司应聘请具有相应资质的专业公司对电梯进行周期性检查维护，并对电梯进行半月、季度、半年、年度维保。维保的执行细则和电梯技术参数应符合相关技术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有关维修保养计划须报园区备案。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E</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消防系统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选聘专业有资质符合法律法规规定的公司对消防系统进行维保并支付相关费用，对消防维保公司进行监管，协调进行消防系统的日常维护、检查、维修等工作；负责选聘消防自动报警远程监控系统联网检测服务单位并支付相关费用（远程自动报警探头约</w:t>
            </w:r>
            <w:r>
              <w:rPr>
                <w:rFonts w:hint="eastAsia" w:ascii="宋体" w:hAnsi="宋体" w:cs="宋体"/>
                <w:color w:val="auto"/>
                <w:kern w:val="0"/>
                <w:sz w:val="21"/>
                <w:szCs w:val="21"/>
                <w:highlight w:val="none"/>
                <w:lang w:val="en-US" w:eastAsia="zh-CN"/>
              </w:rPr>
              <w:t>2000</w:t>
            </w:r>
            <w:r>
              <w:rPr>
                <w:rFonts w:hint="eastAsia" w:ascii="宋体" w:hAnsi="宋体" w:eastAsia="宋体" w:cs="宋体"/>
                <w:color w:val="auto"/>
                <w:kern w:val="0"/>
                <w:sz w:val="21"/>
                <w:szCs w:val="21"/>
                <w:highlight w:val="none"/>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当被检测探测器响应参数达到预定值时，探测器应输出火警信号，同时启动探测器的确认灯。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操作启动部件，手动火灾报警按钮应能输出火警信号，报警按钮应当有动作显示。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火灾时应能将火灾疏散层的扬声器和广播背景音响系统强制转入火灾应急广播状态，并控制在选定的楼层内。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报警功能：能正常接收来自火灾探测器及其他报警触发器件的火灾报警信号，发出声光信号。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故障报警：当控制器和火灾探测器、控制器和传输火灾报警信号作用的部件发生故障时，应当正确指出故障部位。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火警优先功能：显示预报警和故障信号时，如有火灾报警信号输入，应当立即显示火灾报警信号；显示故障信号时，如有预报警信号输入，应当显示预报警信号。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电源转换功能：主电源切断时，备用电源应当能自动投入运行；当主电源恢复时能从备用电源自动转入主电源状态。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消防对讲电话应语音清楚无干扰。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灾确认后：消防电梯联动迫降后可进行人工操作，其功能、信号应当正常；控制相应部分的正压风机和排烟机启动，接受其反馈信号并显示其状态；发出控制信号，将着火层防烟风阀、排烟阀打开，接受其反馈信号并显示其状态；控制室应能控制有关部分的防火卷帘门按规定程序下降，接受其反馈信号并显示其状态；应当释放所有门禁装备，保证疏散门畅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自动喷淋系统有水流动时，其水流指示器应显示、压力开关运作、水力警铃应发出报警铃声。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安全出口、疏散指示灯火灾时应维持90分钟以上的照明时间。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消防水带每半年检查1次，应无破损、发黑、发霉现象。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联动控制台工作正常、显示正确，系统误报率不超过3%。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消火栓每月检查1次，保持消火栓箱内配件完好。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消防泵每月启动1次，每年保养1次。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保证消防用水的基本储备，确保火灾险情时的应急灭火用水。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维保公司工作人员需经消防培训考试合格持证上岗。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消防主机除检修时间外，必需处于开机运行状态。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发生一般性故障，专业维修保养人员应在12小时内到达现场维修；发生重大故障时，物业管理专职人员应及时采取相应措施应急处理，专业维修保养人员应在30分钟内到达现场进行抢修。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负责监督专业消防维保公司做好消防设备月、季、年度测试工作，按时段和设备数量比例，抽查、检测系统设备，全年覆盖所有系统设备。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配合专业消防公司制定消防设备年度保养计划，并监督完成情况。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F</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安全防范系统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负责对安全防范系统进行维保，协调进行安防系统的日常维护、检查、维修等工作。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系统设备时间、日期准确，摄像机编号有逻辑性。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矩阵工作正常，线路整齐，分组同步切换标识清楚。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传输线路应有良好的接地，并对干扰信号进行屏蔽，同轴电缆两端“地电压”应一致。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多媒体图形工作站应直观显示各监控点位置，对报警应及时响应。录像机工作正常，显示准确、整洁。画面分割器工作正常、整洁。监视器工作正常、图像清晰、色彩良好、整洁。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录入资料应保持30天以上，并应有时间、日期及摄像机编号，有特殊要求的参照相关规定。存在诉讼隐患的突发事件监控录像保存期限不少于2年。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摄像机安装牢固，位置正确，工作正常、整洁，室外摄像机应注意防水、防尘、密封及散热，并应满足室外最低照度要求。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相关报警装备安装牢固，灵敏可靠，及时反馈报警信息。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每季度对 UPS 电源进行1次完全代载放电，并充电检测。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维保工作由专职人员进行，非授权人员不得擅自更改安防设置及对主机开盖检测箱内元件。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设立监控资料调用、查阅权限，调用查阅需经授权。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每年由物业公司组织相关专业人员对安全防范系统进行1次全面检查，对安全防范方面存在的漏洞、隐患等情况进行限期整改。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项目经理</w:t>
            </w:r>
            <w:r>
              <w:rPr>
                <w:rFonts w:hint="eastAsia" w:ascii="宋体" w:hAnsi="宋体" w:eastAsia="宋体" w:cs="宋体"/>
                <w:color w:val="auto"/>
                <w:kern w:val="0"/>
                <w:sz w:val="21"/>
                <w:szCs w:val="21"/>
                <w:highlight w:val="none"/>
              </w:rPr>
              <w:t>夜间查岗每月不少于1次，项目安全负责人夜间查岗每周不少于1次。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防火门、大堂门禁系统、自动感应门每月检查保养1次。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负责小镇范围内智能化系统及其设备的正常运转，确保安全监控24小时专人看管，协助小镇运营机构管理小镇门禁系统服务、公共部分网络服务。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G</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停车场管理系统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要求落实停车场管理系统的维保工作，</w:t>
            </w:r>
            <w:r>
              <w:rPr>
                <w:rFonts w:hint="eastAsia" w:ascii="宋体" w:hAnsi="宋体" w:eastAsia="宋体" w:cs="宋体"/>
                <w:color w:val="auto"/>
                <w:kern w:val="0"/>
                <w:sz w:val="21"/>
                <w:szCs w:val="21"/>
                <w:highlight w:val="none"/>
                <w:lang w:val="en-US" w:eastAsia="zh-CN"/>
              </w:rPr>
              <w:t>负责</w:t>
            </w:r>
            <w:r>
              <w:rPr>
                <w:rFonts w:hint="eastAsia" w:ascii="宋体" w:hAnsi="宋体" w:eastAsia="宋体" w:cs="宋体"/>
                <w:color w:val="auto"/>
                <w:kern w:val="0"/>
                <w:sz w:val="21"/>
                <w:szCs w:val="21"/>
                <w:highlight w:val="none"/>
              </w:rPr>
              <w:t>停车系统日常维护、检查、维修等工作。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站工作正常、通讯正常、整洁；服务器、通讯正常；出入口机工作正常、通讯正常；图像识别系统工作正常，摄像机工作正常，车辆及车牌号清晰，信息相对应及时存入、读出数据库；电动道闸工作正常、整洁，反应灵敏；车辆检测器工作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负责对岗停配套计算机管理和维护，不得损失设备硬件，不得私自改变计算机设置和更换计算机硬件、软件、和外来软件和光盘。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停车场管理系统发生故障，立即上报园区并第一时间联系维保单位进行维修。设置适当的提醒标识。普通故障原则上一天内完成修复。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H</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公共照明系统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在满足使用的要求情况下，合理控制机电设备照明的开关时间，尽量节省能源；落实好公共照明节能管理制度及方案，拟订照明设施开关计划，对能源消耗进行统计、分析。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每天 1 次巡查大堂、电梯间、停车场、通道、光彩照明、LED 灯、标识牌灯、景观照明、霓虹灯等公共部位照明，有效亮灯率达 98%以上，如有缺损及时更换。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每周 1 次巡检公共照明电源柜，如有问题及时更换，保证设备正常运行和安全用电。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I</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避雷系统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每年雨季前必须要按照法律法规规定对建筑避雷系统进行检测，留存检测合格报告，同时动员和组织租户对重要设施设备进行防雷检测。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保持壁垒系统完整性，不得擅自拆除、迁改避雷设施。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每半年对楼顶层的避雷针、避雷带、避雷线、避雷网、屋面设备、其它金属物体的接地装置进行全面检查，有问题及时解决。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J</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标识系统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参照园区现有标识系统情况，</w:t>
            </w:r>
            <w:r>
              <w:rPr>
                <w:rFonts w:hint="eastAsia" w:ascii="宋体" w:hAnsi="宋体" w:eastAsia="宋体" w:cs="宋体"/>
                <w:color w:val="auto"/>
                <w:kern w:val="0"/>
                <w:sz w:val="21"/>
                <w:szCs w:val="21"/>
                <w:highlight w:val="none"/>
              </w:rPr>
              <w:t>根据</w:t>
            </w:r>
            <w:r>
              <w:rPr>
                <w:rFonts w:hint="eastAsia" w:ascii="宋体" w:hAnsi="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要求设置、</w:t>
            </w:r>
            <w:r>
              <w:rPr>
                <w:rFonts w:hint="eastAsia" w:ascii="宋体" w:hAnsi="宋体" w:eastAsia="宋体" w:cs="宋体"/>
                <w:color w:val="auto"/>
                <w:kern w:val="0"/>
                <w:sz w:val="21"/>
                <w:szCs w:val="21"/>
                <w:highlight w:val="none"/>
                <w:lang w:val="en-US" w:eastAsia="zh-CN"/>
              </w:rPr>
              <w:t>替换、完善</w:t>
            </w:r>
            <w:r>
              <w:rPr>
                <w:rFonts w:hint="eastAsia" w:ascii="宋体" w:hAnsi="宋体" w:eastAsia="宋体" w:cs="宋体"/>
                <w:color w:val="auto"/>
                <w:kern w:val="0"/>
                <w:sz w:val="21"/>
                <w:szCs w:val="21"/>
                <w:highlight w:val="none"/>
              </w:rPr>
              <w:t>和管理园区内的标识系统</w:t>
            </w:r>
            <w:r>
              <w:rPr>
                <w:rFonts w:hint="eastAsia" w:ascii="宋体" w:hAnsi="宋体" w:eastAsia="宋体" w:cs="宋体"/>
                <w:color w:val="auto"/>
                <w:kern w:val="0"/>
                <w:sz w:val="21"/>
                <w:szCs w:val="21"/>
                <w:highlight w:val="none"/>
                <w:lang w:val="en-US" w:eastAsia="zh-CN"/>
              </w:rPr>
              <w:t>并承担相关费用</w:t>
            </w: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配置并在适当时使用“维护进行中”、“小心路滑”等临时性服务状态标识。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公共区域内的紧急出口、消防通道、禁烟区等设置警示性标识。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公共区域及仓储库区内设指示性标识（包括引导标志和功能标识，如电梯、楼梯、出入口通道、残疾人通道、门牌号、问询处、卫生间、有毒有害废弃物存放点标识等）。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应在主要通道及停车场设置交通标识，主要路口设路标。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做好入驻、退园企业的指示牌、标识的维护、更换、清洁工作。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标识的图形符号应该符合相关的法律法规要求；各类标识的格式应统一，悬挂（摆放）应安全、正规、醒目、便利、协调和无涂改，文字规范。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K</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公共区域设施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各类金属栏、杆、桩、牌、盖等以油漆作为保护层的公共设施，表面油漆无明显脱落、无明显锈迹，安装牢固。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路面无明显污迹、破损，各类沟、渠、井、池盖安装平稳牢固无破损。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用于固定单（摩托）车库（棚）的支架应牢固、整齐、美观。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休闲椅等休闲、配套服务设备设施油漆无明显脱落、无腐烂、无倒塌、断裂等安全隐患。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各种门、杆、柱、扶手、围栏、雕塑无倒塌、断裂等安全隐患，功能良好，油漆无大面积脱落；水景、易攀爬的设施有禁止行为警示标识。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空调架安装有序，室外招牌、广告、霓虹灯整洁统一无安全隐患，外墙装饰无破损或污迹。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各类公共设施、通道、管道井的门挂锁开启便利。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上汛前和强降雨后检查屋面防水和雨水管等。公共区域内的雨水、污水管道、沟槽每半年检查、疏通1次。雨水、污水井每半年检查、清掏1次。雨水、污水管道、沟槽发生堵塞应及时疏通。化粪池每年清掏不少于1次，每季度检查1次，防止外溢。检查、疏通工作留存清晰记录，有异常堵塞物的，需要拍照存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公共区域运行良好，无违规违法张贴小广告。对未经许可擅自张贴、更改建筑外立面的广告、招牌和各项构建物沟通予以拆除。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外饰：夜饰照明系统的日常管理、使用和维修。四大节日期间的装饰工作。在满足园区使用要求的前提下，合理控制机电设备和照明的开关时间，尽量节省能源。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设立24小时工程技术人员值班备勤岗，随时接受园区报修。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负责园区公共会议室、路演厅、展厅等日常清洁及维护保养。</w:t>
            </w:r>
          </w:p>
        </w:tc>
      </w:tr>
    </w:tbl>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环境保洁服务</w:t>
      </w:r>
    </w:p>
    <w:p>
      <w:pPr>
        <w:numPr>
          <w:ilvl w:val="0"/>
          <w:numId w:val="24"/>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基本要求</w:t>
      </w:r>
    </w:p>
    <w:p>
      <w:pPr>
        <w:numPr>
          <w:ilvl w:val="0"/>
          <w:numId w:val="2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每年根据合同约定的清洁标准、定期保洁工作内容等，制定年度工作计划。每月依据年度计划， 结合上月清洁工作中须改进事项，制定月度工作计划，并落实。报</w:t>
      </w:r>
      <w:r>
        <w:rPr>
          <w:rFonts w:hint="eastAsia" w:hAnsi="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备案</w:t>
      </w:r>
      <w:r>
        <w:rPr>
          <w:rFonts w:hint="eastAsia" w:ascii="宋体" w:hAnsi="宋体" w:eastAsia="宋体" w:cs="宋体"/>
          <w:color w:val="auto"/>
          <w:kern w:val="0"/>
          <w:sz w:val="21"/>
          <w:szCs w:val="21"/>
          <w:highlight w:val="none"/>
          <w:lang w:eastAsia="zh-CN"/>
        </w:rPr>
        <w:t>。</w:t>
      </w:r>
    </w:p>
    <w:p>
      <w:pPr>
        <w:numPr>
          <w:ilvl w:val="0"/>
          <w:numId w:val="2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管理人员每日检查清洁质量，每周抽查区域须覆盖管理区域。每栋楼层内至少设置一个清洁工作签到点，作为清洁人员、管理人员签到之用，以保证清洁质量。</w:t>
      </w:r>
    </w:p>
    <w:p>
      <w:pPr>
        <w:numPr>
          <w:ilvl w:val="0"/>
          <w:numId w:val="24"/>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清洁频次要求</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主干道及广场、主出入口每日清扫2次并每小时至少巡视1次，如有污迹及时冲洗，及时清除道路积水；</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2米以下墙面、门窗及其他公共设施每周清洁1次；路灯、楼道灯及2米以上墙面、门窗及其他公共设施每月清洁2次；</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公共洗手间地面拖抹不少于3次，随时保洁，至少2小时内巡回1次，每天进行消毒1次（注：毛坯场地洗手间每月拖洗不少于1次，有客户入驻即恢复常规清洁频次）；</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楼层电梯厅及公共走道每日清扫2次，每日拖洗1次（注：毛坯场地电梯厅及公共走道每月拖洗不少于1次，有客户入驻即恢复常规清洁频次）；每年对观光电梯内外幕墙清洗1次；</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露天停车场每日巡视清洁2次；</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消防楼道每周全面清扫3次，每周拖洗2次，扶手每周抹拭3次；</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绿化带每日巡视清洁2次；绿地一有垃圾，要求半小时内拣拾干净；</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大堂、门窗、电梯轿厢随时保洁（避开人流高峰期）；电梯轿厢地毯每周更换清洗不少于1次；</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天台每一周清洁一次；采光井每天清洁一次；</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雨水沟每月清洁一次（雨季根据实际需要增加频次）；</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雨后对区域内主路、干路积水进行清扫；雨后4小时道路无成片积水，雨后天晴1日内恢复道路清洁标准；</w:t>
      </w:r>
    </w:p>
    <w:p>
      <w:pPr>
        <w:numPr>
          <w:ilvl w:val="0"/>
          <w:numId w:val="2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台风天气后及时清理道路及绿化带的绿化或其它垃圾及恢复。</w:t>
      </w:r>
    </w:p>
    <w:p>
      <w:pPr>
        <w:numPr>
          <w:ilvl w:val="0"/>
          <w:numId w:val="26"/>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以上的清洁频次要求为最低要求，需要保证公共区域包括但不限于公共洗手间、主干道及广场、主出入口、楼梯电梯厅、公共走道、大堂、电梯轿厢时刻的干净整洁。</w:t>
      </w:r>
    </w:p>
    <w:p>
      <w:pPr>
        <w:numPr>
          <w:ilvl w:val="0"/>
          <w:numId w:val="24"/>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清洁标准</w:t>
      </w:r>
    </w:p>
    <w:p>
      <w:pPr>
        <w:numPr>
          <w:ilvl w:val="0"/>
          <w:numId w:val="2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环卫设施:应根据</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的实际情况合理设置相关环卫设施，如根据</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保洁需要在公共区域配置</w:t>
      </w:r>
      <w:r>
        <w:rPr>
          <w:rFonts w:hint="eastAsia" w:hAnsi="宋体" w:cs="宋体"/>
          <w:color w:val="auto"/>
          <w:kern w:val="0"/>
          <w:sz w:val="21"/>
          <w:szCs w:val="21"/>
          <w:highlight w:val="none"/>
          <w:lang w:val="en-US" w:eastAsia="zh-CN"/>
        </w:rPr>
        <w:t>分类垃圾桶</w:t>
      </w:r>
      <w:r>
        <w:rPr>
          <w:rFonts w:hint="eastAsia" w:ascii="宋体" w:hAnsi="宋体" w:eastAsia="宋体" w:cs="宋体"/>
          <w:color w:val="auto"/>
          <w:kern w:val="0"/>
          <w:sz w:val="21"/>
          <w:szCs w:val="21"/>
          <w:highlight w:val="none"/>
        </w:rPr>
        <w:t>、在适当位置设置垃圾中转点、餐厨垃圾收集转运点、在集中装修期间有临时建渣堆放处等；</w:t>
      </w:r>
    </w:p>
    <w:p>
      <w:pPr>
        <w:numPr>
          <w:ilvl w:val="0"/>
          <w:numId w:val="2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清洁、保洁实行责任制，有专职保洁人员，明确责任范围，实行标准化作业；</w:t>
      </w:r>
    </w:p>
    <w:p>
      <w:pPr>
        <w:numPr>
          <w:ilvl w:val="0"/>
          <w:numId w:val="2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各区域清洁要求：</w:t>
      </w:r>
    </w:p>
    <w:tbl>
      <w:tblPr>
        <w:tblStyle w:val="21"/>
        <w:tblW w:w="97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7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区域</w:t>
            </w:r>
          </w:p>
        </w:tc>
        <w:tc>
          <w:tcPr>
            <w:tcW w:w="7688"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工作要求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外围及周边道路</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地面干净无杂物、无积水，无明显污迹、油渍；明沟、窨井内无杂物、无异味；标示标牌表面干净无积尘、无水印；路灯表面干净无污渍。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绿化带及水池</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定期清除绿地杂草、杂物，花台表面干净无污渍，水池无异味。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大堂、走廊及楼道等楼内管理区域</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干净、无污渍，有光泽，保持地面材质原貌；门框、窗框、窗台、金属件表面光亮、无灰尘、无污渍；门窗玻璃干净无尘，透光性好，无明显印迹；各种金属件表面干净，无污渍，有金属光泽门把手干净、无印迹、定时消毒；天花板干净，无污渍、无蛛网；进出口地垫摆放整齐，表面干净无杂物，盆栽植物无积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值班室</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地面、墙面、干净，无灰尘、污渍；天花板、风口目视无灰尘、污渍；桌椅干净，物品摆放整齐、有序；文件柜无尘、无污垢。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楼梯及楼梯间</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梯步表面干净无污渍，防滑条（缝）干净，扶手栏杆表面干净无灰尘，防火门及闭门器表面无污渍，墙面、天花板无积尘、蛛网。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公共卫生间</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干净，无污渍、无积水，大小便器表面干净，无污渍，有光泽；各种隔断表面干净，无乱写乱画，金属饰件表面干净，无污迹，有金属光泽；墙壁表面干净，天花板无污渍、蛛网；风口或换气扇表面干净无积尘；门窗表面干净，窗台无灰尘；玻璃干净无水渍；洗手台干净无积水，面盆无污垢；各种物品摆放整齐规范；废纸篓杂物超过 2/3 应及时倾倒，卫生间内空气流通并且无明显异味。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停车场</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地面干净，无杂物，无明显油渍、污渍；墙面干净无积尘，各种指示牌表面干净有光泽；消防器材表面干净，摆放整齐；各种道闸表面无灰尘。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电梯及电梯厅</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轿厢四壁光洁明亮，操作面板无污迹、无灰尘、无印迹，地面干净，空气清新、无异味；电梯凹槽内无垃圾无杂物，按钮表面干净无印迹；电梯前厅内地面干净有光泽；轿厢四壁干净、无乱写乱贴广告。对园区内观光电梯外壁玻璃每年清洗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电器设施</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灯泡、灯管、灯罩无积尘、无污迹。装饰件无积尘、无污迹；开关、插座、配电箱无积尘、无明显污迹。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垃圾桶及果皮箱</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垃圾桶及果皮箱：按指定位置摆放，表面干净无污渍无痰迹，垃圾及时清倒，内胆应定期清洁、清毒。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设备机房、指示牌</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无卫生死角、无垃圾规程，无积尘、目视无蜘蛛网、无明显污渍、无水渍；指示牌、广告牌无灰尘、无污渍，金属件表面光亮，无痕迹。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平台、屋顶</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无垃圾堆积。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垃圾中转站</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地面无明显垃圾，垃圾日产日清。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园区水景</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水上无垃圾、落叶、水体清洁、无异味。做好湖水添加和排放的工作。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三圣河</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水上无垃圾、落叶。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建筑物外墙、</w:t>
            </w:r>
          </w:p>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玻璃幕墙</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园区所有建筑物外墙、玻璃幕墙每年清洗一次。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特别约定</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①在市/区开展城市考评或创文考察期间，需按照城市考评标准或创文标准落实保洁工作②发生重大传染病疫情期间（或疫情防控期间），电梯轿厢、各类门拉手、楼梯扶手、开关按钮、休闲桌椅、公共洗手间、垃圾房、垃圾桶、果皮箱等至少每日消毒4次（或按当地政府规定），并做好相关防疫措施及宣传工作</w:t>
            </w:r>
            <w:r>
              <w:rPr>
                <w:rFonts w:hint="eastAsia" w:ascii="宋体" w:hAnsi="宋体" w:eastAsia="宋体" w:cs="宋体"/>
                <w:color w:val="auto"/>
                <w:kern w:val="0"/>
                <w:sz w:val="21"/>
                <w:szCs w:val="21"/>
                <w:highlight w:val="none"/>
                <w:lang w:eastAsia="zh-CN"/>
              </w:rPr>
              <w:t>。</w:t>
            </w:r>
          </w:p>
        </w:tc>
      </w:tr>
    </w:tbl>
    <w:p>
      <w:pPr>
        <w:numPr>
          <w:ilvl w:val="0"/>
          <w:numId w:val="24"/>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环境消杀</w:t>
      </w:r>
    </w:p>
    <w:p>
      <w:pPr>
        <w:numPr>
          <w:ilvl w:val="0"/>
          <w:numId w:val="2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杀工具设备摆放整齐、表面清洁、标识清晰，统一存放指定场所，对消杀药品的储存、领取与使用环节进行有效控制，按危险品管理，防止意外事故发生，使用符合国家相关规定的合格药品，消杀过程做好防护措施，投放与喷施消杀药品的场所须设置醒目的警示标识，必要时采取隔离措施，防止宠物、小孩误食；如涉及高空作业等风险较高的服务项目，资质证书（根据当地政策法规规定）、作业人员上岗证须在中标人物业管理服务中心备案，并签订协议，协议中明确约定作业安全、监控责任及为作业人员购买意外险等；</w:t>
      </w:r>
    </w:p>
    <w:p>
      <w:pPr>
        <w:numPr>
          <w:ilvl w:val="0"/>
          <w:numId w:val="2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消杀人员持证上岗，通过专业消杀资质公司开展消杀工作；</w:t>
      </w:r>
    </w:p>
    <w:p>
      <w:pPr>
        <w:numPr>
          <w:ilvl w:val="0"/>
          <w:numId w:val="2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消杀前（含绿化带），提前将计划在园区内公示，公示内容包括消杀时间、对象、范围、注意事项等</w:t>
      </w:r>
      <w:r>
        <w:rPr>
          <w:rFonts w:hint="eastAsia" w:ascii="宋体" w:hAnsi="宋体" w:eastAsia="宋体" w:cs="宋体"/>
          <w:color w:val="auto"/>
          <w:kern w:val="0"/>
          <w:sz w:val="21"/>
          <w:szCs w:val="21"/>
          <w:highlight w:val="none"/>
          <w:lang w:eastAsia="zh-CN"/>
        </w:rPr>
        <w:t>。</w:t>
      </w:r>
    </w:p>
    <w:p>
      <w:pPr>
        <w:numPr>
          <w:ilvl w:val="0"/>
          <w:numId w:val="24"/>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垃圾清运</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生活垃圾专人负责，日产日清；对装修、维修产生的建筑垃圾应有专人负责清理；</w:t>
      </w:r>
    </w:p>
    <w:p>
      <w:pPr>
        <w:numPr>
          <w:ilvl w:val="0"/>
          <w:numId w:val="24"/>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保洁应急处理</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如出现自来水爆管、化粪池外溢、公共性疫情等情况，应启动相应的应急预案，全力配合有关部门，保障租户人身安全，减少财产损失。</w:t>
      </w:r>
    </w:p>
    <w:p>
      <w:pPr>
        <w:numPr>
          <w:ilvl w:val="0"/>
          <w:numId w:val="24"/>
        </w:numPr>
        <w:adjustRightInd w:val="0"/>
        <w:snapToGrid w:val="0"/>
        <w:spacing w:line="360" w:lineRule="auto"/>
        <w:ind w:hanging="5"/>
        <w:rPr>
          <w:rFonts w:hAnsi="宋体" w:cs="宋体"/>
          <w:b/>
          <w:color w:val="auto"/>
          <w:kern w:val="0"/>
          <w:highlight w:val="none"/>
        </w:rPr>
      </w:pPr>
      <w:r>
        <w:rPr>
          <w:rFonts w:hint="eastAsia" w:hAnsi="宋体" w:cs="宋体"/>
          <w:b/>
          <w:color w:val="auto"/>
          <w:kern w:val="0"/>
          <w:highlight w:val="none"/>
        </w:rPr>
        <w:t>除“四害”等</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灭鼠、灭蟑螂（大蠊）、灭蝇、蚊蝇孳生地控制；夏季每月不少于2次，冬季每月不少于1次。灭蚊：每年不少于4次。以检查、防治白蚁为主，发现问题随时灭杀。在进场灭杀3个月后，经检查验收没有发现新的蚁路、蚁巢等蚊迹方为有效。园区内出现鼠患、白蚁情况的，由</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负责采用有效合理方式予以灭杀，灭杀费用包含在管理费中，如因此导致室内设施损坏的，由</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进行相应修复、赔偿。</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绿化养护服务</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内公用绿地、植物养护。按照花卉的种类，保证植物、花卉水分充足，湿度适中并适时整形修剪，保持花卉表面清洁无尘，枝叶茂盛，每月一次施肥和防虫。园区绿化垃圾及时清理。园区大堂、各服务区域、园区办公室、会议室、公共区域摆放植物及养护。</w:t>
      </w:r>
    </w:p>
    <w:p>
      <w:pPr>
        <w:numPr>
          <w:ilvl w:val="0"/>
          <w:numId w:val="29"/>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基础要求</w:t>
      </w:r>
    </w:p>
    <w:p>
      <w:pPr>
        <w:numPr>
          <w:ilvl w:val="0"/>
          <w:numId w:val="3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根据植物生长习性编制年度、月度养护计划并跟进实施，报园区审核备案；</w:t>
      </w:r>
    </w:p>
    <w:p>
      <w:pPr>
        <w:numPr>
          <w:ilvl w:val="0"/>
          <w:numId w:val="3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建立绿化改造管理流程，改变园林绿化原有设计、变更主要植物种类或数量、减少绿化面积的，改造前须取得园区批准同意；</w:t>
      </w:r>
    </w:p>
    <w:p>
      <w:pPr>
        <w:numPr>
          <w:ilvl w:val="0"/>
          <w:numId w:val="3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剪草、乔木修剪等作业不影响客户正常休息；</w:t>
      </w:r>
    </w:p>
    <w:p>
      <w:pPr>
        <w:numPr>
          <w:ilvl w:val="0"/>
          <w:numId w:val="3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至少每周对绿化养护情况进行1次检查并记录；</w:t>
      </w:r>
    </w:p>
    <w:p>
      <w:pPr>
        <w:numPr>
          <w:ilvl w:val="0"/>
          <w:numId w:val="3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进行机械作业时，作业人员须佩戴好防护用品，有现场作业标识。绿化异常区应有“修剪养护期”等提示性标识；</w:t>
      </w:r>
    </w:p>
    <w:p>
      <w:pPr>
        <w:numPr>
          <w:ilvl w:val="0"/>
          <w:numId w:val="3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补植苗木（因中标人管理疏忽导致园区内植物枯萎的，苗木补种费用由中标人承担）。</w:t>
      </w:r>
    </w:p>
    <w:p>
      <w:pPr>
        <w:numPr>
          <w:ilvl w:val="0"/>
          <w:numId w:val="29"/>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养护频次与要求</w:t>
      </w:r>
    </w:p>
    <w:p>
      <w:pPr>
        <w:numPr>
          <w:ilvl w:val="0"/>
          <w:numId w:val="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乔木修剪至少1次/年，灌木、草坪生长季节每月修剪1次或根据实际情况确定修剪频次；</w:t>
      </w:r>
    </w:p>
    <w:p>
      <w:pPr>
        <w:numPr>
          <w:ilvl w:val="0"/>
          <w:numId w:val="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造型植物依据实际情况确定修剪频次；</w:t>
      </w:r>
    </w:p>
    <w:p>
      <w:pPr>
        <w:numPr>
          <w:ilvl w:val="0"/>
          <w:numId w:val="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花坛植物生长季节至少每季度松土1次或根据实际情况确定频次；</w:t>
      </w:r>
    </w:p>
    <w:p>
      <w:pPr>
        <w:numPr>
          <w:ilvl w:val="0"/>
          <w:numId w:val="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根据实际情况适时浇水、施肥每月1次、除杂草每月2次；</w:t>
      </w:r>
    </w:p>
    <w:p>
      <w:pPr>
        <w:numPr>
          <w:ilvl w:val="0"/>
          <w:numId w:val="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针对不同的品种和季节进行病虫害防治，每月至少1次；</w:t>
      </w:r>
    </w:p>
    <w:p>
      <w:pPr>
        <w:numPr>
          <w:ilvl w:val="0"/>
          <w:numId w:val="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做好防涝、防冻、防台风。</w:t>
      </w:r>
    </w:p>
    <w:p>
      <w:pPr>
        <w:numPr>
          <w:ilvl w:val="0"/>
          <w:numId w:val="29"/>
        </w:numPr>
        <w:adjustRightInd w:val="0"/>
        <w:snapToGrid w:val="0"/>
        <w:spacing w:line="360" w:lineRule="auto"/>
        <w:ind w:left="425" w:leftChars="0" w:hanging="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养护标准</w:t>
      </w:r>
    </w:p>
    <w:p>
      <w:pPr>
        <w:numPr>
          <w:ilvl w:val="0"/>
          <w:numId w:val="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绿化养护应达到绿地及花坛内各种植物存活率98%。绿地设施及硬质景观完好无损。植物群落完整，层次丰富，黄土不外露，有整体的观赏效果。植物季相分明，生长茂盛；</w:t>
      </w:r>
    </w:p>
    <w:p>
      <w:pPr>
        <w:numPr>
          <w:ilvl w:val="0"/>
          <w:numId w:val="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保持土壤适度湿润，原则上“不干不浇，浇则浇透”；浇灌中流出的余水及时清理；</w:t>
      </w:r>
    </w:p>
    <w:p>
      <w:pPr>
        <w:numPr>
          <w:ilvl w:val="0"/>
          <w:numId w:val="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草坪保持平整，高度不超过5厘米，草屑及时清理；乔木修剪科学合理，剪口光滑整齐，树冠完整美观，无徒长枝、下垂枝、枯枝，内膛不乱，通风透光，绿篱修剪整齐有型，保持观赏面枝叶丰满。花灌木花后修剪及时，无残花；</w:t>
      </w:r>
    </w:p>
    <w:p>
      <w:pPr>
        <w:numPr>
          <w:ilvl w:val="0"/>
          <w:numId w:val="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绿地内立视应无明显杂草，土壤疏松通透；</w:t>
      </w:r>
    </w:p>
    <w:p>
      <w:pPr>
        <w:numPr>
          <w:ilvl w:val="0"/>
          <w:numId w:val="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按植物品种、生长速度、土壤状况，适时适量施无机肥；</w:t>
      </w:r>
    </w:p>
    <w:p>
      <w:pPr>
        <w:numPr>
          <w:ilvl w:val="0"/>
          <w:numId w:val="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预防为主，生态治理。草皮无病斑，植物枝叶无虫害咬口、排泄物、无悬挂或领队在植物上的虫茧、休眠虫体及越冬虫蛹；</w:t>
      </w:r>
    </w:p>
    <w:p>
      <w:pPr>
        <w:numPr>
          <w:ilvl w:val="0"/>
          <w:numId w:val="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绿地内无垃圾，乔木无树挂；</w:t>
      </w:r>
    </w:p>
    <w:p>
      <w:pPr>
        <w:numPr>
          <w:ilvl w:val="0"/>
          <w:numId w:val="32"/>
        </w:numPr>
        <w:adjustRightInd w:val="0"/>
        <w:snapToGrid w:val="0"/>
        <w:spacing w:line="360" w:lineRule="auto"/>
        <w:ind w:left="425" w:leftChars="0" w:hanging="5"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color w:val="auto"/>
          <w:kern w:val="0"/>
          <w:sz w:val="21"/>
          <w:szCs w:val="21"/>
          <w:highlight w:val="none"/>
        </w:rPr>
        <w:t>园区公共服务区域（四座路演厅、八座[报告厅、会议室、展厅及走廊通道等]、园区部分公共服务区域）绿植摆放总数量不低于以下标准及数量：1.5-2.0 米植物不少于50盆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1 米左右</w:t>
      </w:r>
      <w:r>
        <w:rPr>
          <w:rFonts w:hint="eastAsia" w:ascii="宋体" w:hAnsi="宋体" w:eastAsia="宋体" w:cs="宋体"/>
          <w:b w:val="0"/>
          <w:bCs w:val="0"/>
          <w:color w:val="auto"/>
          <w:kern w:val="0"/>
          <w:sz w:val="21"/>
          <w:szCs w:val="21"/>
          <w:highlight w:val="none"/>
        </w:rPr>
        <w:t>植物不少于30盆</w:t>
      </w:r>
      <w:r>
        <w:rPr>
          <w:rFonts w:hint="eastAsia" w:ascii="宋体" w:hAnsi="宋体" w:eastAsia="宋体" w:cs="宋体"/>
          <w:b w:val="0"/>
          <w:bCs w:val="0"/>
          <w:color w:val="auto"/>
          <w:kern w:val="0"/>
          <w:sz w:val="21"/>
          <w:szCs w:val="21"/>
          <w:highlight w:val="none"/>
          <w:lang w:eastAsia="zh-CN"/>
        </w:rPr>
        <w:t>。</w:t>
      </w:r>
    </w:p>
    <w:p>
      <w:pPr>
        <w:numPr>
          <w:ilvl w:val="0"/>
          <w:numId w:val="29"/>
        </w:numPr>
        <w:adjustRightInd w:val="0"/>
        <w:snapToGrid w:val="0"/>
        <w:spacing w:line="360" w:lineRule="auto"/>
        <w:ind w:left="425" w:leftChars="0" w:hanging="5"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rPr>
        <w:t>在市/区开展城市考评或创文考察期间，需按照城市考评标准或创文标准落实绿化养护工作</w:t>
      </w:r>
      <w:r>
        <w:rPr>
          <w:rFonts w:hint="eastAsia" w:ascii="宋体" w:hAnsi="宋体" w:eastAsia="宋体" w:cs="宋体"/>
          <w:b w:val="0"/>
          <w:bCs w:val="0"/>
          <w:color w:val="auto"/>
          <w:kern w:val="0"/>
          <w:sz w:val="21"/>
          <w:szCs w:val="21"/>
          <w:highlight w:val="none"/>
          <w:lang w:eastAsia="zh-CN"/>
        </w:rPr>
        <w:t>。</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费用催缴及代收服务</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负责对园区企业客户费用进行催缴工作、并负责代收车辆临时停车费，并做好停车费用结算和交接。制订严格停车费的结算和财务制度。</w:t>
      </w:r>
    </w:p>
    <w:p>
      <w:pPr>
        <w:numPr>
          <w:ilvl w:val="0"/>
          <w:numId w:val="3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的管理要求，每月对入驻企业客户的租金、物业管理费、水电费进行催缴并建立台账，每月至少一次向</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书面报送租户欠缴费用的信息。经</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书面同意，对严重欠费企业采取有关限制措施；</w:t>
      </w:r>
    </w:p>
    <w:p>
      <w:pPr>
        <w:numPr>
          <w:ilvl w:val="0"/>
          <w:numId w:val="3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严格按照规定的收费标准，收取用户的停车费，熟悉收费系统各种操作程序，快捷、准确无误地做好收费工作；</w:t>
      </w:r>
    </w:p>
    <w:p>
      <w:pPr>
        <w:numPr>
          <w:ilvl w:val="0"/>
          <w:numId w:val="3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当有车主对所缴费用产生异议时，向车主耐心解释，文明热情的服务；</w:t>
      </w:r>
    </w:p>
    <w:p>
      <w:pPr>
        <w:numPr>
          <w:ilvl w:val="0"/>
          <w:numId w:val="3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在停车场道闸系统出现故障时，对缴费客人要礼貌解释，及时通知班长并安排维护人员立即处理，并做好相关记录，并报告管理处；</w:t>
      </w:r>
    </w:p>
    <w:p>
      <w:pPr>
        <w:numPr>
          <w:ilvl w:val="0"/>
          <w:numId w:val="3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负责做好各种停车票收缴、登记工作。遇到免费的车辆，须经园区批准。并做好免费通过车辆记录、异常起杆记录。</w:t>
      </w:r>
    </w:p>
    <w:p>
      <w:pPr>
        <w:numPr>
          <w:ilvl w:val="0"/>
          <w:numId w:val="3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负责按规定做好收费的交接工作，并连同免费通过车辆记录、凭票通行车辆记录、异常起杆记录等资料报送到</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w:t>
      </w:r>
    </w:p>
    <w:p>
      <w:pPr>
        <w:numPr>
          <w:ilvl w:val="0"/>
          <w:numId w:val="3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做好交接班记录，做好现金与发票的移交和接收工作。</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园区服务</w:t>
      </w:r>
    </w:p>
    <w:p>
      <w:pPr>
        <w:numPr>
          <w:ilvl w:val="0"/>
          <w:numId w:val="34"/>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协助园区定期（季度）/或不定期宣传栏更换喷画内容、张挂宣传条幅布置维护等；协助处理园区公共关系、宣传栏的布置、后勤服务指南的制作和派发；协助开展园区文化娱乐活动；开办宣传橱窗、设立宣传栏、开展丰富多彩的活动；</w:t>
      </w:r>
    </w:p>
    <w:p>
      <w:pPr>
        <w:numPr>
          <w:ilvl w:val="0"/>
          <w:numId w:val="34"/>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负责物业管理和后勤服务工作的宣传；</w:t>
      </w:r>
    </w:p>
    <w:p>
      <w:pPr>
        <w:numPr>
          <w:ilvl w:val="0"/>
          <w:numId w:val="34"/>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负责配合有关庆典、仪式、会议、参观的安排接待。</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投标时提供5分钟内</w:t>
      </w:r>
      <w:r>
        <w:rPr>
          <w:rFonts w:hint="eastAsia" w:hAnsi="宋体" w:cs="宋体"/>
          <w:color w:val="auto"/>
          <w:kern w:val="0"/>
          <w:sz w:val="21"/>
          <w:szCs w:val="21"/>
          <w:highlight w:val="none"/>
          <w:lang w:eastAsia="zh-CN"/>
        </w:rPr>
        <w:t>的</w:t>
      </w:r>
      <w:r>
        <w:rPr>
          <w:rFonts w:hint="eastAsia" w:hAnsi="宋体" w:cs="宋体"/>
          <w:color w:val="auto"/>
          <w:kern w:val="0"/>
          <w:sz w:val="21"/>
          <w:szCs w:val="21"/>
          <w:highlight w:val="none"/>
          <w:lang w:val="en-US" w:eastAsia="zh-CN"/>
        </w:rPr>
        <w:t>相关接待服务视频</w:t>
      </w:r>
      <w:r>
        <w:rPr>
          <w:rFonts w:hint="eastAsia" w:hAnsi="宋体" w:cs="宋体"/>
          <w:color w:val="auto"/>
          <w:kern w:val="0"/>
          <w:sz w:val="21"/>
          <w:szCs w:val="21"/>
          <w:highlight w:val="none"/>
          <w:lang w:eastAsia="zh-CN"/>
        </w:rPr>
        <w:t>，</w:t>
      </w:r>
      <w:r>
        <w:rPr>
          <w:rFonts w:hint="eastAsia" w:cs="宋体"/>
          <w:color w:val="auto"/>
          <w:highlight w:val="none"/>
          <w:lang w:val="en-US" w:eastAsia="zh-CN"/>
        </w:rPr>
        <w:t>作为对</w:t>
      </w:r>
      <w:r>
        <w:rPr>
          <w:rFonts w:hint="eastAsia" w:cs="宋体"/>
          <w:color w:val="auto"/>
          <w:highlight w:val="none"/>
          <w:lang w:eastAsia="zh-CN"/>
        </w:rPr>
        <w:t>“</w:t>
      </w:r>
      <w:r>
        <w:rPr>
          <w:rFonts w:hint="eastAsia" w:ascii="宋体" w:hAnsi="宋体" w:eastAsia="宋体" w:cs="宋体"/>
          <w:color w:val="auto"/>
          <w:kern w:val="0"/>
          <w:sz w:val="21"/>
          <w:szCs w:val="21"/>
          <w:highlight w:val="none"/>
        </w:rPr>
        <w:t>专项接待管理</w:t>
      </w:r>
      <w:r>
        <w:rPr>
          <w:rFonts w:hint="eastAsia" w:ascii="宋体" w:hAnsi="宋体" w:eastAsia="宋体" w:cs="宋体"/>
          <w:color w:val="auto"/>
          <w:kern w:val="0"/>
          <w:sz w:val="21"/>
          <w:szCs w:val="21"/>
          <w:highlight w:val="none"/>
          <w:lang w:val="en-US" w:eastAsia="zh-CN"/>
        </w:rPr>
        <w:t>方案</w:t>
      </w:r>
      <w:r>
        <w:rPr>
          <w:rFonts w:hint="eastAsia" w:cs="宋体"/>
          <w:color w:val="auto"/>
          <w:highlight w:val="none"/>
          <w:lang w:eastAsia="zh-CN"/>
        </w:rPr>
        <w:t>”</w:t>
      </w:r>
      <w:r>
        <w:rPr>
          <w:rFonts w:hint="eastAsia" w:cs="宋体"/>
          <w:color w:val="auto"/>
          <w:highlight w:val="none"/>
          <w:lang w:val="en-US" w:eastAsia="zh-CN"/>
        </w:rPr>
        <w:t>证明材料。</w:t>
      </w:r>
      <w:r>
        <w:rPr>
          <w:rFonts w:hint="eastAsia" w:ascii="宋体" w:hAnsi="宋体" w:cs="宋体"/>
          <w:color w:val="auto"/>
          <w:kern w:val="0"/>
          <w:sz w:val="21"/>
          <w:szCs w:val="21"/>
          <w:highlight w:val="none"/>
          <w:lang w:val="en-US" w:eastAsia="zh-CN"/>
        </w:rPr>
        <w:t>视频电子文档随投标文件一并密封提交。</w:t>
      </w:r>
      <w:r>
        <w:rPr>
          <w:rFonts w:hint="eastAsia" w:hAnsi="宋体" w:cs="宋体"/>
          <w:color w:val="auto"/>
          <w:kern w:val="0"/>
          <w:sz w:val="21"/>
          <w:szCs w:val="21"/>
          <w:highlight w:val="none"/>
          <w:lang w:eastAsia="zh-CN"/>
        </w:rPr>
        <w:t>）</w:t>
      </w:r>
    </w:p>
    <w:p>
      <w:pPr>
        <w:numPr>
          <w:ilvl w:val="0"/>
          <w:numId w:val="34"/>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活动场地包括但不限于会议室、报告厅、路演厅的布置、整理、打扫，物料搬运、摆放，会议设备调试，参会人员的指引、会场的安保，会议内部服务，会务应急管理及突发事件处理工作，配备专职会务接待人员负责会务相关工作。</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物业管理咨询服务</w:t>
      </w:r>
    </w:p>
    <w:p>
      <w:pPr>
        <w:numPr>
          <w:ilvl w:val="0"/>
          <w:numId w:val="0"/>
        </w:numPr>
        <w:adjustRightInd w:val="0"/>
        <w:snapToGrid w:val="0"/>
        <w:spacing w:line="360" w:lineRule="auto"/>
        <w:ind w:left="420" w:leftChars="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根据物业管理专业领域积累的管理经验，为</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提供千灯湖创投小镇核心区（二期）</w:t>
      </w:r>
      <w:r>
        <w:rPr>
          <w:rFonts w:hint="eastAsia" w:ascii="宋体" w:hAnsi="宋体" w:eastAsia="宋体" w:cs="宋体"/>
          <w:color w:val="auto"/>
          <w:kern w:val="0"/>
          <w:sz w:val="21"/>
          <w:szCs w:val="21"/>
          <w:highlight w:val="none"/>
          <w:lang w:val="en-US" w:eastAsia="zh-CN"/>
        </w:rPr>
        <w:t>建设期间的</w:t>
      </w:r>
      <w:r>
        <w:rPr>
          <w:rFonts w:hint="eastAsia" w:ascii="宋体" w:hAnsi="宋体" w:eastAsia="宋体" w:cs="宋体"/>
          <w:color w:val="auto"/>
          <w:kern w:val="0"/>
          <w:sz w:val="21"/>
          <w:szCs w:val="21"/>
          <w:highlight w:val="none"/>
        </w:rPr>
        <w:t>咨询服务：</w:t>
      </w:r>
    </w:p>
    <w:p>
      <w:pPr>
        <w:numPr>
          <w:ilvl w:val="0"/>
          <w:numId w:val="35"/>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为</w:t>
      </w:r>
      <w:r>
        <w:rPr>
          <w:rFonts w:hint="eastAsia" w:ascii="宋体" w:hAnsi="宋体" w:eastAsia="宋体" w:cs="宋体"/>
          <w:color w:val="auto"/>
          <w:kern w:val="0"/>
          <w:sz w:val="21"/>
          <w:szCs w:val="21"/>
          <w:highlight w:val="none"/>
        </w:rPr>
        <w:t>项目</w:t>
      </w:r>
      <w:r>
        <w:rPr>
          <w:rFonts w:hint="eastAsia" w:ascii="宋体" w:hAnsi="宋体" w:eastAsia="宋体" w:cs="宋体"/>
          <w:color w:val="auto"/>
          <w:kern w:val="0"/>
          <w:sz w:val="21"/>
          <w:szCs w:val="21"/>
          <w:highlight w:val="none"/>
          <w:lang w:val="en-US" w:eastAsia="zh-CN"/>
        </w:rPr>
        <w:t>建设期间的交通流线规划、安全管理、物业管理提供</w:t>
      </w:r>
      <w:r>
        <w:rPr>
          <w:rFonts w:hint="eastAsia" w:ascii="宋体" w:hAnsi="宋体" w:eastAsia="宋体" w:cs="宋体"/>
          <w:color w:val="auto"/>
          <w:kern w:val="0"/>
          <w:sz w:val="21"/>
          <w:szCs w:val="21"/>
          <w:highlight w:val="none"/>
        </w:rPr>
        <w:t>合理化建议；</w:t>
      </w:r>
    </w:p>
    <w:p>
      <w:pPr>
        <w:numPr>
          <w:ilvl w:val="0"/>
          <w:numId w:val="35"/>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针对项目方案设计，及时发现及提出对后期物业管理服务不利的相关问题，为完善物业建设提出建设性意见；</w:t>
      </w:r>
    </w:p>
    <w:p>
      <w:pPr>
        <w:numPr>
          <w:ilvl w:val="0"/>
          <w:numId w:val="35"/>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定期参加</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lang w:val="en-US" w:eastAsia="zh-CN"/>
        </w:rPr>
        <w:t>及</w:t>
      </w:r>
      <w:r>
        <w:rPr>
          <w:rFonts w:hint="eastAsia" w:ascii="宋体" w:hAnsi="宋体" w:eastAsia="宋体" w:cs="宋体"/>
          <w:color w:val="auto"/>
          <w:kern w:val="0"/>
          <w:sz w:val="21"/>
          <w:szCs w:val="21"/>
          <w:highlight w:val="none"/>
        </w:rPr>
        <w:t>有关单位召开的专题会议，提供物业专业意见；</w:t>
      </w:r>
    </w:p>
    <w:p>
      <w:pPr>
        <w:numPr>
          <w:ilvl w:val="0"/>
          <w:numId w:val="35"/>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提出项目建设期间物业管理保障方案</w:t>
      </w:r>
      <w:r>
        <w:rPr>
          <w:rFonts w:hint="eastAsia" w:ascii="宋体" w:hAnsi="宋体" w:eastAsia="宋体" w:cs="宋体"/>
          <w:color w:val="auto"/>
          <w:kern w:val="0"/>
          <w:sz w:val="21"/>
          <w:szCs w:val="21"/>
          <w:highlight w:val="none"/>
          <w:lang w:val="en-US" w:eastAsia="zh-CN"/>
        </w:rPr>
        <w:t>及客户沟通方案</w:t>
      </w:r>
      <w:r>
        <w:rPr>
          <w:rFonts w:hint="eastAsia" w:ascii="宋体" w:hAnsi="宋体" w:eastAsia="宋体" w:cs="宋体"/>
          <w:color w:val="auto"/>
          <w:kern w:val="0"/>
          <w:sz w:val="21"/>
          <w:szCs w:val="21"/>
          <w:highlight w:val="none"/>
        </w:rPr>
        <w:t>，减少施工</w:t>
      </w:r>
      <w:r>
        <w:rPr>
          <w:rFonts w:hint="eastAsia" w:ascii="宋体" w:hAnsi="宋体" w:eastAsia="宋体" w:cs="宋体"/>
          <w:color w:val="auto"/>
          <w:kern w:val="0"/>
          <w:sz w:val="21"/>
          <w:szCs w:val="21"/>
          <w:highlight w:val="none"/>
          <w:lang w:val="en-US" w:eastAsia="zh-CN"/>
        </w:rPr>
        <w:t>期间</w:t>
      </w:r>
      <w:r>
        <w:rPr>
          <w:rFonts w:hint="eastAsia" w:ascii="宋体" w:hAnsi="宋体" w:eastAsia="宋体" w:cs="宋体"/>
          <w:color w:val="auto"/>
          <w:kern w:val="0"/>
          <w:sz w:val="21"/>
          <w:szCs w:val="21"/>
          <w:highlight w:val="none"/>
        </w:rPr>
        <w:t>对入驻租户产生的不利影响。</w:t>
      </w:r>
    </w:p>
    <w:p>
      <w:pPr>
        <w:numPr>
          <w:ilvl w:val="0"/>
          <w:numId w:val="0"/>
        </w:numPr>
        <w:adjustRightInd w:val="0"/>
        <w:snapToGrid w:val="0"/>
        <w:spacing w:line="360" w:lineRule="auto"/>
        <w:ind w:left="420" w:left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备注：所有建议需以报告或建议书书面提出。</w:t>
      </w:r>
    </w:p>
    <w:p>
      <w:pPr>
        <w:numPr>
          <w:ilvl w:val="0"/>
          <w:numId w:val="15"/>
        </w:numPr>
        <w:adjustRightInd w:val="0"/>
        <w:snapToGrid w:val="0"/>
        <w:spacing w:line="360" w:lineRule="auto"/>
        <w:ind w:left="0" w:leftChars="0" w:firstLine="42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其他事项</w:t>
      </w:r>
    </w:p>
    <w:p>
      <w:pPr>
        <w:numPr>
          <w:ilvl w:val="0"/>
          <w:numId w:val="3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配合园区要求完成以下工作：</w:t>
      </w:r>
    </w:p>
    <w:p>
      <w:pPr>
        <w:numPr>
          <w:ilvl w:val="0"/>
          <w:numId w:val="37"/>
        </w:numPr>
        <w:adjustRightInd w:val="0"/>
        <w:snapToGrid w:val="0"/>
        <w:spacing w:line="360" w:lineRule="auto"/>
        <w:ind w:hanging="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定期抄录园区租户用水用电，建立园区能耗管理台账，包括但不限于每月的能耗表，配合实现园区的数据化管理；</w:t>
      </w:r>
    </w:p>
    <w:p>
      <w:pPr>
        <w:numPr>
          <w:ilvl w:val="0"/>
          <w:numId w:val="37"/>
        </w:numPr>
        <w:adjustRightInd w:val="0"/>
        <w:snapToGrid w:val="0"/>
        <w:spacing w:line="360" w:lineRule="auto"/>
        <w:ind w:hanging="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收缴园区租户租金、物业费、水电费；</w:t>
      </w:r>
    </w:p>
    <w:p>
      <w:pPr>
        <w:numPr>
          <w:ilvl w:val="0"/>
          <w:numId w:val="37"/>
        </w:numPr>
        <w:adjustRightInd w:val="0"/>
        <w:snapToGrid w:val="0"/>
        <w:spacing w:line="360" w:lineRule="auto"/>
        <w:ind w:hanging="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开展入驻企业清理等物业管理工作；</w:t>
      </w:r>
    </w:p>
    <w:p>
      <w:pPr>
        <w:numPr>
          <w:ilvl w:val="0"/>
          <w:numId w:val="3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向园区企业派发各宣传资料及通知文件等资料，并做好签收记录</w:t>
      </w:r>
      <w:r>
        <w:rPr>
          <w:rFonts w:hint="eastAsia" w:ascii="宋体" w:hAnsi="宋体" w:eastAsia="宋体" w:cs="宋体"/>
          <w:color w:val="auto"/>
          <w:kern w:val="0"/>
          <w:sz w:val="21"/>
          <w:szCs w:val="21"/>
          <w:highlight w:val="none"/>
          <w:lang w:eastAsia="zh-CN"/>
        </w:rPr>
        <w:t>。</w:t>
      </w:r>
    </w:p>
    <w:p>
      <w:pPr>
        <w:numPr>
          <w:ilvl w:val="0"/>
          <w:numId w:val="3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按要求做好防范各类传染病（非典、登革热及类似疫情）的防疫及应急工作。</w:t>
      </w:r>
    </w:p>
    <w:p>
      <w:pPr>
        <w:numPr>
          <w:ilvl w:val="0"/>
          <w:numId w:val="3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负责防范自然灾害（台风、洪水）等应急工作，配置必要人员值班。</w:t>
      </w:r>
    </w:p>
    <w:p>
      <w:pPr>
        <w:numPr>
          <w:ilvl w:val="0"/>
          <w:numId w:val="3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负责物管服务项目其它相关工作及园区提出的其他管理工作、任务和要求。</w:t>
      </w:r>
    </w:p>
    <w:p>
      <w:pPr>
        <w:numPr>
          <w:ilvl w:val="0"/>
          <w:numId w:val="3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如向园区租户提供有偿服务须经</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同意，并将收费标准报招标人备案。</w:t>
      </w:r>
    </w:p>
    <w:p>
      <w:pPr>
        <w:numPr>
          <w:ilvl w:val="0"/>
          <w:numId w:val="3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配合招标人建立安全生产管理机制，配备专业（兼）安全管理人员（安全专员），协助建立安全生产记录和台账。</w:t>
      </w:r>
    </w:p>
    <w:p>
      <w:pPr>
        <w:numPr>
          <w:ilvl w:val="0"/>
          <w:numId w:val="3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建立全员培训制度和全员培训档案，每季度开展安全培训。</w:t>
      </w:r>
    </w:p>
    <w:p>
      <w:pPr>
        <w:numPr>
          <w:ilvl w:val="0"/>
          <w:numId w:val="3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开展职业卫生培训，定期开展作业场所职业病危害因素监测和评价。</w:t>
      </w:r>
    </w:p>
    <w:p>
      <w:pPr>
        <w:numPr>
          <w:ilvl w:val="0"/>
          <w:numId w:val="12"/>
        </w:numPr>
        <w:adjustRightInd w:val="0"/>
        <w:snapToGrid w:val="0"/>
        <w:spacing w:line="360" w:lineRule="auto"/>
        <w:ind w:left="1109" w:leftChars="0" w:hanging="689"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人员要求</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日常管理须配置人数不少于42人（不含停车场安保）的服务团队（其中安保人员不少于17人，工程技术人员不少于3人、会务接待客服人员不少于2人）；北区停车场及南区停车场配置安保人员各不得少于3人，停车场保洁人员可与园区服务团队共用。</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可根据实际需求对岗位提出调整设定，报</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同意后方可实施，但总人数不得少于上述要求。</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增加岗位人员不作限制，但</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不会因</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增加岗位人员数量，而对服务收费标准作出调整，如未经</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同意擅自减少岗位编制且未在</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要求整改的限期内补足的，除对当月物业考核进行扣分外，</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有权额外扣减</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的月度物业服务费用(每缺1人扣除当月物业服务费用的3%），直至</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完成整改为止，</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不得有任何异议。</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签订合同后，</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需在10个日历天内向</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提供拟派驻本项目主要人员（项目经理、主管）的简历及相关职业资格证明、证书等</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认为与本项目服务内容相关的资格材料，如</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认为主要人员未能满足本项目需要的，可要求</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进行更换，</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需无条件配合。服务期间，</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主要人员变更前需征得</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同意，且更换的人员资格不得低于原有人员，项目经理须为</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在编人员，主要人员休假须向</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报备；</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认为</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派驻的人员不符合项目、合同要求的，</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有权要求</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在合理期限内无条件更换，</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逾期更换的，视为该岗位缺岗，</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应承担相应的违约责任。</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对所聘用人员严格审核，保证聘用人员无违法或犯罪记录、有相应岗位的上岗资格证，并按照劳动法和相关法律规定进行聘用和管理，工作期间遵守规章制度；</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服务人员必须按照要求穿着统一整齐的工作服，统一佩戴标志，行为规范，服务主动、热情；工作服务不符合要求的，</w:t>
      </w:r>
      <w:r>
        <w:rPr>
          <w:rFonts w:hint="eastAsia" w:ascii="宋体" w:hAnsi="宋体" w:eastAsia="宋体" w:cs="宋体"/>
          <w:color w:val="auto"/>
          <w:kern w:val="0"/>
          <w:sz w:val="21"/>
          <w:szCs w:val="21"/>
          <w:highlight w:val="none"/>
          <w:lang w:eastAsia="zh-CN"/>
        </w:rPr>
        <w:t>招标人</w:t>
      </w:r>
      <w:r>
        <w:rPr>
          <w:rFonts w:hint="eastAsia" w:ascii="宋体" w:hAnsi="宋体" w:eastAsia="宋体" w:cs="宋体"/>
          <w:color w:val="auto"/>
          <w:kern w:val="0"/>
          <w:sz w:val="21"/>
          <w:szCs w:val="21"/>
          <w:highlight w:val="none"/>
        </w:rPr>
        <w:t>有权要求做出调整，</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应无条件配合；</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必须按法律、法规及有关政策规定为其服务人员购买社会保险，所聘人员的管理必须执行国家劳动法的相关规定；</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配备的所有人员的衣（工作服）、食、住、行等工作生活所需，由</w:t>
      </w:r>
      <w:r>
        <w:rPr>
          <w:rFonts w:hint="eastAsia" w:ascii="宋体" w:hAnsi="宋体" w:eastAsia="宋体" w:cs="宋体"/>
          <w:color w:val="auto"/>
          <w:kern w:val="0"/>
          <w:sz w:val="21"/>
          <w:szCs w:val="21"/>
          <w:highlight w:val="none"/>
          <w:lang w:eastAsia="zh-CN"/>
        </w:rPr>
        <w:t>中标人</w:t>
      </w:r>
      <w:r>
        <w:rPr>
          <w:rFonts w:hint="eastAsia" w:ascii="宋体" w:hAnsi="宋体" w:eastAsia="宋体" w:cs="宋体"/>
          <w:color w:val="auto"/>
          <w:kern w:val="0"/>
          <w:sz w:val="21"/>
          <w:szCs w:val="21"/>
          <w:highlight w:val="none"/>
        </w:rPr>
        <w:t>自行解决并承担相关费用；</w:t>
      </w:r>
    </w:p>
    <w:p>
      <w:pPr>
        <w:numPr>
          <w:ilvl w:val="0"/>
          <w:numId w:val="38"/>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具体岗位及要求</w:t>
      </w:r>
    </w:p>
    <w:p>
      <w:pPr>
        <w:adjustRightInd w:val="0"/>
        <w:snapToGrid w:val="0"/>
        <w:spacing w:line="360" w:lineRule="auto"/>
        <w:ind w:left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核心岗位要求如下：</w:t>
      </w:r>
    </w:p>
    <w:p>
      <w:pPr>
        <w:numPr>
          <w:ilvl w:val="0"/>
          <w:numId w:val="39"/>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项目经理</w:t>
      </w:r>
      <w:r>
        <w:rPr>
          <w:rFonts w:hint="eastAsia" w:ascii="宋体" w:hAnsi="宋体" w:eastAsia="宋体" w:cs="宋体"/>
          <w:color w:val="auto"/>
          <w:sz w:val="21"/>
          <w:szCs w:val="21"/>
          <w:highlight w:val="none"/>
        </w:rPr>
        <w:t>（1名）</w:t>
      </w:r>
    </w:p>
    <w:p>
      <w:pPr>
        <w:numPr>
          <w:ilvl w:val="0"/>
          <w:numId w:val="40"/>
        </w:numPr>
        <w:adjustRightInd w:val="0"/>
        <w:snapToGrid w:val="0"/>
        <w:spacing w:line="360" w:lineRule="auto"/>
        <w:ind w:left="845" w:leftChars="20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具有本科（或以上）学历，5年以上高端写字楼或商业综合体物业管理服务经验，需在</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处工作1年以上；</w:t>
      </w:r>
    </w:p>
    <w:p>
      <w:pPr>
        <w:numPr>
          <w:ilvl w:val="0"/>
          <w:numId w:val="40"/>
        </w:numPr>
        <w:adjustRightInd w:val="0"/>
        <w:snapToGrid w:val="0"/>
        <w:spacing w:line="360" w:lineRule="auto"/>
        <w:ind w:left="845" w:leftChars="200" w:hanging="425" w:firstLineChars="0"/>
        <w:rPr>
          <w:rFonts w:hint="eastAsia" w:ascii="宋体" w:hAnsi="宋体" w:eastAsia="宋体" w:cs="宋体"/>
          <w:color w:val="auto"/>
          <w:sz w:val="21"/>
          <w:szCs w:val="21"/>
          <w:highlight w:val="none"/>
        </w:rPr>
      </w:pPr>
      <w:r>
        <w:rPr>
          <w:rFonts w:ascii="Arial" w:hAnsi="Arial" w:eastAsia="宋体" w:cs="Arial"/>
          <w:i w:val="0"/>
          <w:caps w:val="0"/>
          <w:color w:val="auto"/>
          <w:spacing w:val="0"/>
          <w:sz w:val="21"/>
          <w:szCs w:val="21"/>
          <w:highlight w:val="none"/>
          <w:shd w:val="clear" w:fill="FFFFFF"/>
        </w:rPr>
        <w:t>熟悉物业管理相关</w:t>
      </w:r>
      <w:r>
        <w:rPr>
          <w:rFonts w:hint="eastAsia" w:ascii="Arial" w:hAnsi="Arial" w:eastAsia="宋体" w:cs="Arial"/>
          <w:i w:val="0"/>
          <w:caps w:val="0"/>
          <w:color w:val="auto"/>
          <w:spacing w:val="0"/>
          <w:sz w:val="21"/>
          <w:szCs w:val="21"/>
          <w:highlight w:val="none"/>
          <w:shd w:val="clear" w:fill="FFFFFF"/>
          <w:lang w:val="en-US" w:eastAsia="zh-CN"/>
        </w:rPr>
        <w:t>法律法规、</w:t>
      </w:r>
      <w:r>
        <w:rPr>
          <w:rFonts w:ascii="Arial" w:hAnsi="Arial" w:eastAsia="宋体" w:cs="Arial"/>
          <w:i w:val="0"/>
          <w:caps w:val="0"/>
          <w:color w:val="auto"/>
          <w:spacing w:val="0"/>
          <w:sz w:val="21"/>
          <w:szCs w:val="21"/>
          <w:highlight w:val="none"/>
          <w:shd w:val="clear" w:fill="FFFFFF"/>
        </w:rPr>
        <w:t>相关的工作</w:t>
      </w:r>
      <w:r>
        <w:rPr>
          <w:rFonts w:hint="eastAsia" w:ascii="Arial" w:hAnsi="Arial" w:eastAsia="宋体" w:cs="Arial"/>
          <w:i w:val="0"/>
          <w:caps w:val="0"/>
          <w:color w:val="auto"/>
          <w:spacing w:val="0"/>
          <w:sz w:val="21"/>
          <w:szCs w:val="21"/>
          <w:highlight w:val="none"/>
          <w:shd w:val="clear" w:fill="FFFFFF"/>
          <w:lang w:val="en-US" w:eastAsia="zh-CN"/>
        </w:rPr>
        <w:t>流程、</w:t>
      </w:r>
      <w:r>
        <w:rPr>
          <w:rFonts w:ascii="Arial" w:hAnsi="Arial" w:eastAsia="宋体" w:cs="Arial"/>
          <w:i w:val="0"/>
          <w:caps w:val="0"/>
          <w:color w:val="auto"/>
          <w:spacing w:val="0"/>
          <w:sz w:val="21"/>
          <w:szCs w:val="21"/>
          <w:highlight w:val="none"/>
          <w:shd w:val="clear" w:fill="FFFFFF"/>
        </w:rPr>
        <w:t>内容和技术要求</w:t>
      </w:r>
      <w:r>
        <w:rPr>
          <w:rFonts w:hint="eastAsia" w:ascii="Arial" w:hAnsi="Arial" w:eastAsia="宋体" w:cs="Arial"/>
          <w:i w:val="0"/>
          <w:caps w:val="0"/>
          <w:color w:val="auto"/>
          <w:spacing w:val="0"/>
          <w:sz w:val="21"/>
          <w:szCs w:val="21"/>
          <w:highlight w:val="none"/>
          <w:shd w:val="clear" w:fill="FFFFFF"/>
          <w:lang w:eastAsia="zh-CN"/>
        </w:rPr>
        <w:t>，</w:t>
      </w:r>
      <w:r>
        <w:rPr>
          <w:rFonts w:ascii="Arial" w:hAnsi="Arial" w:eastAsia="宋体" w:cs="Arial"/>
          <w:i w:val="0"/>
          <w:caps w:val="0"/>
          <w:color w:val="auto"/>
          <w:spacing w:val="0"/>
          <w:sz w:val="21"/>
          <w:szCs w:val="21"/>
          <w:highlight w:val="none"/>
          <w:shd w:val="clear" w:fill="FFFFFF"/>
        </w:rPr>
        <w:t>具备物业全盘管理经验</w:t>
      </w:r>
      <w:r>
        <w:rPr>
          <w:rFonts w:hint="eastAsia" w:ascii="宋体" w:hAnsi="宋体" w:eastAsia="宋体" w:cs="宋体"/>
          <w:color w:val="auto"/>
          <w:sz w:val="21"/>
          <w:szCs w:val="21"/>
          <w:highlight w:val="none"/>
        </w:rPr>
        <w:t>；</w:t>
      </w:r>
    </w:p>
    <w:p>
      <w:pPr>
        <w:numPr>
          <w:ilvl w:val="0"/>
          <w:numId w:val="40"/>
        </w:numPr>
        <w:adjustRightInd w:val="0"/>
        <w:snapToGrid w:val="0"/>
        <w:spacing w:line="360" w:lineRule="auto"/>
        <w:ind w:left="845" w:leftChars="200" w:hanging="425" w:firstLineChars="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在物业</w:t>
      </w:r>
      <w:r>
        <w:rPr>
          <w:rFonts w:hint="eastAsia" w:ascii="宋体" w:hAnsi="宋体" w:eastAsia="宋体" w:cs="宋体"/>
          <w:color w:val="auto"/>
          <w:sz w:val="21"/>
          <w:szCs w:val="21"/>
          <w:highlight w:val="none"/>
        </w:rPr>
        <w:t>服务品质保障、园区</w:t>
      </w:r>
      <w:r>
        <w:rPr>
          <w:rFonts w:hint="eastAsia" w:ascii="宋体" w:hAnsi="宋体" w:cs="宋体"/>
          <w:color w:val="auto"/>
          <w:sz w:val="21"/>
          <w:szCs w:val="21"/>
          <w:highlight w:val="none"/>
          <w:lang w:val="en-US" w:eastAsia="zh-CN"/>
        </w:rPr>
        <w:t>维护管理方面</w:t>
      </w:r>
      <w:r>
        <w:rPr>
          <w:rFonts w:hint="eastAsia" w:ascii="宋体" w:hAnsi="宋体" w:eastAsia="宋体" w:cs="宋体"/>
          <w:color w:val="auto"/>
          <w:sz w:val="21"/>
          <w:szCs w:val="21"/>
          <w:highlight w:val="none"/>
        </w:rPr>
        <w:t>具丰富实践经验</w:t>
      </w:r>
      <w:r>
        <w:rPr>
          <w:rFonts w:hint="eastAsia" w:ascii="宋体" w:hAnsi="宋体" w:cs="宋体"/>
          <w:color w:val="auto"/>
          <w:sz w:val="21"/>
          <w:szCs w:val="21"/>
          <w:highlight w:val="none"/>
          <w:lang w:eastAsia="zh-CN"/>
        </w:rPr>
        <w:t>；</w:t>
      </w:r>
    </w:p>
    <w:p>
      <w:pPr>
        <w:numPr>
          <w:ilvl w:val="0"/>
          <w:numId w:val="40"/>
        </w:numPr>
        <w:adjustRightInd w:val="0"/>
        <w:snapToGrid w:val="0"/>
        <w:spacing w:line="360" w:lineRule="auto"/>
        <w:ind w:left="845" w:leftChars="200" w:hanging="425" w:firstLineChars="0"/>
        <w:rPr>
          <w:rFonts w:hint="eastAsia" w:ascii="宋体" w:hAnsi="宋体" w:eastAsia="宋体" w:cs="宋体"/>
          <w:color w:val="auto"/>
          <w:sz w:val="21"/>
          <w:szCs w:val="21"/>
          <w:highlight w:val="none"/>
        </w:rPr>
      </w:pPr>
      <w:r>
        <w:rPr>
          <w:rFonts w:hint="eastAsia" w:ascii="Arial" w:hAnsi="Arial" w:eastAsia="宋体" w:cs="Arial"/>
          <w:i w:val="0"/>
          <w:caps w:val="0"/>
          <w:color w:val="auto"/>
          <w:spacing w:val="0"/>
          <w:sz w:val="21"/>
          <w:szCs w:val="21"/>
          <w:highlight w:val="none"/>
          <w:shd w:val="clear" w:fill="FFFFFF"/>
          <w:lang w:val="en-US" w:eastAsia="zh-CN"/>
        </w:rPr>
        <w:t>具备</w:t>
      </w:r>
      <w:r>
        <w:rPr>
          <w:rFonts w:ascii="Arial" w:hAnsi="Arial" w:eastAsia="宋体" w:cs="Arial"/>
          <w:i w:val="0"/>
          <w:caps w:val="0"/>
          <w:color w:val="auto"/>
          <w:spacing w:val="0"/>
          <w:sz w:val="21"/>
          <w:szCs w:val="21"/>
          <w:highlight w:val="none"/>
          <w:shd w:val="clear" w:fill="FFFFFF"/>
        </w:rPr>
        <w:t>良好的沟通协调能力和团队管理能力</w:t>
      </w:r>
      <w:r>
        <w:rPr>
          <w:rFonts w:hint="eastAsia" w:ascii="Arial" w:hAnsi="Arial" w:eastAsia="宋体" w:cs="Arial"/>
          <w:i w:val="0"/>
          <w:caps w:val="0"/>
          <w:color w:val="auto"/>
          <w:spacing w:val="0"/>
          <w:sz w:val="21"/>
          <w:szCs w:val="21"/>
          <w:highlight w:val="none"/>
          <w:shd w:val="clear" w:fill="FFFFFF"/>
          <w:lang w:eastAsia="zh-CN"/>
        </w:rPr>
        <w:t>，</w:t>
      </w:r>
      <w:r>
        <w:rPr>
          <w:rFonts w:hint="eastAsia" w:ascii="Arial" w:hAnsi="Arial" w:eastAsia="宋体" w:cs="Arial"/>
          <w:i w:val="0"/>
          <w:caps w:val="0"/>
          <w:color w:val="auto"/>
          <w:spacing w:val="0"/>
          <w:sz w:val="21"/>
          <w:szCs w:val="21"/>
          <w:highlight w:val="none"/>
          <w:shd w:val="clear" w:fill="FFFFFF"/>
          <w:lang w:val="en-US" w:eastAsia="zh-CN"/>
        </w:rPr>
        <w:t>服务意识强、执行力强</w:t>
      </w:r>
      <w:r>
        <w:rPr>
          <w:rFonts w:hint="eastAsia" w:ascii="宋体" w:hAnsi="宋体" w:cs="宋体"/>
          <w:color w:val="auto"/>
          <w:sz w:val="21"/>
          <w:szCs w:val="21"/>
          <w:highlight w:val="none"/>
          <w:lang w:eastAsia="zh-CN"/>
        </w:rPr>
        <w:t>。</w:t>
      </w:r>
    </w:p>
    <w:p>
      <w:pPr>
        <w:numPr>
          <w:ilvl w:val="0"/>
          <w:numId w:val="39"/>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安保负责人</w:t>
      </w:r>
      <w:r>
        <w:rPr>
          <w:rFonts w:hint="eastAsia" w:ascii="宋体" w:hAnsi="宋体" w:eastAsia="宋体" w:cs="宋体"/>
          <w:color w:val="auto"/>
          <w:sz w:val="21"/>
          <w:szCs w:val="21"/>
          <w:highlight w:val="none"/>
        </w:rPr>
        <w:t>（1名）</w:t>
      </w:r>
    </w:p>
    <w:p>
      <w:pPr>
        <w:numPr>
          <w:ilvl w:val="0"/>
          <w:numId w:val="41"/>
        </w:numPr>
        <w:adjustRightInd w:val="0"/>
        <w:snapToGrid w:val="0"/>
        <w:spacing w:line="360" w:lineRule="auto"/>
        <w:ind w:left="845" w:leftChars="20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具有大专（或以上）学历；</w:t>
      </w:r>
    </w:p>
    <w:p>
      <w:pPr>
        <w:numPr>
          <w:ilvl w:val="0"/>
          <w:numId w:val="41"/>
        </w:numPr>
        <w:adjustRightInd w:val="0"/>
        <w:snapToGrid w:val="0"/>
        <w:spacing w:line="360" w:lineRule="auto"/>
        <w:ind w:left="845" w:leftChars="20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具备5年以上安保服务从业经验，2年以上写字楼或商业综合体物业服务经验，需在</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处工作1年以上；</w:t>
      </w:r>
    </w:p>
    <w:p>
      <w:pPr>
        <w:numPr>
          <w:ilvl w:val="0"/>
          <w:numId w:val="41"/>
        </w:numPr>
        <w:adjustRightInd w:val="0"/>
        <w:snapToGrid w:val="0"/>
        <w:spacing w:line="360" w:lineRule="auto"/>
        <w:ind w:left="845" w:leftChars="200" w:hanging="425"/>
        <w:rPr>
          <w:rFonts w:hint="eastAsia"/>
          <w:color w:val="auto"/>
          <w:highlight w:val="none"/>
        </w:rPr>
      </w:pPr>
      <w:r>
        <w:rPr>
          <w:rFonts w:hint="eastAsia" w:ascii="宋体" w:hAnsi="宋体" w:cs="宋体"/>
          <w:color w:val="auto"/>
          <w:sz w:val="21"/>
          <w:szCs w:val="21"/>
          <w:highlight w:val="none"/>
          <w:lang w:val="en-US" w:eastAsia="zh-CN"/>
        </w:rPr>
        <w:t>责任心强，</w:t>
      </w:r>
      <w:r>
        <w:rPr>
          <w:rFonts w:hint="eastAsia" w:ascii="宋体" w:hAnsi="宋体" w:eastAsia="宋体" w:cs="宋体"/>
          <w:color w:val="auto"/>
          <w:sz w:val="21"/>
          <w:szCs w:val="21"/>
          <w:highlight w:val="none"/>
        </w:rPr>
        <w:t>熟悉安全管理工作</w:t>
      </w:r>
      <w:r>
        <w:rPr>
          <w:rFonts w:hint="eastAsia" w:ascii="宋体" w:hAnsi="宋体" w:cs="宋体"/>
          <w:color w:val="auto"/>
          <w:sz w:val="21"/>
          <w:szCs w:val="21"/>
          <w:highlight w:val="none"/>
          <w:lang w:val="en-US" w:eastAsia="zh-CN"/>
        </w:rPr>
        <w:t>相关法律法规及工作</w:t>
      </w:r>
      <w:r>
        <w:rPr>
          <w:rFonts w:hint="eastAsia" w:ascii="宋体" w:hAnsi="宋体" w:eastAsia="宋体" w:cs="宋体"/>
          <w:color w:val="auto"/>
          <w:sz w:val="21"/>
          <w:szCs w:val="21"/>
          <w:highlight w:val="none"/>
        </w:rPr>
        <w:t>流程，具备处理突发事件的能力</w:t>
      </w:r>
      <w:r>
        <w:rPr>
          <w:rFonts w:hint="eastAsia" w:ascii="宋体" w:hAnsi="宋体" w:cs="宋体"/>
          <w:color w:val="auto"/>
          <w:sz w:val="21"/>
          <w:szCs w:val="21"/>
          <w:highlight w:val="none"/>
          <w:lang w:eastAsia="zh-CN"/>
        </w:rPr>
        <w:t>；</w:t>
      </w:r>
    </w:p>
    <w:p>
      <w:pPr>
        <w:numPr>
          <w:ilvl w:val="0"/>
          <w:numId w:val="41"/>
        </w:numPr>
        <w:adjustRightInd w:val="0"/>
        <w:snapToGrid w:val="0"/>
        <w:spacing w:line="360" w:lineRule="auto"/>
        <w:ind w:left="845" w:leftChars="200" w:hanging="425"/>
        <w:rPr>
          <w:rFonts w:hint="eastAsia"/>
          <w:color w:val="auto"/>
          <w:highlight w:val="none"/>
        </w:rPr>
      </w:pPr>
      <w:r>
        <w:rPr>
          <w:rFonts w:hint="eastAsia"/>
          <w:color w:val="auto"/>
          <w:highlight w:val="none"/>
        </w:rPr>
        <w:t>持有服务内容相关专业</w:t>
      </w:r>
      <w:r>
        <w:rPr>
          <w:rFonts w:hint="eastAsia"/>
          <w:color w:val="auto"/>
          <w:highlight w:val="none"/>
          <w:lang w:val="en-US" w:eastAsia="zh-CN"/>
        </w:rPr>
        <w:t>资格证、</w:t>
      </w:r>
      <w:r>
        <w:rPr>
          <w:rFonts w:hint="eastAsia"/>
          <w:color w:val="auto"/>
          <w:highlight w:val="none"/>
        </w:rPr>
        <w:t>操作证</w:t>
      </w:r>
      <w:r>
        <w:rPr>
          <w:rFonts w:hint="eastAsia"/>
          <w:color w:val="auto"/>
          <w:highlight w:val="none"/>
          <w:lang w:val="en-US" w:eastAsia="zh-CN"/>
        </w:rPr>
        <w:t>或</w:t>
      </w:r>
      <w:r>
        <w:rPr>
          <w:rFonts w:hint="eastAsia"/>
          <w:color w:val="auto"/>
          <w:highlight w:val="none"/>
        </w:rPr>
        <w:t>上岗证</w:t>
      </w:r>
      <w:r>
        <w:rPr>
          <w:rFonts w:hint="eastAsia"/>
          <w:color w:val="auto"/>
          <w:highlight w:val="none"/>
          <w:lang w:eastAsia="zh-CN"/>
        </w:rPr>
        <w:t>。</w:t>
      </w:r>
    </w:p>
    <w:p>
      <w:pPr>
        <w:numPr>
          <w:ilvl w:val="0"/>
          <w:numId w:val="39"/>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工程负责人</w:t>
      </w:r>
      <w:r>
        <w:rPr>
          <w:rFonts w:hint="eastAsia" w:ascii="宋体" w:hAnsi="宋体" w:eastAsia="宋体" w:cs="宋体"/>
          <w:color w:val="auto"/>
          <w:sz w:val="21"/>
          <w:szCs w:val="21"/>
          <w:highlight w:val="none"/>
        </w:rPr>
        <w:t>（1名）</w:t>
      </w:r>
    </w:p>
    <w:p>
      <w:pPr>
        <w:numPr>
          <w:ilvl w:val="0"/>
          <w:numId w:val="42"/>
        </w:numPr>
        <w:adjustRightInd w:val="0"/>
        <w:snapToGrid w:val="0"/>
        <w:spacing w:line="360" w:lineRule="auto"/>
        <w:ind w:left="845" w:leftChars="20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具有大专（或以上）学历；</w:t>
      </w:r>
    </w:p>
    <w:p>
      <w:pPr>
        <w:numPr>
          <w:ilvl w:val="0"/>
          <w:numId w:val="42"/>
        </w:numPr>
        <w:adjustRightInd w:val="0"/>
        <w:snapToGrid w:val="0"/>
        <w:spacing w:line="360" w:lineRule="auto"/>
        <w:ind w:left="845" w:leftChars="20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具备5年以上工程服务从业经验，2年以上写字楼或商业综合体物业服务经验，需在</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处工作1年以上；</w:t>
      </w:r>
    </w:p>
    <w:p>
      <w:pPr>
        <w:numPr>
          <w:ilvl w:val="0"/>
          <w:numId w:val="42"/>
        </w:numPr>
        <w:adjustRightInd w:val="0"/>
        <w:snapToGrid w:val="0"/>
        <w:spacing w:line="360" w:lineRule="auto"/>
        <w:ind w:left="845" w:leftChars="200" w:hanging="425"/>
        <w:rPr>
          <w:rFonts w:hint="eastAsia"/>
          <w:color w:val="auto"/>
          <w:highlight w:val="none"/>
        </w:rPr>
      </w:pPr>
      <w:r>
        <w:rPr>
          <w:rFonts w:hint="eastAsia" w:ascii="宋体" w:hAnsi="宋体" w:eastAsia="宋体" w:cs="宋体"/>
          <w:color w:val="auto"/>
          <w:sz w:val="21"/>
          <w:szCs w:val="21"/>
          <w:highlight w:val="none"/>
        </w:rPr>
        <w:t>熟悉</w:t>
      </w:r>
      <w:r>
        <w:rPr>
          <w:rFonts w:hint="eastAsia" w:ascii="宋体" w:hAnsi="宋体" w:cs="宋体"/>
          <w:color w:val="auto"/>
          <w:sz w:val="21"/>
          <w:szCs w:val="21"/>
          <w:highlight w:val="none"/>
          <w:lang w:val="en-US" w:eastAsia="zh-CN"/>
        </w:rPr>
        <w:t>产业园区、</w:t>
      </w:r>
      <w:r>
        <w:rPr>
          <w:rFonts w:hint="eastAsia" w:ascii="宋体" w:hAnsi="宋体" w:eastAsia="宋体" w:cs="宋体"/>
          <w:color w:val="auto"/>
          <w:sz w:val="21"/>
          <w:szCs w:val="21"/>
          <w:highlight w:val="none"/>
        </w:rPr>
        <w:t>商写楼宇工程设备</w:t>
      </w:r>
      <w:r>
        <w:rPr>
          <w:rFonts w:hint="eastAsia" w:ascii="宋体" w:hAnsi="宋体" w:cs="宋体"/>
          <w:color w:val="auto"/>
          <w:sz w:val="21"/>
          <w:szCs w:val="21"/>
          <w:highlight w:val="none"/>
          <w:lang w:val="en-US" w:eastAsia="zh-CN"/>
        </w:rPr>
        <w:t>设施</w:t>
      </w:r>
      <w:r>
        <w:rPr>
          <w:rFonts w:hint="eastAsia" w:ascii="宋体" w:hAnsi="宋体" w:eastAsia="宋体" w:cs="宋体"/>
          <w:color w:val="auto"/>
          <w:sz w:val="21"/>
          <w:szCs w:val="21"/>
          <w:highlight w:val="none"/>
        </w:rPr>
        <w:t>的维护与保养周期，具备判断与处理故障的能力；</w:t>
      </w:r>
    </w:p>
    <w:p>
      <w:pPr>
        <w:numPr>
          <w:ilvl w:val="0"/>
          <w:numId w:val="42"/>
        </w:numPr>
        <w:adjustRightInd w:val="0"/>
        <w:snapToGrid w:val="0"/>
        <w:spacing w:line="360" w:lineRule="auto"/>
        <w:ind w:left="845" w:leftChars="200" w:hanging="425"/>
        <w:rPr>
          <w:rFonts w:hint="eastAsia"/>
          <w:color w:val="auto"/>
          <w:highlight w:val="none"/>
        </w:rPr>
      </w:pPr>
      <w:r>
        <w:rPr>
          <w:rFonts w:hint="eastAsia" w:ascii="宋体" w:hAnsi="宋体" w:cs="宋体"/>
          <w:color w:val="auto"/>
          <w:kern w:val="0"/>
          <w:szCs w:val="21"/>
          <w:highlight w:val="none"/>
          <w:lang w:val="en-US" w:eastAsia="zh-CN"/>
        </w:rPr>
        <w:t>持有</w:t>
      </w:r>
      <w:r>
        <w:rPr>
          <w:rFonts w:hint="eastAsia" w:ascii="宋体" w:hAnsi="宋体" w:cs="宋体"/>
          <w:color w:val="auto"/>
          <w:kern w:val="0"/>
          <w:szCs w:val="21"/>
          <w:highlight w:val="none"/>
        </w:rPr>
        <w:t>服务内容相关专业</w:t>
      </w:r>
      <w:r>
        <w:rPr>
          <w:rFonts w:hint="eastAsia" w:ascii="宋体" w:hAnsi="宋体" w:cs="宋体"/>
          <w:color w:val="auto"/>
          <w:kern w:val="0"/>
          <w:szCs w:val="21"/>
          <w:highlight w:val="none"/>
          <w:lang w:val="en-US" w:eastAsia="zh-CN"/>
        </w:rPr>
        <w:t>资格证、</w:t>
      </w:r>
      <w:r>
        <w:rPr>
          <w:rFonts w:hint="eastAsia" w:ascii="宋体" w:hAnsi="宋体" w:cs="宋体"/>
          <w:color w:val="auto"/>
          <w:kern w:val="0"/>
          <w:szCs w:val="21"/>
          <w:highlight w:val="none"/>
        </w:rPr>
        <w:t>操作证</w:t>
      </w:r>
      <w:r>
        <w:rPr>
          <w:rFonts w:hint="eastAsia" w:ascii="宋体" w:hAnsi="宋体" w:cs="宋体"/>
          <w:color w:val="auto"/>
          <w:kern w:val="0"/>
          <w:szCs w:val="21"/>
          <w:highlight w:val="none"/>
          <w:lang w:val="en-US" w:eastAsia="zh-CN"/>
        </w:rPr>
        <w:t>或</w:t>
      </w:r>
      <w:r>
        <w:rPr>
          <w:rFonts w:hint="eastAsia" w:ascii="宋体" w:hAnsi="宋体" w:cs="宋体"/>
          <w:color w:val="auto"/>
          <w:kern w:val="0"/>
          <w:szCs w:val="21"/>
          <w:highlight w:val="none"/>
        </w:rPr>
        <w:t>上岗证</w:t>
      </w:r>
      <w:r>
        <w:rPr>
          <w:rFonts w:hint="eastAsia" w:ascii="宋体" w:hAnsi="宋体" w:cs="宋体"/>
          <w:color w:val="auto"/>
          <w:kern w:val="0"/>
          <w:szCs w:val="21"/>
          <w:highlight w:val="none"/>
          <w:lang w:eastAsia="zh-CN"/>
        </w:rPr>
        <w:t>。</w:t>
      </w:r>
    </w:p>
    <w:p>
      <w:pPr>
        <w:numPr>
          <w:ilvl w:val="0"/>
          <w:numId w:val="39"/>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客服负责人</w:t>
      </w:r>
      <w:r>
        <w:rPr>
          <w:rFonts w:hint="eastAsia" w:ascii="宋体" w:hAnsi="宋体" w:eastAsia="宋体" w:cs="宋体"/>
          <w:color w:val="auto"/>
          <w:sz w:val="21"/>
          <w:szCs w:val="21"/>
          <w:highlight w:val="none"/>
        </w:rPr>
        <w:t>（1名）</w:t>
      </w:r>
    </w:p>
    <w:p>
      <w:pPr>
        <w:numPr>
          <w:ilvl w:val="0"/>
          <w:numId w:val="43"/>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具有大专（或以上）学历</w:t>
      </w:r>
      <w:r>
        <w:rPr>
          <w:rFonts w:hint="eastAsia" w:ascii="宋体" w:hAnsi="宋体" w:eastAsia="宋体" w:cs="宋体"/>
          <w:color w:val="auto"/>
          <w:kern w:val="0"/>
          <w:sz w:val="21"/>
          <w:szCs w:val="21"/>
          <w:highlight w:val="none"/>
        </w:rPr>
        <w:t>；</w:t>
      </w:r>
    </w:p>
    <w:p>
      <w:pPr>
        <w:numPr>
          <w:ilvl w:val="0"/>
          <w:numId w:val="43"/>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具备5年以上相关客户服务从业经验，2年以上写字楼或商业综合体物业服务经验，需在</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处</w:t>
      </w:r>
      <w:r>
        <w:rPr>
          <w:rFonts w:hint="eastAsia" w:ascii="宋体" w:hAnsi="宋体" w:eastAsia="宋体" w:cs="宋体"/>
          <w:color w:val="auto"/>
          <w:kern w:val="0"/>
          <w:sz w:val="21"/>
          <w:szCs w:val="21"/>
          <w:highlight w:val="none"/>
        </w:rPr>
        <w:t>工作1年以上；</w:t>
      </w:r>
    </w:p>
    <w:p>
      <w:pPr>
        <w:numPr>
          <w:ilvl w:val="0"/>
          <w:numId w:val="43"/>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形象气质佳，有良好</w:t>
      </w:r>
      <w:r>
        <w:rPr>
          <w:rFonts w:hint="eastAsia" w:ascii="宋体" w:hAnsi="宋体" w:cs="宋体"/>
          <w:color w:val="auto"/>
          <w:kern w:val="0"/>
          <w:sz w:val="21"/>
          <w:szCs w:val="21"/>
          <w:highlight w:val="none"/>
          <w:lang w:val="en-US" w:eastAsia="zh-CN"/>
        </w:rPr>
        <w:t>沟通</w:t>
      </w:r>
      <w:r>
        <w:rPr>
          <w:rFonts w:hint="eastAsia" w:ascii="宋体" w:hAnsi="宋体" w:eastAsia="宋体" w:cs="宋体"/>
          <w:color w:val="auto"/>
          <w:kern w:val="0"/>
          <w:sz w:val="21"/>
          <w:szCs w:val="21"/>
          <w:highlight w:val="none"/>
          <w:lang w:eastAsia="zh-CN"/>
        </w:rPr>
        <w:t>组织</w:t>
      </w:r>
      <w:r>
        <w:rPr>
          <w:rFonts w:hint="eastAsia" w:ascii="宋体" w:hAnsi="宋体" w:cs="宋体"/>
          <w:color w:val="auto"/>
          <w:kern w:val="0"/>
          <w:sz w:val="21"/>
          <w:szCs w:val="21"/>
          <w:highlight w:val="none"/>
          <w:lang w:val="en-US" w:eastAsia="zh-CN"/>
        </w:rPr>
        <w:t>协调</w:t>
      </w:r>
      <w:r>
        <w:rPr>
          <w:rFonts w:hint="eastAsia" w:ascii="宋体" w:hAnsi="宋体" w:eastAsia="宋体" w:cs="宋体"/>
          <w:color w:val="auto"/>
          <w:kern w:val="0"/>
          <w:sz w:val="21"/>
          <w:szCs w:val="21"/>
          <w:highlight w:val="none"/>
          <w:lang w:eastAsia="zh-CN"/>
        </w:rPr>
        <w:t>能力</w:t>
      </w:r>
      <w:r>
        <w:rPr>
          <w:rFonts w:hint="eastAsia" w:ascii="宋体" w:hAnsi="宋体" w:cs="宋体"/>
          <w:color w:val="auto"/>
          <w:kern w:val="0"/>
          <w:sz w:val="21"/>
          <w:szCs w:val="21"/>
          <w:highlight w:val="none"/>
          <w:lang w:val="en-US" w:eastAsia="zh-CN"/>
        </w:rPr>
        <w:t>，在客户关系维护、投诉处理方面</w:t>
      </w:r>
      <w:r>
        <w:rPr>
          <w:rFonts w:hint="eastAsia" w:ascii="宋体" w:hAnsi="宋体" w:eastAsia="宋体" w:cs="宋体"/>
          <w:color w:val="auto"/>
          <w:sz w:val="21"/>
          <w:szCs w:val="21"/>
          <w:highlight w:val="none"/>
        </w:rPr>
        <w:t>具</w:t>
      </w:r>
      <w:r>
        <w:rPr>
          <w:rFonts w:hint="eastAsia" w:ascii="宋体" w:hAnsi="宋体" w:cs="宋体"/>
          <w:color w:val="auto"/>
          <w:sz w:val="21"/>
          <w:szCs w:val="21"/>
          <w:highlight w:val="none"/>
          <w:lang w:val="en-US" w:eastAsia="zh-CN"/>
        </w:rPr>
        <w:t>丰富</w:t>
      </w:r>
      <w:r>
        <w:rPr>
          <w:rFonts w:hint="eastAsia" w:ascii="宋体" w:hAnsi="宋体" w:eastAsia="宋体" w:cs="宋体"/>
          <w:color w:val="auto"/>
          <w:sz w:val="21"/>
          <w:szCs w:val="21"/>
          <w:highlight w:val="none"/>
        </w:rPr>
        <w:t>实践经验</w:t>
      </w:r>
      <w:r>
        <w:rPr>
          <w:rFonts w:hint="eastAsia" w:ascii="宋体" w:hAnsi="宋体" w:cs="宋体"/>
          <w:color w:val="auto"/>
          <w:kern w:val="0"/>
          <w:sz w:val="21"/>
          <w:szCs w:val="21"/>
          <w:highlight w:val="none"/>
          <w:lang w:eastAsia="zh-CN"/>
        </w:rPr>
        <w:t>；</w:t>
      </w:r>
    </w:p>
    <w:p>
      <w:pPr>
        <w:numPr>
          <w:ilvl w:val="0"/>
          <w:numId w:val="43"/>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hAnsi="宋体" w:cs="宋体"/>
          <w:color w:val="auto"/>
          <w:kern w:val="0"/>
          <w:sz w:val="21"/>
          <w:szCs w:val="21"/>
          <w:highlight w:val="none"/>
          <w:lang w:val="en-US" w:eastAsia="zh-CN"/>
        </w:rPr>
        <w:t>国、粤语标准，满足一般接待、会议场合的外语沟通能力</w:t>
      </w:r>
      <w:r>
        <w:rPr>
          <w:rFonts w:hint="eastAsia" w:ascii="宋体" w:hAnsi="宋体" w:eastAsia="宋体" w:cs="宋体"/>
          <w:color w:val="auto"/>
          <w:kern w:val="0"/>
          <w:sz w:val="21"/>
          <w:szCs w:val="21"/>
          <w:highlight w:val="none"/>
          <w:lang w:eastAsia="zh-CN"/>
        </w:rPr>
        <w:t>。</w:t>
      </w:r>
    </w:p>
    <w:p>
      <w:pPr>
        <w:numPr>
          <w:ilvl w:val="0"/>
          <w:numId w:val="39"/>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环境负责人</w:t>
      </w:r>
      <w:r>
        <w:rPr>
          <w:rFonts w:hint="eastAsia" w:ascii="宋体" w:hAnsi="宋体" w:eastAsia="宋体" w:cs="宋体"/>
          <w:color w:val="auto"/>
          <w:sz w:val="21"/>
          <w:szCs w:val="21"/>
          <w:highlight w:val="none"/>
        </w:rPr>
        <w:t>（1名）</w:t>
      </w:r>
    </w:p>
    <w:p>
      <w:pPr>
        <w:numPr>
          <w:ilvl w:val="0"/>
          <w:numId w:val="44"/>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具有大专（或以上）学历；</w:t>
      </w:r>
    </w:p>
    <w:p>
      <w:pPr>
        <w:numPr>
          <w:ilvl w:val="0"/>
          <w:numId w:val="44"/>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具备5年以上相关环境保洁服务从业经验，2年以上写字楼或商业综合体物业服务经验，需要在</w:t>
      </w:r>
      <w:r>
        <w:rPr>
          <w:rFonts w:hint="eastAsia" w:ascii="宋体" w:hAnsi="宋体" w:cs="宋体"/>
          <w:color w:val="auto"/>
          <w:sz w:val="21"/>
          <w:szCs w:val="21"/>
          <w:highlight w:val="none"/>
          <w:lang w:val="en-US" w:eastAsia="zh-CN"/>
        </w:rPr>
        <w:t>中标人</w:t>
      </w:r>
      <w:r>
        <w:rPr>
          <w:rFonts w:hint="eastAsia" w:ascii="宋体" w:hAnsi="宋体" w:eastAsia="宋体" w:cs="宋体"/>
          <w:color w:val="auto"/>
          <w:sz w:val="21"/>
          <w:szCs w:val="21"/>
          <w:highlight w:val="none"/>
        </w:rPr>
        <w:t>处</w:t>
      </w:r>
      <w:r>
        <w:rPr>
          <w:rFonts w:hint="eastAsia" w:ascii="宋体" w:hAnsi="宋体" w:eastAsia="宋体" w:cs="宋体"/>
          <w:color w:val="auto"/>
          <w:kern w:val="0"/>
          <w:sz w:val="21"/>
          <w:szCs w:val="21"/>
          <w:highlight w:val="none"/>
        </w:rPr>
        <w:t>工作1年以上；</w:t>
      </w:r>
    </w:p>
    <w:p>
      <w:pPr>
        <w:numPr>
          <w:ilvl w:val="0"/>
          <w:numId w:val="44"/>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熟悉产业园区</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商写楼宇</w:t>
      </w:r>
      <w:r>
        <w:rPr>
          <w:rFonts w:hint="eastAsia" w:ascii="宋体" w:hAnsi="宋体" w:eastAsia="宋体" w:cs="宋体"/>
          <w:color w:val="auto"/>
          <w:kern w:val="0"/>
          <w:sz w:val="21"/>
          <w:szCs w:val="21"/>
          <w:highlight w:val="none"/>
        </w:rPr>
        <w:t>环境板块工作流程，</w:t>
      </w:r>
      <w:r>
        <w:rPr>
          <w:rFonts w:hint="eastAsia" w:ascii="宋体" w:hAnsi="宋体" w:cs="宋体"/>
          <w:color w:val="auto"/>
          <w:kern w:val="0"/>
          <w:sz w:val="21"/>
          <w:szCs w:val="21"/>
          <w:highlight w:val="none"/>
          <w:lang w:val="en-US" w:eastAsia="zh-CN"/>
        </w:rPr>
        <w:t>在</w:t>
      </w:r>
      <w:r>
        <w:rPr>
          <w:rFonts w:ascii="Arial" w:hAnsi="Arial" w:eastAsia="宋体" w:cs="Arial"/>
          <w:i w:val="0"/>
          <w:caps w:val="0"/>
          <w:color w:val="auto"/>
          <w:spacing w:val="0"/>
          <w:sz w:val="21"/>
          <w:szCs w:val="21"/>
          <w:highlight w:val="none"/>
          <w:shd w:val="clear" w:fill="FFFFFF"/>
        </w:rPr>
        <w:t>绿化</w:t>
      </w:r>
      <w:r>
        <w:rPr>
          <w:rFonts w:hint="eastAsia" w:ascii="Arial" w:hAnsi="Arial" w:eastAsia="宋体" w:cs="Arial"/>
          <w:i w:val="0"/>
          <w:caps w:val="0"/>
          <w:color w:val="auto"/>
          <w:spacing w:val="0"/>
          <w:sz w:val="21"/>
          <w:szCs w:val="21"/>
          <w:highlight w:val="none"/>
          <w:shd w:val="clear" w:fill="FFFFFF"/>
          <w:lang w:val="en-US" w:eastAsia="zh-CN"/>
        </w:rPr>
        <w:t>养护管理方面有丰富实践经验</w:t>
      </w:r>
      <w:r>
        <w:rPr>
          <w:rFonts w:hint="eastAsia" w:ascii="宋体" w:hAnsi="宋体" w:cs="宋体"/>
          <w:color w:val="auto"/>
          <w:kern w:val="0"/>
          <w:sz w:val="21"/>
          <w:szCs w:val="21"/>
          <w:highlight w:val="none"/>
          <w:lang w:eastAsia="zh-CN"/>
        </w:rPr>
        <w:t>；</w:t>
      </w:r>
    </w:p>
    <w:p>
      <w:pPr>
        <w:numPr>
          <w:ilvl w:val="0"/>
          <w:numId w:val="44"/>
        </w:numPr>
        <w:adjustRightInd w:val="0"/>
        <w:snapToGrid w:val="0"/>
        <w:spacing w:line="360" w:lineRule="auto"/>
        <w:ind w:left="845" w:leftChars="200" w:hanging="425" w:firstLineChars="0"/>
        <w:rPr>
          <w:rFonts w:hint="eastAsia" w:ascii="宋体" w:hAnsi="宋体" w:eastAsia="宋体" w:cs="宋体"/>
          <w:color w:val="auto"/>
          <w:kern w:val="0"/>
          <w:sz w:val="21"/>
          <w:szCs w:val="21"/>
          <w:highlight w:val="none"/>
        </w:rPr>
      </w:pPr>
      <w:r>
        <w:rPr>
          <w:rFonts w:hint="eastAsia" w:ascii="宋体" w:hAnsi="宋体" w:cs="宋体"/>
          <w:color w:val="auto"/>
          <w:kern w:val="0"/>
          <w:szCs w:val="21"/>
          <w:highlight w:val="none"/>
        </w:rPr>
        <w:t>持有服务内容相关专业</w:t>
      </w:r>
      <w:r>
        <w:rPr>
          <w:rFonts w:hint="eastAsia" w:ascii="宋体" w:hAnsi="宋体" w:cs="宋体"/>
          <w:color w:val="auto"/>
          <w:kern w:val="0"/>
          <w:szCs w:val="21"/>
          <w:highlight w:val="none"/>
          <w:lang w:val="en-US" w:eastAsia="zh-CN"/>
        </w:rPr>
        <w:t>资格证、</w:t>
      </w:r>
      <w:r>
        <w:rPr>
          <w:rFonts w:hint="eastAsia" w:ascii="宋体" w:hAnsi="宋体" w:cs="宋体"/>
          <w:color w:val="auto"/>
          <w:kern w:val="0"/>
          <w:szCs w:val="21"/>
          <w:highlight w:val="none"/>
        </w:rPr>
        <w:t>操作证</w:t>
      </w:r>
      <w:r>
        <w:rPr>
          <w:rFonts w:hint="eastAsia" w:ascii="宋体" w:hAnsi="宋体" w:cs="宋体"/>
          <w:color w:val="auto"/>
          <w:kern w:val="0"/>
          <w:szCs w:val="21"/>
          <w:highlight w:val="none"/>
          <w:lang w:val="en-US" w:eastAsia="zh-CN"/>
        </w:rPr>
        <w:t>或</w:t>
      </w:r>
      <w:r>
        <w:rPr>
          <w:rFonts w:hint="eastAsia" w:ascii="宋体" w:hAnsi="宋体" w:cs="宋体"/>
          <w:color w:val="auto"/>
          <w:kern w:val="0"/>
          <w:szCs w:val="21"/>
          <w:highlight w:val="none"/>
        </w:rPr>
        <w:t>上岗证。</w:t>
      </w:r>
    </w:p>
    <w:p>
      <w:pPr>
        <w:numPr>
          <w:ilvl w:val="0"/>
          <w:numId w:val="12"/>
        </w:numPr>
        <w:adjustRightInd w:val="0"/>
        <w:snapToGrid w:val="0"/>
        <w:spacing w:line="360" w:lineRule="auto"/>
        <w:ind w:left="1109" w:leftChars="0" w:hanging="689"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管理服务质量要求</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b w:val="0"/>
          <w:bCs w:val="0"/>
          <w:color w:val="auto"/>
          <w:sz w:val="21"/>
          <w:szCs w:val="21"/>
          <w:highlight w:val="none"/>
        </w:rPr>
        <w:t>★</w:t>
      </w:r>
      <w:r>
        <w:rPr>
          <w:rFonts w:hint="eastAsia" w:ascii="宋体" w:hAnsi="宋体" w:eastAsia="宋体" w:cs="宋体"/>
          <w:color w:val="auto"/>
          <w:kern w:val="0"/>
          <w:sz w:val="21"/>
          <w:szCs w:val="21"/>
          <w:highlight w:val="none"/>
        </w:rPr>
        <w:t>管理服务范围内无因中标人管理不当而发生重大刑事案件、重大交通及重大火灾等安全事故，社区监控范围内无被盗等治安案件的发生，无纵火、爆炸、投毒等恶性事（案）件发生、无外事纠纷、泄密等事（案）件发生。如因中标人管理不当导致上述事（案）件的发生，所产生的损失和责任全部由中标人承担</w:t>
      </w:r>
      <w:r>
        <w:rPr>
          <w:rFonts w:hint="eastAsia" w:hAnsi="宋体" w:cs="宋体"/>
          <w:bCs/>
          <w:color w:val="auto"/>
          <w:highlight w:val="none"/>
          <w:lang w:val="en-US" w:eastAsia="zh-CN"/>
        </w:rPr>
        <w:t>【投标时提供</w:t>
      </w:r>
      <w:r>
        <w:rPr>
          <w:rFonts w:hint="eastAsia" w:ascii="宋体" w:hAnsi="宋体" w:eastAsia="宋体" w:cs="宋体"/>
          <w:b w:val="0"/>
          <w:bCs w:val="0"/>
          <w:color w:val="auto"/>
          <w:highlight w:val="none"/>
          <w:lang w:eastAsia="zh-CN"/>
        </w:rPr>
        <w:t>由</w:t>
      </w:r>
      <w:r>
        <w:rPr>
          <w:rFonts w:hint="eastAsia"/>
          <w:color w:val="auto"/>
          <w:highlight w:val="none"/>
        </w:rPr>
        <w:t>法定代表</w:t>
      </w:r>
      <w:r>
        <w:rPr>
          <w:rFonts w:hint="eastAsia" w:ascii="宋体" w:hAnsi="宋体" w:eastAsia="宋体" w:cs="宋体"/>
          <w:b w:val="0"/>
          <w:bCs w:val="0"/>
          <w:color w:val="auto"/>
          <w:highlight w:val="none"/>
          <w:lang w:eastAsia="zh-CN"/>
        </w:rPr>
        <w:t>签名确认的承诺函作证明</w:t>
      </w:r>
      <w:r>
        <w:rPr>
          <w:rFonts w:hint="eastAsia" w:hAnsi="宋体" w:cs="宋体"/>
          <w:b w:val="0"/>
          <w:bCs w:val="0"/>
          <w:color w:val="auto"/>
          <w:highlight w:val="none"/>
          <w:lang w:eastAsia="zh-CN"/>
        </w:rPr>
        <w:t>，承诺函</w:t>
      </w:r>
      <w:r>
        <w:rPr>
          <w:rFonts w:hint="eastAsia"/>
          <w:color w:val="auto"/>
          <w:highlight w:val="none"/>
        </w:rPr>
        <w:t>格式自拟</w:t>
      </w:r>
      <w:r>
        <w:rPr>
          <w:rFonts w:hint="eastAsia" w:hAnsi="宋体" w:cs="宋体"/>
          <w:b w:val="0"/>
          <w:bCs w:val="0"/>
          <w:color w:val="auto"/>
          <w:highlight w:val="none"/>
          <w:lang w:eastAsia="zh-CN"/>
        </w:rPr>
        <w:t>】</w:t>
      </w:r>
      <w:r>
        <w:rPr>
          <w:rFonts w:hint="eastAsia" w:ascii="宋体" w:hAnsi="宋体" w:eastAsia="宋体" w:cs="宋体"/>
          <w:color w:val="auto"/>
          <w:kern w:val="0"/>
          <w:sz w:val="21"/>
          <w:szCs w:val="21"/>
          <w:highlight w:val="none"/>
        </w:rPr>
        <w:t>。</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严格遵守有关消防管理规定，确保无因中标人管理不当而发生消防事故，消防设备完好率100%。如因中标人管理不当导致发生消防事故，所产生的损失和责任全部由中标人承担。</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b w:val="0"/>
          <w:bCs w:val="0"/>
          <w:color w:val="auto"/>
          <w:sz w:val="21"/>
          <w:szCs w:val="21"/>
          <w:highlight w:val="none"/>
        </w:rPr>
        <w:t>★</w:t>
      </w:r>
      <w:r>
        <w:rPr>
          <w:rFonts w:hint="eastAsia" w:ascii="宋体" w:hAnsi="宋体" w:eastAsia="宋体" w:cs="宋体"/>
          <w:color w:val="auto"/>
          <w:kern w:val="0"/>
          <w:sz w:val="21"/>
          <w:szCs w:val="21"/>
          <w:highlight w:val="none"/>
        </w:rPr>
        <w:t>园区内设施、机电设备无操作管理、使用责任事故发生。全部外包项目及园区内施工工程无因中标人监管不到位而发生安全事故。如因中标人管理不当导致发生安全事故，所产生的损失和责任全部由中标人承担</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投标时提供承诺函作为证明材料</w:t>
      </w:r>
      <w:r>
        <w:rPr>
          <w:rFonts w:hint="eastAsia" w:hAnsi="宋体" w:cs="宋体"/>
          <w:b w:val="0"/>
          <w:bCs w:val="0"/>
          <w:color w:val="auto"/>
          <w:highlight w:val="none"/>
          <w:lang w:eastAsia="zh-CN"/>
        </w:rPr>
        <w:t>，承诺函</w:t>
      </w:r>
      <w:r>
        <w:rPr>
          <w:rFonts w:hint="eastAsia"/>
          <w:color w:val="auto"/>
          <w:highlight w:val="none"/>
        </w:rPr>
        <w:t>格式自拟</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各项设施设备的维修保养工作，必须按招标人要求的时限，高效、保质、保量完成。</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除因基建质量、设备质量在保修期内等特殊原因外，房屋及配套设施、设备完好；零星维修、急修（5小时内完成）及时率达100%（专业设施除外）。</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管理范围内照明、化粪池、雨水井、污水井、排水管、明暗沟、停车场、道路完好。</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房屋及配套设施、设备完好率达100%；维修、急修（5小时内完成）及时率达100%。</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管理范围内照明、化粪池、雨水井、污水井、排水管、明暗沟、停车场、道路完好率100%。</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实行动态保洁，卫生清洁保洁率100%。</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物业管理服务满意率在80%以上；投诉处理率100%。</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根据招标人制定的园区管理相关规定和需求，中标人拟定详细的管理服务细则或拟定详细的管理服务的实施方案，且经招标人认可后方能实施。</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中标人一切管理服务工作的实施，必须以服从于招标人的工作需要为前提，以方便园区为原则。维修保养等工作一般情况下在物业使用人非工作时间内进行。</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在园区安排24小时保安不定时对进行安全巡查，检查园区内重点部位及各层门窗设施设备、水电、消防等情况。</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设施进行维护保养，严禁在辖区人行道上停车以及在办公楼外围张贴、摆卖或闲坐等。</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中标人不得擅自对管理的各设施进行占用和改变使用功能，如需在改、扩建或完善配套项目，须经招标人书面同意后批准方可启动和实施。</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经招标人书面授权，中标人对违反物业管理法规和规章制度的行为进行处理：包括责令停工、责令赔偿经济损失以及停水停电等措施。</w:t>
      </w:r>
    </w:p>
    <w:p>
      <w:pPr>
        <w:numPr>
          <w:ilvl w:val="0"/>
          <w:numId w:val="45"/>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设备设施投入要求：中标人进驻并开展正常工作所必备的其他物资装备：警用安防信息化对讲系统，物业智能信息化管理系统；交通工具、通讯工具、办公家具、办公设备、全部人员的服装、安防装备、维修工具、绿化工具、清洁工具等。</w:t>
      </w:r>
    </w:p>
    <w:p>
      <w:pPr>
        <w:numPr>
          <w:ilvl w:val="0"/>
          <w:numId w:val="12"/>
        </w:numPr>
        <w:adjustRightInd w:val="0"/>
        <w:snapToGrid w:val="0"/>
        <w:spacing w:line="360" w:lineRule="auto"/>
        <w:ind w:left="1109" w:leftChars="0" w:hanging="689"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物业管理费用说明</w:t>
      </w:r>
    </w:p>
    <w:p>
      <w:pPr>
        <w:numPr>
          <w:ilvl w:val="0"/>
          <w:numId w:val="46"/>
        </w:numPr>
        <w:adjustRightInd w:val="0"/>
        <w:snapToGrid w:val="0"/>
        <w:spacing w:line="360" w:lineRule="auto"/>
        <w:ind w:left="420" w:leftChars="20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费用包括中标人履行本合同物业日常管理服务所发生一切费用，包括但不限于：</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工资：正常工资、年终奖、法定节假日加班费等（需符合《中华人民共和国劳动法》工资保障制度）；</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福利保险：福利费（奖金补贴）、培训费、工会及活动经费、节假日慰问费、防寒御暑费、员工生日福利、节假日慰问金、经济补偿金、残疾人就业保障金、员工伙食补贴、佛山市规定的各种社会保险等，否则交由劳动部门处理；</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办公费用：办公室水电费、通讯费（含电话通讯费、传真费、网络费）、办公设备维护和办公用品、档案管理、差旅费、员工行政管理费用等；</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秩序（安防）费用：安防工具物料消耗（包括对讲机、自行车、警具、雪糕筒、水马、围栏、警戒线等消耗费用）、保安管理费（公安部门收取）、各种装备维护保养费、消防工具（含枪头、水带、灭火器充装等消耗费用）等；</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清洁、保洁、消杀费用：清洁工具、物料消耗费、化粪池清理（每年清掏不少于1次）、供水箱清洗（每季度清洗一次，以及根据使用情况更换零部件）、消杀四害（夏季每月不少于2次，冬季每月1次）和防治白蚁（每年不少于4次）、环卫设施的更换维护保养、垃圾清运及处理费、建筑物外墙及玻璃幕墙清洗费（每年清洗1次）、防范各类传染病（非典、登革热及类似疫情）的各项防疫及应急工作的费用；</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绿化维护保养费用：工具物料消耗、剪草机汽油费、施肥、病虫害防治费、苗木补种（包括草皮、树苗及支撑杆等消耗）、绿化垃圾清运费用；</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园区公共设施设备运行及保养费用，包含但不限于以下部分：</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公共照明设施维保费：路灯、景观灯、射灯、吊灯、壁灯、天花灯槽、开关线路等维修保养；</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消防系统维保费: 发电机、变压器、电箱及线路等的维修、更换、清洁、保养，消防远程监控系统设备等；</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智能化弱电系统维保费:门禁道闸、对讲及防盗视频等弱电系统、电子巡更系统的维修保养；</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水泵及供水管道维保费: 水泵、水泵控制柜、管道、阀门、水龙头、冲水阀、水箱、接水管等给水系统的维修、保养、更换、刷漆等；</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电梯维保费、年检费：园区内所有电梯日常维护、保养、维修，非核心零部件的更换，以及电梯年检；</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防雷设施维护费：园区内所有防雷设施的检测、保养、维修、更换等；</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设备设施及房屋附属设施维修费：设备设施的小修、中修，零星维修，门窗、公厕、公共装饰设施等公共设施的保养、维修等；</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空调系统：园区公共区域、管理办公区域空调设施的管理维护；</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停车场管理系统维护费：园区临时停车场道闸软硬件故障维修、零部件更换。</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道路和排污排水管沟维保费：室外道路路面、路沿石、广场砖、地砖、道路标线、其他交通设施及各种检查井、排水管、排污管等的；包括化粪池、雨水井、污水井、排水管、明暗沟的清疏费用；</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电房内高低压电力设施的维护费用；</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公共责任险：根据园区要求及实际需要配置公共责任险，保单中应包含但不限于：承担园区内因管理过失导致的意外事故的人身财产损失，累计赔偿限额不低于人民币200万元；</w:t>
      </w:r>
    </w:p>
    <w:p>
      <w:pPr>
        <w:numPr>
          <w:ilvl w:val="0"/>
          <w:numId w:val="0"/>
        </w:numPr>
        <w:adjustRightInd w:val="0"/>
        <w:snapToGrid w:val="0"/>
        <w:spacing w:line="360" w:lineRule="auto"/>
        <w:ind w:left="220" w:left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注：保单中，招标人应为被保人或受益人，免赔额部分由招标人承担。</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开办费用清单：中标人进驻并开展正常工作所必备的物资装备费用主要有：交通工具、通讯工具、办公家具、办公设备、全部人员的服装、安防装备、维修工具、绿化工具、保洁工具；</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不可预测费用；</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管理酬金；</w:t>
      </w:r>
    </w:p>
    <w:p>
      <w:pPr>
        <w:numPr>
          <w:ilvl w:val="0"/>
          <w:numId w:val="48"/>
        </w:numPr>
        <w:adjustRightInd w:val="0"/>
        <w:snapToGrid w:val="0"/>
        <w:spacing w:line="360" w:lineRule="auto"/>
        <w:ind w:left="22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税金。</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费用不包括的事项：</w:t>
      </w:r>
    </w:p>
    <w:p>
      <w:pPr>
        <w:numPr>
          <w:ilvl w:val="0"/>
          <w:numId w:val="49"/>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项人民币2000元以上（不包含人民币2000元）的物业、设施设备的维修费由招标人承担（该类项目由中标人向招标人作事项申请，确认由招标人负责实施的，在支付给中标人的月度物业服务费中予以扣除人民币2000元/项，每月5项封顶，因建筑原始结构问题导致的房屋漏水渗水问题、地下旧有供水管道破裂的维修事项、对园区环境设施实施的提升改造事项不作扣除）。</w:t>
      </w:r>
    </w:p>
    <w:p>
      <w:pPr>
        <w:numPr>
          <w:ilvl w:val="0"/>
          <w:numId w:val="49"/>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其它本项目服务内容外，需要招标人和中标人协商的费用。</w:t>
      </w:r>
    </w:p>
    <w:p>
      <w:pPr>
        <w:numPr>
          <w:ilvl w:val="0"/>
          <w:numId w:val="4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费用说明：</w:t>
      </w:r>
    </w:p>
    <w:p>
      <w:pPr>
        <w:numPr>
          <w:ilvl w:val="0"/>
          <w:numId w:val="5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特种设施或专业设施的维保托管事项，由中标人向招标人提交聘请第三方机构的相关资料（含专业资质），经招标人备案后，由中标人或委托第三方公司进行维保，费用由中标人承担；特种设施或专业设施维保托管单位在管理期内发生安全事故或劳资、合同纠纷的，所有责任由中标人全部承担；</w:t>
      </w:r>
    </w:p>
    <w:p>
      <w:pPr>
        <w:numPr>
          <w:ilvl w:val="0"/>
          <w:numId w:val="5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内发生物业损坏时，由中标人向招标人提交修复明细以及拟委托第三方公司的相关资质，经招标人备案后，由中标人自行或委托第三方公司施工，费用由中标人承担；第三方施工单位在施工期内发生安全事故、劳资、合同纠纷或对招标人、施工人员、第三人造成人身、财产损害的，所有责任由中标人全部承担。</w:t>
      </w:r>
    </w:p>
    <w:p>
      <w:pPr>
        <w:numPr>
          <w:ilvl w:val="0"/>
          <w:numId w:val="0"/>
        </w:numPr>
        <w:adjustRightInd w:val="0"/>
        <w:snapToGrid w:val="0"/>
        <w:spacing w:line="360" w:lineRule="auto"/>
        <w:ind w:left="420" w:left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注：物业维保费用包含：物业维修、保养及零件更换。</w:t>
      </w:r>
    </w:p>
    <w:p>
      <w:pPr>
        <w:numPr>
          <w:ilvl w:val="0"/>
          <w:numId w:val="5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其他约定：</w:t>
      </w:r>
      <w:r>
        <w:rPr>
          <w:rFonts w:hint="eastAsia" w:ascii="宋体" w:hAnsi="宋体" w:eastAsia="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免费提供配套办公用房,中标人使用上述房屋产生的费用（如办公费、水电费用、用品更换费用、设施设备购置费用等）自理。</w:t>
      </w:r>
    </w:p>
    <w:p>
      <w:pPr>
        <w:numPr>
          <w:ilvl w:val="0"/>
          <w:numId w:val="50"/>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由于中标人维护保养不善，物业损坏而导致园区或第三方财产损失，由中标人承担相应责任及费用；</w:t>
      </w:r>
    </w:p>
    <w:p>
      <w:pPr>
        <w:numPr>
          <w:ilvl w:val="0"/>
          <w:numId w:val="12"/>
        </w:numPr>
        <w:adjustRightInd w:val="0"/>
        <w:snapToGrid w:val="0"/>
        <w:spacing w:line="360" w:lineRule="auto"/>
        <w:ind w:left="1109" w:leftChars="0" w:hanging="689"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物业管理工作绩效考核办法</w:t>
      </w:r>
    </w:p>
    <w:p>
      <w:pPr>
        <w:numPr>
          <w:ilvl w:val="0"/>
          <w:numId w:val="51"/>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月度考核</w:t>
      </w:r>
    </w:p>
    <w:p>
      <w:pPr>
        <w:numPr>
          <w:ilvl w:val="0"/>
          <w:numId w:val="52"/>
        </w:numPr>
        <w:adjustRightInd w:val="0"/>
        <w:snapToGrid w:val="0"/>
        <w:spacing w:line="360" w:lineRule="auto"/>
        <w:ind w:left="425" w:leftChars="0" w:hanging="5"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月度考核指标</w:t>
      </w:r>
    </w:p>
    <w:tbl>
      <w:tblPr>
        <w:tblStyle w:val="21"/>
        <w:tblW w:w="90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0"/>
        <w:gridCol w:w="743"/>
        <w:gridCol w:w="4177"/>
        <w:gridCol w:w="1376"/>
        <w:gridCol w:w="1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tcBorders>
              <w:tl2br w:val="nil"/>
              <w:tr2bl w:val="nil"/>
            </w:tcBorders>
            <w:vAlign w:val="center"/>
          </w:tcPr>
          <w:p>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类 别</w:t>
            </w:r>
          </w:p>
        </w:tc>
        <w:tc>
          <w:tcPr>
            <w:tcW w:w="743" w:type="dxa"/>
            <w:tcBorders>
              <w:tl2br w:val="nil"/>
              <w:tr2bl w:val="nil"/>
            </w:tcBorders>
            <w:vAlign w:val="center"/>
          </w:tcPr>
          <w:p>
            <w:pPr>
              <w:spacing w:line="240" w:lineRule="auto"/>
              <w:ind w:right="115"/>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序号</w:t>
            </w:r>
          </w:p>
        </w:tc>
        <w:tc>
          <w:tcPr>
            <w:tcW w:w="4177" w:type="dxa"/>
            <w:tcBorders>
              <w:tl2br w:val="nil"/>
              <w:tr2bl w:val="nil"/>
            </w:tcBorders>
            <w:vAlign w:val="center"/>
          </w:tcPr>
          <w:p>
            <w:pPr>
              <w:spacing w:line="240" w:lineRule="auto"/>
              <w:ind w:left="162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考核内容</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扣减分数</w:t>
            </w:r>
          </w:p>
        </w:tc>
        <w:tc>
          <w:tcPr>
            <w:tcW w:w="1785" w:type="dxa"/>
            <w:tcBorders>
              <w:tl2br w:val="nil"/>
              <w:tr2bl w:val="nil"/>
            </w:tcBorders>
            <w:vAlign w:val="center"/>
          </w:tcPr>
          <w:p>
            <w:pPr>
              <w:spacing w:line="240" w:lineRule="auto"/>
              <w:ind w:left="175" w:leftChars="0" w:hanging="175" w:hangingChars="83"/>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评分依据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物业服务不到位、不及时，被客户有效投诉，或对客户的相关投诉处理未跟踪解决。</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客户投诉，调查属实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未定期对客户进行走访、回访和意见调查(每月5户)，无相关记录。</w:t>
            </w:r>
          </w:p>
        </w:tc>
        <w:tc>
          <w:tcPr>
            <w:tcW w:w="1376" w:type="dxa"/>
            <w:tcBorders>
              <w:tl2br w:val="nil"/>
              <w:tr2bl w:val="nil"/>
            </w:tcBorders>
            <w:vAlign w:val="center"/>
          </w:tcPr>
          <w:p>
            <w:pPr>
              <w:spacing w:line="240" w:lineRule="auto"/>
              <w:ind w:left="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查被访客户及相关记录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办理客户入驻、接待装修申报及报修受理(当天)不及时。</w:t>
            </w:r>
          </w:p>
        </w:tc>
        <w:tc>
          <w:tcPr>
            <w:tcW w:w="1376" w:type="dxa"/>
            <w:tcBorders>
              <w:tl2br w:val="nil"/>
              <w:tr2bl w:val="nil"/>
            </w:tcBorders>
            <w:vAlign w:val="center"/>
          </w:tcPr>
          <w:p>
            <w:pPr>
              <w:spacing w:line="240" w:lineRule="auto"/>
              <w:ind w:left="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客户投诉，调查属</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员工仪表仪容不整、行为不规范，未使用文明用语，不按规定制服着装、不佩带胸牌。</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定期检查和随机抽查培训记录、抽查现场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未对员工定期进行业务培训。</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抽查培训记录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未按要求、按时提交工作计划、工作报告、改进方案等</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定期检查和随机抽查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工作期间管理人员手机无法接通或不接听电话，对讲机呼叫无应答或对讲机处于关机状态。客服电话、24 小时服务电话长时间无法接通、无人接听</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未经招标人同意更换项目经理、主管人员</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可能影响园区、客户经营的重大事项（如消防、安防、供水供电设施损坏、园区发生消防、安防、停水停电事件等）未报告或隐瞒不报</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未经招标人同意擅自减少岗位编制，或未按合同要求配足人员的。</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纪律</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未按时完成交办的工作任务，酿成不良后果</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查记录通知、现场工作记录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主管负责人督查不严，导致管理工作出现重大失误，影响招标人公司或园区形象、或造成较大经济损失</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当班饮酒或酒后上班。 注：若给招标人、租户、第三方造成损失的，另行处理</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当班期间串岗、脱岗、睡岗。注：若给招标人或租户造成损失的，另行处理</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当班吵架、打架、赌博。 注：情节严重者另行处理</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办公室内扎堆闲聊、上网游戏、看电影或在岗长时间聊私人电话</w:t>
            </w:r>
          </w:p>
        </w:tc>
        <w:tc>
          <w:tcPr>
            <w:tcW w:w="1376" w:type="dxa"/>
            <w:tcBorders>
              <w:tl2br w:val="nil"/>
              <w:tr2bl w:val="nil"/>
            </w:tcBorders>
            <w:vAlign w:val="center"/>
          </w:tcPr>
          <w:p>
            <w:pPr>
              <w:spacing w:line="240" w:lineRule="auto"/>
              <w:ind w:left="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未做到每月自检资料完整</w:t>
            </w:r>
          </w:p>
        </w:tc>
        <w:tc>
          <w:tcPr>
            <w:tcW w:w="1376" w:type="dxa"/>
            <w:tcBorders>
              <w:tl2br w:val="nil"/>
              <w:tr2bl w:val="nil"/>
            </w:tcBorders>
            <w:vAlign w:val="center"/>
          </w:tcPr>
          <w:p>
            <w:pPr>
              <w:spacing w:line="240" w:lineRule="auto"/>
              <w:ind w:left="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治安</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保卫</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园区发生重大安全事故(实行一票否决制，并追究主要责任人和直接责任人的责任)</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7"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未做好园区内防火、防盗、防爆炸及预防治安案件的“四防”工作，每发生一起案件</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对园区内存在的安全隐患排查不力、整改措施不到位或整改措施计划未按期完成</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调查现场及整改计划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未执行（或执行不力）园区内安保的定期和不定期巡查，且巡查记录不全</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现场随机抽查、</w:t>
            </w:r>
          </w:p>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园区交付保管的固有资产失窃、损坏（经核算后赔付或修复）</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发生重大传染病疫情期间（或疫情防控期间），未按政府、园区相关规定做好防疫工作的</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费用</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收取</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未建立各项收费台账，未保管好发票及收据</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查收费台账、发票、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vMerge w:val="restart"/>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vMerge w:val="restart"/>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未做到岗亭严格按照收费标准收取停车管理费，未按时报账</w:t>
            </w:r>
          </w:p>
        </w:tc>
        <w:tc>
          <w:tcPr>
            <w:tcW w:w="1376" w:type="dxa"/>
            <w:vMerge w:val="restart"/>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4177" w:type="dxa"/>
            <w:vMerge w:val="continue"/>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p>
        </w:tc>
        <w:tc>
          <w:tcPr>
            <w:tcW w:w="1376"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1785"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水电、租金、管理费催缴，客户通知情况、反馈情况未记录详细，未做到相关签收文件齐全，每月移交一次</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未及时准确上报欠缴费租户名单明细，延时或不准确。</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查报表并登记上报时间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未及时上报特殊起杆（强行起杆）、免收费等车辆信息登记表</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操作不当造成设备设施损坏，物品丢失</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擅自允许非工作人员进入岗亭或休息室内。</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0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未核对水电费抄表数据，出现错误导致客户投诉或拒缴水电费的(客户拒缴差额部分由物业管理公司负责协调解决)，每发生一起</w:t>
            </w:r>
          </w:p>
        </w:tc>
        <w:tc>
          <w:tcPr>
            <w:tcW w:w="1376"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vMerge w:val="restart"/>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4177" w:type="dxa"/>
            <w:vMerge w:val="restart"/>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贪污款项、乱收费</w:t>
            </w:r>
          </w:p>
        </w:tc>
        <w:tc>
          <w:tcPr>
            <w:tcW w:w="1376" w:type="dxa"/>
            <w:vMerge w:val="restart"/>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vMerge w:val="restart"/>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有效投诉、现场取证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4177" w:type="dxa"/>
            <w:vMerge w:val="continue"/>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p>
        </w:tc>
        <w:tc>
          <w:tcPr>
            <w:tcW w:w="1376"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1785" w:type="dxa"/>
            <w:vMerge w:val="continue"/>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960"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装修</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tc>
        <w:tc>
          <w:tcPr>
            <w:tcW w:w="743"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毛坯场所管理巡查不力，场地垃圾堆积、闲杂人员聚焦、设备设施失修</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未办装修许可手续，私自动工装修，物业因巡查不力未及时发现和制止，酿成不良后果 10分/次 查装修登记、巡查记录及现场  </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对违章装修、违章搭建和影响房屋结构安全的装修未第一时间阻止，未及时上报管理单位</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因违规装修、违规施工造成的重大安全事故</w:t>
            </w:r>
          </w:p>
        </w:tc>
        <w:tc>
          <w:tcPr>
            <w:tcW w:w="1376"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100分/次</w:t>
            </w:r>
          </w:p>
        </w:tc>
        <w:tc>
          <w:tcPr>
            <w:tcW w:w="1785"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停车场</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停车场各车辆未按规定车位有序停泊</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1"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停车场道路交通管理不善，影响车辆正常通行</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停车场未按期打扫或明显不清洁</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擅自允许非工作人员进入岗亭或休息室内</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分/次</w:t>
            </w:r>
          </w:p>
        </w:tc>
        <w:tc>
          <w:tcPr>
            <w:tcW w:w="1785"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园区交付保管的固有资产失窃、损坏（经核算后赔付或修复）</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可能影响</w:t>
            </w:r>
            <w:r>
              <w:rPr>
                <w:rFonts w:hint="eastAsia" w:ascii="宋体" w:hAnsi="宋体" w:eastAsia="宋体" w:cs="宋体"/>
                <w:color w:val="auto"/>
                <w:sz w:val="21"/>
                <w:szCs w:val="21"/>
                <w:highlight w:val="none"/>
                <w:lang w:val="en-US" w:eastAsia="zh-CN"/>
              </w:rPr>
              <w:t>停车场正常使用的</w:t>
            </w:r>
            <w:r>
              <w:rPr>
                <w:rFonts w:hint="eastAsia" w:ascii="宋体" w:hAnsi="宋体" w:eastAsia="宋体" w:cs="宋体"/>
                <w:color w:val="auto"/>
                <w:sz w:val="21"/>
                <w:szCs w:val="21"/>
                <w:highlight w:val="none"/>
              </w:rPr>
              <w:t>（如安防、</w:t>
            </w:r>
            <w:r>
              <w:rPr>
                <w:rFonts w:hint="eastAsia" w:ascii="宋体" w:hAnsi="宋体" w:eastAsia="宋体" w:cs="宋体"/>
                <w:color w:val="auto"/>
                <w:sz w:val="21"/>
                <w:szCs w:val="21"/>
                <w:highlight w:val="none"/>
                <w:lang w:val="en-US" w:eastAsia="zh-CN"/>
              </w:rPr>
              <w:t>停电、设备</w:t>
            </w:r>
            <w:r>
              <w:rPr>
                <w:rFonts w:hint="eastAsia" w:ascii="宋体" w:hAnsi="宋体" w:eastAsia="宋体" w:cs="宋体"/>
                <w:color w:val="auto"/>
                <w:sz w:val="21"/>
                <w:szCs w:val="21"/>
                <w:highlight w:val="none"/>
              </w:rPr>
              <w:t>设施损坏）未报告或隐瞒不报</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人员原因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管理原因</w:t>
            </w:r>
            <w:r>
              <w:rPr>
                <w:rFonts w:hint="eastAsia" w:ascii="宋体" w:hAnsi="宋体" w:eastAsia="宋体" w:cs="宋体"/>
                <w:color w:val="auto"/>
                <w:sz w:val="21"/>
                <w:szCs w:val="21"/>
                <w:highlight w:val="none"/>
              </w:rPr>
              <w:t>导致停车场内造成第三人人身损害或财产损失的</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1785"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消防</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未按要求设立专门消防专员，专员未持证上岗。</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查现场并调查取证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8"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未按要求建立义务消防员制，未明确火灾现场通信联络、灭火、疏散、救护、保卫等任务的负责人，未定期进行培训和演习</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现场随机抽查、 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92"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未按要求明确消防控制室管理值班人员的职责，未制订24小时值班制度和交接班的程序，值班记录不完整</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未按要求确保消防设施和消防电源始终处于正常运行状态；需要维修时，未采取相应的措施，维修完成后，未按要求立即恢复到正常运行状态的</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未按要求建立健全园区各项设施、设备检查和维修整改记录、台账</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2分/项</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查台账、记录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设备设施实行定期专项检查，未定期检查或无记录的</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查检查记录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设施、设备维保不到位，不能正常使用</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加强园区各类设施、设备的巡检，确保安全运行无事故，每发生一起重大安全事故。</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查巡检记录和现场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客户报修（报修内容属实为前提）处理及时率未达到100%</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2分/百分点</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查记录、现场、客户投诉调查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各类设备定期维保完成率未达到100%</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2分/百分点</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68"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绿化</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保持园区主要干道、各楼道（包括楼道内墙壁、门窗等广告的清理）、洗手间、电梯轿箱、水景的清洁卫生，未按要求、未按期打扫、清理或明显不清洁</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楼道扶手及电梯轿箱抹擦和拖地，未按期打扫或明显不清洁</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地下停车场、草坪灯、楼宇门、信报箱等未按期打扫或明显不清洁</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p>
            <w:pPr>
              <w:spacing w:line="240" w:lineRule="auto"/>
              <w:jc w:val="center"/>
              <w:rPr>
                <w:rFonts w:hint="eastAsia" w:ascii="宋体" w:hAnsi="宋体" w:eastAsia="宋体" w:cs="宋体"/>
                <w:color w:val="auto"/>
                <w:sz w:val="21"/>
                <w:szCs w:val="21"/>
                <w:highlight w:val="none"/>
              </w:rPr>
            </w:pP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指示标牌、垃圾箱及园区走廊等地面有明显浮尘或污迹</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2分/项</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04"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因装修管理不力，装潢垃圾未按指定地点存放或未及时组织外运</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未及时与环卫部门联系，对园区各垃圾池、箱定期及时清理</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未定期清理屋顶露台，以防爆竹渣、塑</w:t>
            </w:r>
          </w:p>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料袋等杂物堵塞下水口</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4"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未按要求加强园区绿化的护理，定期浇水、施肥、剪枝、治虫</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未做好垃圾分类及创文工作（包括对园区租户的宣传，相关标识的张贴等），未及时按照有关部门新发布的工作要求进行调整导致园区被扣分的</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事项</w:t>
            </w:r>
          </w:p>
        </w:tc>
        <w:tc>
          <w:tcPr>
            <w:tcW w:w="743"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未履行或违反合同约定事项和管理要求事项，视情节轻重予以扣分</w:t>
            </w:r>
          </w:p>
        </w:tc>
        <w:tc>
          <w:tcPr>
            <w:tcW w:w="1376"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5-10分/项</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抽查、查记录、现场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743"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177" w:type="dxa"/>
            <w:tcBorders>
              <w:tl2br w:val="nil"/>
              <w:tr2bl w:val="nil"/>
            </w:tcBorders>
            <w:vAlign w:val="center"/>
          </w:tcPr>
          <w:p>
            <w:pPr>
              <w:spacing w:line="24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对上述扣分事项，发出整改通知后未及时进行整改或采取整改措施的</w:t>
            </w:r>
          </w:p>
        </w:tc>
        <w:tc>
          <w:tcPr>
            <w:tcW w:w="1376"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5-10分/项</w:t>
            </w:r>
          </w:p>
        </w:tc>
        <w:tc>
          <w:tcPr>
            <w:tcW w:w="1785"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w:t>
            </w:r>
          </w:p>
        </w:tc>
      </w:tr>
    </w:tbl>
    <w:p>
      <w:pPr>
        <w:numPr>
          <w:ilvl w:val="0"/>
          <w:numId w:val="5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检查发现问题时，由招标人直接扣分和发出整改通知。检查扣分和整改通知以招标人或招标人授权代表确认签名为准，物业方无须签名确认。评核记录：物业日常工作的现场检查、记录表格、现场问答、客户投诉、视频图片、电子通讯等记录。</w:t>
      </w:r>
    </w:p>
    <w:p>
      <w:pPr>
        <w:numPr>
          <w:ilvl w:val="0"/>
          <w:numId w:val="5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上考核标准，招标人有权根据合同约定的服务内容、园区管理的实际需要对考核标准内容作出相应调整修改，招标人调整修改考核标准后应及时通知中标人，如中标人存在异议应自收到通知后两个工作日内提出，否则视为中标人同意招标人的调整修改意见。</w:t>
      </w:r>
    </w:p>
    <w:p>
      <w:pPr>
        <w:numPr>
          <w:ilvl w:val="0"/>
          <w:numId w:val="5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人每月定期组织有关代表（招标人员工代表、园区运营单位代表、中标人员工代表）依据考核标准对中标人服务质量进行全面考核，根据考核指标逐项打分，对存在问题下发书面整改通知书，并可附带提供证言、照片、监控记录、刷卡记录等。每次检查总分为100分，考核组对照考核标准逐条逐项进行量化打分，最低为0分</w:t>
      </w:r>
      <w:r>
        <w:rPr>
          <w:rFonts w:hint="eastAsia" w:ascii="宋体" w:hAnsi="宋体" w:eastAsia="宋体" w:cs="宋体"/>
          <w:color w:val="auto"/>
          <w:kern w:val="0"/>
          <w:sz w:val="21"/>
          <w:szCs w:val="21"/>
          <w:highlight w:val="none"/>
          <w:lang w:eastAsia="zh-CN"/>
        </w:rPr>
        <w:t>。</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处罚办法：</w:t>
      </w:r>
    </w:p>
    <w:p>
      <w:pPr>
        <w:numPr>
          <w:ilvl w:val="0"/>
          <w:numId w:val="5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得分 88—90分（不含）的，责令整改，并写出书面整改报告。</w:t>
      </w:r>
    </w:p>
    <w:p>
      <w:pPr>
        <w:numPr>
          <w:ilvl w:val="0"/>
          <w:numId w:val="5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得分 80—88分（不含）的，除了责令其整改，写出书面整改报告之外，扣除当月物业管理费用总额的10%。</w:t>
      </w:r>
    </w:p>
    <w:p>
      <w:pPr>
        <w:numPr>
          <w:ilvl w:val="0"/>
          <w:numId w:val="5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得分 70—80分（不含）的，除了责令其整改，写出书面整改报告之外，扣除当月物业管理费用总额的20%。</w:t>
      </w:r>
    </w:p>
    <w:p>
      <w:pPr>
        <w:numPr>
          <w:ilvl w:val="0"/>
          <w:numId w:val="5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得分不满70分，除了责令其整改，写出书面整改报告之外，扣除当月物业管理费用总额的30%。</w:t>
      </w:r>
    </w:p>
    <w:p>
      <w:pPr>
        <w:numPr>
          <w:ilvl w:val="0"/>
          <w:numId w:val="5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连续两个月得分不满80分，招标人有权要求中标人撤换项目经理或相应工作主管负责人，所产生的费用及责任由中标人承担。</w:t>
      </w:r>
    </w:p>
    <w:p>
      <w:pPr>
        <w:numPr>
          <w:ilvl w:val="0"/>
          <w:numId w:val="5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个合同年内累计有三个月得分不满70分的，除扣除相应物业管理费用外，招标人有权单方解除合同并没收履约保证金而无需承担任何违约责任，中标人须与招标人聘请的新物业管理服务企业办妥相关的交接手续。</w:t>
      </w:r>
    </w:p>
    <w:p>
      <w:pPr>
        <w:numPr>
          <w:ilvl w:val="0"/>
          <w:numId w:val="51"/>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年度考核</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招标人每合同年年末制定并组织向企业发放《物业管理服务满意度调查表》，园区租户通过调查表反映中标人的工作情况。每次调查满意度最高值100%，园区租户对中标人的工作情况平均满意率低于80%的，招标人有权单方解除合同并没收履约保证金而无需承担任何违约责任，中标人须与招标人聘请的新物业管理服务企业办妥相关的交接手续。</w:t>
      </w:r>
    </w:p>
    <w:p>
      <w:pPr>
        <w:numPr>
          <w:ilvl w:val="0"/>
          <w:numId w:val="12"/>
        </w:numPr>
        <w:adjustRightInd w:val="0"/>
        <w:snapToGrid w:val="0"/>
        <w:spacing w:line="360" w:lineRule="auto"/>
        <w:ind w:left="1109" w:leftChars="0" w:hanging="689" w:firstLineChars="0"/>
        <w:rPr>
          <w:rFonts w:hint="eastAsia" w:ascii="宋体" w:hAnsi="宋体" w:eastAsia="宋体" w:cs="宋体"/>
          <w:b/>
          <w:bCs/>
          <w:color w:val="auto"/>
          <w:kern w:val="0"/>
          <w:sz w:val="21"/>
          <w:szCs w:val="21"/>
          <w:highlight w:val="none"/>
        </w:rPr>
      </w:pPr>
      <w:r>
        <w:rPr>
          <w:rFonts w:hint="eastAsia" w:ascii="宋体" w:hAnsi="宋体" w:eastAsia="宋体" w:cs="宋体"/>
          <w:b/>
          <w:color w:val="auto"/>
          <w:sz w:val="21"/>
          <w:szCs w:val="21"/>
          <w:highlight w:val="none"/>
        </w:rPr>
        <w:t>服务期限</w:t>
      </w:r>
    </w:p>
    <w:p>
      <w:pPr>
        <w:adjustRightInd w:val="0"/>
        <w:snapToGrid w:val="0"/>
        <w:spacing w:line="360" w:lineRule="auto"/>
        <w:ind w:left="359" w:leftChars="171" w:firstLine="472" w:firstLineChars="225"/>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自合同签订并生效之日起两年</w:t>
      </w:r>
      <w:r>
        <w:rPr>
          <w:rFonts w:hint="eastAsia" w:ascii="宋体" w:hAnsi="宋体" w:eastAsia="宋体" w:cs="宋体"/>
          <w:color w:val="auto"/>
          <w:sz w:val="21"/>
          <w:szCs w:val="21"/>
          <w:highlight w:val="none"/>
          <w:lang w:eastAsia="zh-CN"/>
        </w:rPr>
        <w:t>。</w:t>
      </w:r>
    </w:p>
    <w:p>
      <w:pPr>
        <w:numPr>
          <w:ilvl w:val="0"/>
          <w:numId w:val="12"/>
        </w:numPr>
        <w:adjustRightInd w:val="0"/>
        <w:snapToGrid w:val="0"/>
        <w:spacing w:line="360" w:lineRule="auto"/>
        <w:ind w:left="1109" w:leftChars="0" w:hanging="689" w:firstLineChars="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其他要求</w:t>
      </w:r>
    </w:p>
    <w:p>
      <w:pPr>
        <w:numPr>
          <w:ilvl w:val="0"/>
          <w:numId w:val="5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如中标人的人员出现违法违规行为，中标人应把处理方案以及处理结果以书面形式送达招标人备案。</w:t>
      </w:r>
    </w:p>
    <w:p>
      <w:pPr>
        <w:numPr>
          <w:ilvl w:val="0"/>
          <w:numId w:val="5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中标人应不定时组织人员的培训工作，提升工作人员的工作素质和质量。</w:t>
      </w:r>
    </w:p>
    <w:p>
      <w:pPr>
        <w:numPr>
          <w:ilvl w:val="0"/>
          <w:numId w:val="5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中标人要准时支付工作人员的工资，如因中标人原因拖欠工资或发生劳动争议纠纷等一切责任由中标人承担，与招标人无关。</w:t>
      </w:r>
    </w:p>
    <w:p>
      <w:pPr>
        <w:numPr>
          <w:ilvl w:val="0"/>
          <w:numId w:val="5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中标人要按相关法律法规规定为工作人员购买社保及保险，中标人工作人员在工作期间因各类事故导致的人身伤害，由中标人全部承担，与招标人无关。</w:t>
      </w:r>
    </w:p>
    <w:p>
      <w:pPr>
        <w:numPr>
          <w:ilvl w:val="0"/>
          <w:numId w:val="5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中标人不得把项目转包、转让予第三方公司或分公司，否则招标人有权单方解除合同并没收履约保证金而无需承担任何违约责任，中标人须与招标人聘请的新物业管理服务企业办妥相关的交接手续。如履约保证金不足以赔偿招标人损失时，招标人还有权继续对中标人进行追讨。</w:t>
      </w:r>
    </w:p>
    <w:p>
      <w:pPr>
        <w:numPr>
          <w:ilvl w:val="0"/>
          <w:numId w:val="5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经招标人同意，中标人可委托专业公司对招标人设备、设施、维护、维修、保养及承担本物业的专项维护、管理与服务业务，但不得将本项目的管理责任转让给第三方，同时中标人应保证招标人相关设施、设备的正常管理、运行，有关费用已计入本合同总价，超出部分由中标人承担。</w:t>
      </w:r>
    </w:p>
    <w:p>
      <w:pPr>
        <w:numPr>
          <w:ilvl w:val="0"/>
          <w:numId w:val="5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kern w:val="0"/>
          <w:sz w:val="21"/>
          <w:szCs w:val="21"/>
          <w:highlight w:val="none"/>
          <w:lang w:eastAsia="zh-CN"/>
        </w:rPr>
        <w:t>中标人在临时停车场代招标人收取的费用，全部归招标人所有，与中标人无关，中标人不得侵占、挪用，中标人收取的停车费用转至招标人账户前，由中标人做好保管工作并承担相应责任，因中标人人员原因造成招标人损失的，招标人有权追究中标人赔偿责任</w:t>
      </w:r>
      <w:r>
        <w:rPr>
          <w:rFonts w:hint="eastAsia" w:hAnsi="宋体" w:cs="宋体"/>
          <w:b w:val="0"/>
          <w:bCs w:val="0"/>
          <w:color w:val="auto"/>
          <w:kern w:val="0"/>
          <w:sz w:val="21"/>
          <w:szCs w:val="21"/>
          <w:highlight w:val="none"/>
          <w:lang w:eastAsia="zh-CN"/>
        </w:rPr>
        <w:t>（投标时提供承诺函作为证明材料，格式自拟）</w:t>
      </w:r>
      <w:r>
        <w:rPr>
          <w:rFonts w:hint="eastAsia" w:ascii="宋体" w:hAnsi="宋体" w:eastAsia="宋体" w:cs="宋体"/>
          <w:b w:val="0"/>
          <w:bCs w:val="0"/>
          <w:color w:val="auto"/>
          <w:kern w:val="0"/>
          <w:sz w:val="21"/>
          <w:szCs w:val="21"/>
          <w:highlight w:val="none"/>
          <w:lang w:eastAsia="zh-CN"/>
        </w:rPr>
        <w:t>。</w:t>
      </w:r>
    </w:p>
    <w:p>
      <w:pPr>
        <w:numPr>
          <w:ilvl w:val="0"/>
          <w:numId w:val="54"/>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kern w:val="0"/>
          <w:sz w:val="21"/>
          <w:szCs w:val="21"/>
          <w:highlight w:val="none"/>
          <w:lang w:eastAsia="zh-CN"/>
        </w:rPr>
        <w:t>合同履行期间及合同解除或终止后，</w:t>
      </w:r>
      <w:r>
        <w:rPr>
          <w:rFonts w:hint="eastAsia" w:hAnsi="宋体" w:cs="宋体"/>
          <w:b w:val="0"/>
          <w:bCs w:val="0"/>
          <w:color w:val="auto"/>
          <w:kern w:val="0"/>
          <w:sz w:val="21"/>
          <w:szCs w:val="21"/>
          <w:highlight w:val="none"/>
          <w:lang w:val="en-US" w:eastAsia="zh-CN"/>
        </w:rPr>
        <w:t>中标人</w:t>
      </w:r>
      <w:r>
        <w:rPr>
          <w:rFonts w:hint="eastAsia" w:ascii="宋体" w:hAnsi="宋体" w:eastAsia="宋体" w:cs="宋体"/>
          <w:b w:val="0"/>
          <w:bCs w:val="0"/>
          <w:color w:val="auto"/>
          <w:kern w:val="0"/>
          <w:sz w:val="21"/>
          <w:szCs w:val="21"/>
          <w:highlight w:val="none"/>
          <w:lang w:eastAsia="zh-CN"/>
        </w:rPr>
        <w:t>因自身合同纠纷或劳资纠纷等问题及相关法律责任与</w:t>
      </w:r>
      <w:r>
        <w:rPr>
          <w:rFonts w:hint="eastAsia" w:hAnsi="宋体" w:cs="宋体"/>
          <w:b w:val="0"/>
          <w:bCs w:val="0"/>
          <w:color w:val="auto"/>
          <w:kern w:val="0"/>
          <w:sz w:val="21"/>
          <w:szCs w:val="21"/>
          <w:highlight w:val="none"/>
          <w:lang w:val="en-US" w:eastAsia="zh-CN"/>
        </w:rPr>
        <w:t>招标人</w:t>
      </w:r>
      <w:r>
        <w:rPr>
          <w:rFonts w:hint="eastAsia" w:ascii="宋体" w:hAnsi="宋体" w:eastAsia="宋体" w:cs="宋体"/>
          <w:b w:val="0"/>
          <w:bCs w:val="0"/>
          <w:color w:val="auto"/>
          <w:kern w:val="0"/>
          <w:sz w:val="21"/>
          <w:szCs w:val="21"/>
          <w:highlight w:val="none"/>
          <w:lang w:eastAsia="zh-CN"/>
        </w:rPr>
        <w:t>无关，由</w:t>
      </w:r>
      <w:r>
        <w:rPr>
          <w:rFonts w:hint="eastAsia" w:hAnsi="宋体" w:cs="宋体"/>
          <w:b w:val="0"/>
          <w:bCs w:val="0"/>
          <w:color w:val="auto"/>
          <w:kern w:val="0"/>
          <w:sz w:val="21"/>
          <w:szCs w:val="21"/>
          <w:highlight w:val="none"/>
          <w:lang w:val="en-US" w:eastAsia="zh-CN"/>
        </w:rPr>
        <w:t>中标人</w:t>
      </w:r>
      <w:r>
        <w:rPr>
          <w:rFonts w:hint="eastAsia" w:ascii="宋体" w:hAnsi="宋体" w:eastAsia="宋体" w:cs="宋体"/>
          <w:b w:val="0"/>
          <w:bCs w:val="0"/>
          <w:color w:val="auto"/>
          <w:kern w:val="0"/>
          <w:sz w:val="21"/>
          <w:szCs w:val="21"/>
          <w:highlight w:val="none"/>
          <w:lang w:eastAsia="zh-CN"/>
        </w:rPr>
        <w:t>自行解决。若上述问题对</w:t>
      </w:r>
      <w:r>
        <w:rPr>
          <w:rFonts w:hint="eastAsia" w:hAnsi="宋体" w:cs="宋体"/>
          <w:b w:val="0"/>
          <w:bCs w:val="0"/>
          <w:color w:val="auto"/>
          <w:kern w:val="0"/>
          <w:sz w:val="21"/>
          <w:szCs w:val="21"/>
          <w:highlight w:val="none"/>
          <w:lang w:val="en-US" w:eastAsia="zh-CN"/>
        </w:rPr>
        <w:t>招标人</w:t>
      </w:r>
      <w:r>
        <w:rPr>
          <w:rFonts w:hint="eastAsia" w:ascii="宋体" w:hAnsi="宋体" w:eastAsia="宋体" w:cs="宋体"/>
          <w:b w:val="0"/>
          <w:bCs w:val="0"/>
          <w:color w:val="auto"/>
          <w:kern w:val="0"/>
          <w:sz w:val="21"/>
          <w:szCs w:val="21"/>
          <w:highlight w:val="none"/>
          <w:lang w:eastAsia="zh-CN"/>
        </w:rPr>
        <w:t>、园区入驻企业正常经营造成影响的，</w:t>
      </w:r>
      <w:r>
        <w:rPr>
          <w:rFonts w:hint="eastAsia" w:hAnsi="宋体" w:cs="宋体"/>
          <w:b w:val="0"/>
          <w:bCs w:val="0"/>
          <w:color w:val="auto"/>
          <w:kern w:val="0"/>
          <w:sz w:val="21"/>
          <w:szCs w:val="21"/>
          <w:highlight w:val="none"/>
          <w:lang w:val="en-US" w:eastAsia="zh-CN"/>
        </w:rPr>
        <w:t>招标人</w:t>
      </w:r>
      <w:r>
        <w:rPr>
          <w:rFonts w:hint="eastAsia" w:ascii="宋体" w:hAnsi="宋体" w:eastAsia="宋体" w:cs="宋体"/>
          <w:b w:val="0"/>
          <w:bCs w:val="0"/>
          <w:color w:val="auto"/>
          <w:kern w:val="0"/>
          <w:sz w:val="21"/>
          <w:szCs w:val="21"/>
          <w:highlight w:val="none"/>
          <w:lang w:eastAsia="zh-CN"/>
        </w:rPr>
        <w:t>有权向</w:t>
      </w:r>
      <w:r>
        <w:rPr>
          <w:rFonts w:hint="eastAsia" w:hAnsi="宋体" w:cs="宋体"/>
          <w:b w:val="0"/>
          <w:bCs w:val="0"/>
          <w:color w:val="auto"/>
          <w:kern w:val="0"/>
          <w:sz w:val="21"/>
          <w:szCs w:val="21"/>
          <w:highlight w:val="none"/>
          <w:lang w:val="en-US" w:eastAsia="zh-CN"/>
        </w:rPr>
        <w:t>中标人</w:t>
      </w:r>
      <w:r>
        <w:rPr>
          <w:rFonts w:hint="eastAsia" w:ascii="宋体" w:hAnsi="宋体" w:eastAsia="宋体" w:cs="宋体"/>
          <w:b w:val="0"/>
          <w:bCs w:val="0"/>
          <w:color w:val="auto"/>
          <w:kern w:val="0"/>
          <w:sz w:val="21"/>
          <w:szCs w:val="21"/>
          <w:highlight w:val="none"/>
          <w:lang w:eastAsia="zh-CN"/>
        </w:rPr>
        <w:t>追究相关法律责任，由此造成的</w:t>
      </w:r>
      <w:r>
        <w:rPr>
          <w:rFonts w:hint="eastAsia" w:hAnsi="宋体" w:cs="宋体"/>
          <w:b w:val="0"/>
          <w:bCs w:val="0"/>
          <w:color w:val="auto"/>
          <w:kern w:val="0"/>
          <w:sz w:val="21"/>
          <w:szCs w:val="21"/>
          <w:highlight w:val="none"/>
          <w:lang w:val="en-US" w:eastAsia="zh-CN"/>
        </w:rPr>
        <w:t>招标人</w:t>
      </w:r>
      <w:r>
        <w:rPr>
          <w:rFonts w:hint="eastAsia" w:ascii="宋体" w:hAnsi="宋体" w:eastAsia="宋体" w:cs="宋体"/>
          <w:b w:val="0"/>
          <w:bCs w:val="0"/>
          <w:color w:val="auto"/>
          <w:kern w:val="0"/>
          <w:sz w:val="21"/>
          <w:szCs w:val="21"/>
          <w:highlight w:val="none"/>
          <w:lang w:eastAsia="zh-CN"/>
        </w:rPr>
        <w:t>经济损失、园区入驻企业经济损失由</w:t>
      </w:r>
      <w:r>
        <w:rPr>
          <w:rFonts w:hint="eastAsia" w:hAnsi="宋体" w:cs="宋体"/>
          <w:b w:val="0"/>
          <w:bCs w:val="0"/>
          <w:color w:val="auto"/>
          <w:kern w:val="0"/>
          <w:sz w:val="21"/>
          <w:szCs w:val="21"/>
          <w:highlight w:val="none"/>
          <w:lang w:val="en-US" w:eastAsia="zh-CN"/>
        </w:rPr>
        <w:t>中标人</w:t>
      </w:r>
      <w:r>
        <w:rPr>
          <w:rFonts w:hint="eastAsia" w:ascii="宋体" w:hAnsi="宋体" w:eastAsia="宋体" w:cs="宋体"/>
          <w:b w:val="0"/>
          <w:bCs w:val="0"/>
          <w:color w:val="auto"/>
          <w:kern w:val="0"/>
          <w:sz w:val="21"/>
          <w:szCs w:val="21"/>
          <w:highlight w:val="none"/>
          <w:lang w:eastAsia="zh-CN"/>
        </w:rPr>
        <w:t>承担</w:t>
      </w:r>
      <w:r>
        <w:rPr>
          <w:rFonts w:hint="eastAsia" w:hAnsi="宋体" w:cs="宋体"/>
          <w:b w:val="0"/>
          <w:bCs w:val="0"/>
          <w:color w:val="auto"/>
          <w:kern w:val="0"/>
          <w:sz w:val="21"/>
          <w:szCs w:val="21"/>
          <w:highlight w:val="none"/>
          <w:lang w:eastAsia="zh-CN"/>
        </w:rPr>
        <w:t>（投标时提供承诺函作为证明材料，格式自拟）</w:t>
      </w:r>
      <w:r>
        <w:rPr>
          <w:rFonts w:hint="eastAsia" w:ascii="宋体" w:hAnsi="宋体" w:eastAsia="宋体" w:cs="宋体"/>
          <w:b w:val="0"/>
          <w:bCs w:val="0"/>
          <w:color w:val="auto"/>
          <w:kern w:val="0"/>
          <w:sz w:val="21"/>
          <w:szCs w:val="21"/>
          <w:highlight w:val="none"/>
          <w:lang w:eastAsia="zh-CN"/>
        </w:rPr>
        <w:t>。</w:t>
      </w:r>
    </w:p>
    <w:p>
      <w:pPr>
        <w:numPr>
          <w:ilvl w:val="0"/>
          <w:numId w:val="12"/>
        </w:numPr>
        <w:adjustRightInd w:val="0"/>
        <w:snapToGrid w:val="0"/>
        <w:spacing w:line="360" w:lineRule="auto"/>
        <w:ind w:left="1109" w:leftChars="0" w:hanging="689" w:firstLineChars="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eastAsia="zh-CN"/>
        </w:rPr>
        <w:t>报价要求</w:t>
      </w:r>
    </w:p>
    <w:p>
      <w:pPr>
        <w:numPr>
          <w:ilvl w:val="0"/>
          <w:numId w:val="55"/>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本项目的</w:t>
      </w:r>
      <w:r>
        <w:rPr>
          <w:rFonts w:hint="eastAsia" w:hAnsi="宋体" w:cs="宋体"/>
          <w:color w:val="auto"/>
          <w:kern w:val="0"/>
          <w:sz w:val="21"/>
          <w:szCs w:val="21"/>
          <w:highlight w:val="none"/>
          <w:lang w:val="en-US" w:eastAsia="zh-CN"/>
        </w:rPr>
        <w:t>2年服务期服务总费用</w:t>
      </w:r>
      <w:r>
        <w:rPr>
          <w:rFonts w:hint="eastAsia" w:ascii="宋体" w:hAnsi="宋体" w:eastAsia="宋体" w:cs="宋体"/>
          <w:color w:val="auto"/>
          <w:kern w:val="0"/>
          <w:sz w:val="21"/>
          <w:szCs w:val="21"/>
          <w:highlight w:val="none"/>
          <w:lang w:eastAsia="zh-CN"/>
        </w:rPr>
        <w:t>最高限价为人民币</w:t>
      </w:r>
      <w:r>
        <w:rPr>
          <w:rFonts w:hint="eastAsia" w:hAnsi="宋体" w:cs="宋体"/>
          <w:color w:val="auto"/>
          <w:kern w:val="0"/>
          <w:sz w:val="21"/>
          <w:szCs w:val="21"/>
          <w:highlight w:val="none"/>
          <w:lang w:eastAsia="zh-CN"/>
        </w:rPr>
        <w:t>9,849,327.60</w:t>
      </w:r>
      <w:r>
        <w:rPr>
          <w:rFonts w:hint="eastAsia" w:ascii="宋体" w:hAnsi="宋体" w:eastAsia="宋体" w:cs="宋体"/>
          <w:color w:val="auto"/>
          <w:kern w:val="0"/>
          <w:sz w:val="21"/>
          <w:szCs w:val="21"/>
          <w:highlight w:val="none"/>
        </w:rPr>
        <w:t>元。本项目投标总价不得超出</w:t>
      </w:r>
      <w:r>
        <w:rPr>
          <w:rFonts w:hint="eastAsia" w:ascii="宋体" w:hAnsi="宋体" w:eastAsia="宋体" w:cs="宋体"/>
          <w:color w:val="auto"/>
          <w:kern w:val="0"/>
          <w:sz w:val="21"/>
          <w:szCs w:val="21"/>
          <w:highlight w:val="none"/>
          <w:lang w:eastAsia="zh-CN"/>
        </w:rPr>
        <w:t>最高限价</w:t>
      </w:r>
      <w:r>
        <w:rPr>
          <w:rFonts w:hint="eastAsia" w:ascii="宋体" w:hAnsi="宋体" w:eastAsia="宋体" w:cs="宋体"/>
          <w:color w:val="auto"/>
          <w:kern w:val="0"/>
          <w:sz w:val="21"/>
          <w:szCs w:val="21"/>
          <w:highlight w:val="none"/>
        </w:rPr>
        <w:t>，否则该投标文件为无效标</w:t>
      </w:r>
      <w:r>
        <w:rPr>
          <w:rFonts w:hint="eastAsia" w:ascii="宋体" w:hAnsi="宋体" w:eastAsia="宋体" w:cs="宋体"/>
          <w:color w:val="auto"/>
          <w:kern w:val="0"/>
          <w:sz w:val="21"/>
          <w:szCs w:val="21"/>
          <w:highlight w:val="none"/>
          <w:lang w:eastAsia="zh-CN"/>
        </w:rPr>
        <w:t>。</w:t>
      </w:r>
    </w:p>
    <w:p>
      <w:pPr>
        <w:numPr>
          <w:ilvl w:val="0"/>
          <w:numId w:val="55"/>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w:t>
      </w:r>
      <w:r>
        <w:rPr>
          <w:rFonts w:hint="eastAsia" w:hAnsi="宋体" w:cs="宋体"/>
          <w:color w:val="auto"/>
          <w:kern w:val="0"/>
          <w:sz w:val="21"/>
          <w:szCs w:val="21"/>
          <w:highlight w:val="none"/>
          <w:lang w:val="en-US" w:eastAsia="zh-CN"/>
        </w:rPr>
        <w:t>服务总费用已</w:t>
      </w:r>
      <w:r>
        <w:rPr>
          <w:rFonts w:hint="eastAsia" w:ascii="宋体" w:hAnsi="宋体" w:eastAsia="宋体" w:cs="宋体"/>
          <w:color w:val="auto"/>
          <w:kern w:val="0"/>
          <w:sz w:val="21"/>
          <w:szCs w:val="21"/>
          <w:highlight w:val="none"/>
        </w:rPr>
        <w:t>包含</w:t>
      </w:r>
      <w:r>
        <w:rPr>
          <w:rFonts w:hint="eastAsia" w:hAnsi="宋体" w:cs="宋体"/>
          <w:color w:val="auto"/>
          <w:kern w:val="0"/>
          <w:sz w:val="21"/>
          <w:szCs w:val="21"/>
          <w:highlight w:val="none"/>
          <w:lang w:val="en-US" w:eastAsia="zh-CN"/>
        </w:rPr>
        <w:t>物业管理</w:t>
      </w:r>
      <w:r>
        <w:rPr>
          <w:rFonts w:hint="eastAsia" w:ascii="宋体" w:hAnsi="宋体" w:eastAsia="宋体" w:cs="宋体"/>
          <w:color w:val="auto"/>
          <w:sz w:val="21"/>
          <w:szCs w:val="21"/>
          <w:highlight w:val="none"/>
        </w:rPr>
        <w:t>服务费、停车场管理服务费</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2年</w:t>
      </w:r>
      <w:r>
        <w:rPr>
          <w:rFonts w:hint="eastAsia" w:ascii="宋体" w:hAnsi="宋体" w:eastAsia="宋体" w:cs="宋体"/>
          <w:color w:val="auto"/>
          <w:kern w:val="0"/>
          <w:sz w:val="21"/>
          <w:szCs w:val="21"/>
          <w:highlight w:val="none"/>
          <w:lang w:eastAsia="zh-CN"/>
        </w:rPr>
        <w:t>管理服务费为人民币壹佰壹拾万零肆仟捌佰肆拾贰元捌角捌分</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eastAsia="zh-CN"/>
        </w:rPr>
        <w:t>￥1,104,842.88元</w:t>
      </w:r>
      <w:r>
        <w:rPr>
          <w:rFonts w:hint="eastAsia" w:ascii="宋体" w:hAnsi="宋体" w:eastAsia="宋体" w:cs="宋体"/>
          <w:color w:val="auto"/>
          <w:kern w:val="0"/>
          <w:sz w:val="21"/>
          <w:szCs w:val="21"/>
          <w:highlight w:val="none"/>
          <w:lang w:val="en-US" w:eastAsia="zh-CN"/>
        </w:rPr>
        <w:t>)</w:t>
      </w:r>
      <w:r>
        <w:rPr>
          <w:rFonts w:hint="eastAsia" w:hAnsi="宋体" w:cs="宋体"/>
          <w:color w:val="auto"/>
          <w:kern w:val="0"/>
          <w:sz w:val="21"/>
          <w:szCs w:val="21"/>
          <w:highlight w:val="none"/>
          <w:lang w:eastAsia="zh-CN"/>
        </w:rPr>
        <w:t>】</w:t>
      </w:r>
      <w:r>
        <w:rPr>
          <w:rFonts w:hint="eastAsia" w:ascii="宋体" w:hAnsi="宋体" w:eastAsia="宋体" w:cs="宋体"/>
          <w:color w:val="auto"/>
          <w:sz w:val="21"/>
          <w:szCs w:val="21"/>
          <w:highlight w:val="none"/>
        </w:rPr>
        <w:t>、人工费（含工资、社保、工伤意外保险、全勤补助、节假日补助、加班费、高温补助费、年终奖励金等）、清洁所需材料或工具费、设备车辆、各种税费、中标服务费、相关用具的使用费用及各项税费等一切与完成本项目相关费用及合同实施过程中应预见和不可预见的一切费用。对于</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内未明确数量的物业服务对象，视为已经包含在合同总价中，不再按实际数量调整，本</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提供的物业管理服务面积，若与实际情况不符时，</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不作调整，按本合同总价结算</w:t>
      </w:r>
      <w:r>
        <w:rPr>
          <w:rFonts w:hint="eastAsia" w:ascii="宋体" w:hAnsi="宋体" w:eastAsia="宋体" w:cs="宋体"/>
          <w:color w:val="auto"/>
          <w:kern w:val="0"/>
          <w:sz w:val="21"/>
          <w:szCs w:val="21"/>
          <w:highlight w:val="none"/>
        </w:rPr>
        <w:t>。</w:t>
      </w:r>
    </w:p>
    <w:p>
      <w:pPr>
        <w:numPr>
          <w:ilvl w:val="0"/>
          <w:numId w:val="55"/>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rPr>
      </w:pPr>
      <w:r>
        <w:rPr>
          <w:rFonts w:hint="eastAsia" w:hAnsi="宋体"/>
          <w:b/>
          <w:bCs/>
          <w:color w:val="auto"/>
          <w:highlight w:val="none"/>
        </w:rPr>
        <w:t>投标总价作为投标报价，用作投标报价得分评审</w:t>
      </w:r>
      <w:r>
        <w:rPr>
          <w:rFonts w:hint="eastAsia" w:hAnsi="宋体"/>
          <w:b w:val="0"/>
          <w:bCs w:val="0"/>
          <w:color w:val="auto"/>
          <w:highlight w:val="none"/>
          <w:lang w:eastAsia="zh-CN"/>
        </w:rPr>
        <w:t>。</w:t>
      </w:r>
    </w:p>
    <w:p>
      <w:pPr>
        <w:numPr>
          <w:ilvl w:val="0"/>
          <w:numId w:val="55"/>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rPr>
      </w:pPr>
      <w:r>
        <w:rPr>
          <w:rFonts w:hint="eastAsia" w:hAnsi="宋体"/>
          <w:b w:val="0"/>
          <w:bCs w:val="0"/>
          <w:color w:val="auto"/>
          <w:highlight w:val="none"/>
          <w:lang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numPr>
          <w:ilvl w:val="0"/>
          <w:numId w:val="12"/>
        </w:numPr>
        <w:adjustRightInd w:val="0"/>
        <w:snapToGrid w:val="0"/>
        <w:spacing w:line="360" w:lineRule="auto"/>
        <w:ind w:left="1109" w:leftChars="0" w:hanging="689" w:firstLineChars="0"/>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lang w:eastAsia="zh-CN"/>
        </w:rPr>
        <w:t>履约保证金</w:t>
      </w:r>
    </w:p>
    <w:p>
      <w:pPr>
        <w:numPr>
          <w:ilvl w:val="0"/>
          <w:numId w:val="56"/>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中标人需在合同签订之日起5个工作日内将履约保证金（合同总金额的5%）</w:t>
      </w:r>
      <w:r>
        <w:rPr>
          <w:rFonts w:hint="eastAsia" w:ascii="宋体" w:hAnsi="宋体" w:eastAsia="宋体" w:cs="宋体"/>
          <w:color w:val="auto"/>
          <w:sz w:val="21"/>
          <w:szCs w:val="21"/>
          <w:highlight w:val="none"/>
        </w:rPr>
        <w:t>汇至</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指定账户</w:t>
      </w:r>
      <w:r>
        <w:rPr>
          <w:rFonts w:hint="eastAsia" w:ascii="宋体" w:hAnsi="宋体" w:eastAsia="宋体" w:cs="宋体"/>
          <w:b w:val="0"/>
          <w:bCs w:val="0"/>
          <w:color w:val="auto"/>
          <w:kern w:val="0"/>
          <w:sz w:val="21"/>
          <w:szCs w:val="21"/>
          <w:highlight w:val="none"/>
          <w:lang w:eastAsia="zh-CN"/>
        </w:rPr>
        <w:t>，合同终止后在满足合同相关条款规定且中标人已切实履行与本项目有关的涉及人、财、物、事的所有责任与义务，且合同期满并完成结算和移交工作并经招标人确认后60天内，招标人应将履约保证金不计利息划回中标人账户。</w:t>
      </w:r>
    </w:p>
    <w:p>
      <w:pPr>
        <w:numPr>
          <w:ilvl w:val="0"/>
          <w:numId w:val="56"/>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合同终止后若中标人有意拖延、拒绝履行与本项目有关的涉及人、财、物、事等方面责任与义务或处理不力时，招标人有权动用履约保证金，解决前述相关事项问题和偿付招标人因此造成的损失，中标人不得有异议。若履约保证金不足以偿付上述解决、处理费用以及招标人的损失时，中标人应继续承担赔偿责任。</w:t>
      </w:r>
    </w:p>
    <w:p>
      <w:pPr>
        <w:numPr>
          <w:ilvl w:val="0"/>
          <w:numId w:val="56"/>
        </w:numPr>
        <w:adjustRightInd w:val="0"/>
        <w:snapToGrid w:val="0"/>
        <w:spacing w:line="360" w:lineRule="auto"/>
        <w:ind w:left="0" w:leftChars="0" w:firstLine="420" w:firstLineChars="0"/>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中标人必须在签订合同生效、收到招标人进场通知后</w:t>
      </w:r>
      <w:r>
        <w:rPr>
          <w:rFonts w:hint="eastAsia" w:ascii="宋体" w:hAnsi="宋体" w:eastAsia="宋体" w:cs="宋体"/>
          <w:b w:val="0"/>
          <w:bCs w:val="0"/>
          <w:color w:val="auto"/>
          <w:kern w:val="0"/>
          <w:sz w:val="21"/>
          <w:szCs w:val="21"/>
          <w:highlight w:val="none"/>
          <w:lang w:val="en-US" w:eastAsia="zh-CN"/>
        </w:rPr>
        <w:t>15</w:t>
      </w:r>
      <w:r>
        <w:rPr>
          <w:rFonts w:hint="eastAsia" w:ascii="宋体" w:hAnsi="宋体" w:eastAsia="宋体" w:cs="宋体"/>
          <w:b w:val="0"/>
          <w:bCs w:val="0"/>
          <w:color w:val="auto"/>
          <w:kern w:val="0"/>
          <w:sz w:val="21"/>
          <w:szCs w:val="21"/>
          <w:highlight w:val="none"/>
          <w:lang w:eastAsia="zh-CN"/>
        </w:rPr>
        <w:t>个日历天内按招标人要求配置齐全部人员、车辆和设备，同时承诺上述全部人员、车辆和设备必须专门用于本项目。否则，招标人有权没收中标人的履约保证金，并解除合同。</w:t>
      </w:r>
    </w:p>
    <w:p>
      <w:pPr>
        <w:numPr>
          <w:ilvl w:val="0"/>
          <w:numId w:val="12"/>
        </w:numPr>
        <w:adjustRightInd w:val="0"/>
        <w:snapToGrid w:val="0"/>
        <w:spacing w:line="360" w:lineRule="auto"/>
        <w:ind w:left="1109" w:leftChars="0" w:hanging="689" w:firstLineChars="0"/>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kern w:val="0"/>
          <w:sz w:val="21"/>
          <w:szCs w:val="21"/>
          <w:highlight w:val="none"/>
          <w:lang w:eastAsia="zh-CN"/>
        </w:rPr>
        <w:t>付款</w:t>
      </w:r>
      <w:r>
        <w:rPr>
          <w:rFonts w:hint="eastAsia" w:ascii="宋体" w:hAnsi="宋体" w:eastAsia="宋体" w:cs="宋体"/>
          <w:b/>
          <w:bCs/>
          <w:color w:val="auto"/>
          <w:sz w:val="21"/>
          <w:szCs w:val="21"/>
          <w:highlight w:val="none"/>
          <w:lang w:eastAsia="zh-CN"/>
        </w:rPr>
        <w:t>方式</w:t>
      </w:r>
    </w:p>
    <w:p>
      <w:pPr>
        <w:numPr>
          <w:ilvl w:val="0"/>
          <w:numId w:val="57"/>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同生效后，招标人在服务期限内按月支付物业管理服务费。招标人收到中标人提交的依法纳税的有效等额服务费增值税专项发票后，结合物业管理服务质量考核情况、园区承担维修扣除费用情况于每月的30日前支付上一个月的物管费用，物业管理服务费用以转账方式转入中标人的银行账户。</w:t>
      </w:r>
    </w:p>
    <w:p>
      <w:pPr>
        <w:numPr>
          <w:ilvl w:val="0"/>
          <w:numId w:val="57"/>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w:t>
      </w:r>
      <w:r>
        <w:rPr>
          <w:rFonts w:hint="eastAsia" w:hAnsi="宋体" w:cs="宋体"/>
          <w:color w:val="auto"/>
          <w:kern w:val="0"/>
          <w:highlight w:val="none"/>
        </w:rPr>
        <w:t>月物业管理费用＝合同总价÷24个月-月度考核、招标人承担维修项目扣除的物业管理费（如有）-</w:t>
      </w:r>
      <w:r>
        <w:rPr>
          <w:rFonts w:hint="eastAsia"/>
          <w:color w:val="auto"/>
          <w:highlight w:val="none"/>
          <w:lang w:eastAsia="zh-CN"/>
        </w:rPr>
        <w:t>月度停车场管理服务费</w:t>
      </w:r>
      <w:r>
        <w:rPr>
          <w:rFonts w:hint="eastAsia" w:hAnsi="宋体" w:cs="宋体"/>
          <w:color w:val="auto"/>
          <w:kern w:val="0"/>
          <w:highlight w:val="none"/>
        </w:rPr>
        <w:t>（如招标人将车场另作他用）</w:t>
      </w:r>
      <w:r>
        <w:rPr>
          <w:rFonts w:hint="eastAsia" w:ascii="宋体" w:hAnsi="宋体" w:eastAsia="宋体" w:cs="宋体"/>
          <w:color w:val="auto"/>
          <w:kern w:val="0"/>
          <w:sz w:val="21"/>
          <w:szCs w:val="21"/>
          <w:highlight w:val="none"/>
        </w:rPr>
        <w:t>。</w:t>
      </w:r>
    </w:p>
    <w:p>
      <w:pPr>
        <w:numPr>
          <w:ilvl w:val="0"/>
          <w:numId w:val="57"/>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中标人为招标人提供服务期间，有临时增加或超出本项目范围的费用，由双方另行商议。</w:t>
      </w:r>
    </w:p>
    <w:p>
      <w:pPr>
        <w:autoSpaceDE w:val="0"/>
        <w:autoSpaceDN w:val="0"/>
        <w:spacing w:line="460" w:lineRule="exact"/>
        <w:ind w:firstLine="630" w:firstLineChars="300"/>
        <w:rPr>
          <w:rFonts w:hint="eastAsia" w:ascii="宋体" w:hAnsi="宋体" w:eastAsia="宋体" w:cs="宋体"/>
          <w:color w:val="auto"/>
          <w:kern w:val="0"/>
          <w:sz w:val="21"/>
          <w:szCs w:val="21"/>
          <w:highlight w:val="none"/>
        </w:rPr>
      </w:pPr>
    </w:p>
    <w:p>
      <w:pPr>
        <w:pStyle w:val="29"/>
        <w:rPr>
          <w:rFonts w:hint="eastAsia" w:ascii="宋体" w:hAnsi="宋体" w:eastAsia="宋体" w:cs="宋体"/>
          <w:bCs/>
          <w:color w:val="auto"/>
          <w:sz w:val="21"/>
          <w:szCs w:val="21"/>
          <w:highlight w:val="none"/>
          <w:lang w:val="zh-CN"/>
        </w:rPr>
      </w:pPr>
    </w:p>
    <w:p>
      <w:pPr>
        <w:adjustRightInd w:val="0"/>
        <w:snapToGrid w:val="0"/>
        <w:spacing w:before="156" w:beforeLines="50" w:after="156" w:afterLines="50" w:line="360" w:lineRule="auto"/>
        <w:jc w:val="center"/>
        <w:outlineLvl w:val="0"/>
        <w:rPr>
          <w:rFonts w:hint="eastAsia" w:ascii="宋体" w:hAnsi="宋体" w:eastAsia="宋体" w:cs="宋体"/>
          <w:b/>
          <w:bCs/>
          <w:color w:val="auto"/>
          <w:sz w:val="21"/>
          <w:szCs w:val="21"/>
          <w:highlight w:val="none"/>
        </w:rPr>
      </w:pPr>
      <w:bookmarkStart w:id="3" w:name="_Toc24320"/>
      <w:r>
        <w:rPr>
          <w:rFonts w:hint="eastAsia" w:ascii="宋体" w:hAnsi="宋体" w:eastAsia="宋体" w:cs="宋体"/>
          <w:b/>
          <w:bCs/>
          <w:color w:val="auto"/>
          <w:sz w:val="21"/>
          <w:szCs w:val="21"/>
          <w:highlight w:val="none"/>
        </w:rPr>
        <w:br w:type="page"/>
      </w:r>
      <w:r>
        <w:rPr>
          <w:rFonts w:hint="eastAsia" w:ascii="Times New Roman" w:hAnsi="Times New Roman" w:eastAsia="宋体"/>
          <w:b/>
          <w:bCs/>
          <w:color w:val="auto"/>
          <w:sz w:val="28"/>
          <w:szCs w:val="28"/>
          <w:highlight w:val="none"/>
        </w:rPr>
        <w:t>第四章  评分体系与标准</w:t>
      </w:r>
      <w:bookmarkEnd w:id="3"/>
    </w:p>
    <w:p>
      <w:pPr>
        <w:numPr>
          <w:ilvl w:val="0"/>
          <w:numId w:val="58"/>
        </w:numPr>
        <w:tabs>
          <w:tab w:val="left" w:pos="630"/>
        </w:tabs>
        <w:autoSpaceDE w:val="0"/>
        <w:autoSpaceDN w:val="0"/>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本评标办法采用综合评分法。</w:t>
      </w:r>
    </w:p>
    <w:p>
      <w:pPr>
        <w:numPr>
          <w:ilvl w:val="0"/>
          <w:numId w:val="58"/>
        </w:numPr>
        <w:tabs>
          <w:tab w:val="left" w:pos="630"/>
        </w:tabs>
        <w:autoSpaceDE w:val="0"/>
        <w:autoSpaceDN w:val="0"/>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评标步骤：评标委员会对投标人的投标文件进行</w:t>
      </w:r>
      <w:r>
        <w:rPr>
          <w:rFonts w:hint="eastAsia" w:ascii="宋体" w:hAnsi="宋体" w:eastAsia="宋体" w:cs="宋体"/>
          <w:color w:val="auto"/>
          <w:sz w:val="21"/>
          <w:szCs w:val="21"/>
          <w:highlight w:val="none"/>
          <w:lang w:val="en-US" w:eastAsia="zh-CN"/>
        </w:rPr>
        <w:t>初</w:t>
      </w:r>
      <w:r>
        <w:rPr>
          <w:rFonts w:hint="eastAsia" w:ascii="宋体" w:hAnsi="宋体" w:eastAsia="宋体" w:cs="宋体"/>
          <w:color w:val="auto"/>
          <w:sz w:val="21"/>
          <w:szCs w:val="21"/>
          <w:highlight w:val="none"/>
        </w:rPr>
        <w:t>审，对</w:t>
      </w:r>
      <w:r>
        <w:rPr>
          <w:rFonts w:hint="eastAsia" w:ascii="宋体" w:hAnsi="宋体" w:eastAsia="宋体" w:cs="宋体"/>
          <w:color w:val="auto"/>
          <w:sz w:val="21"/>
          <w:szCs w:val="21"/>
          <w:highlight w:val="none"/>
          <w:lang w:val="en-US" w:eastAsia="zh-CN"/>
        </w:rPr>
        <w:t>通过初</w:t>
      </w:r>
      <w:r>
        <w:rPr>
          <w:rFonts w:hint="eastAsia" w:ascii="宋体" w:hAnsi="宋体" w:eastAsia="宋体" w:cs="宋体"/>
          <w:color w:val="auto"/>
          <w:sz w:val="21"/>
          <w:szCs w:val="21"/>
          <w:highlight w:val="none"/>
        </w:rPr>
        <w:t>审的投标文件进行技术、商务及价格的详细评审最后评标委员会出具评标报告。</w:t>
      </w:r>
    </w:p>
    <w:p>
      <w:pPr>
        <w:numPr>
          <w:ilvl w:val="0"/>
          <w:numId w:val="58"/>
        </w:numPr>
        <w:tabs>
          <w:tab w:val="left" w:pos="630"/>
        </w:tabs>
        <w:autoSpaceDE w:val="0"/>
        <w:autoSpaceDN w:val="0"/>
        <w:adjustRightInd w:val="0"/>
        <w:snapToGri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评标委员会成员对需要共同认定的事项存在争议的，按照少数服从多数的原则作出结论。</w:t>
      </w:r>
    </w:p>
    <w:p>
      <w:pPr>
        <w:numPr>
          <w:ilvl w:val="0"/>
          <w:numId w:val="58"/>
        </w:numPr>
        <w:tabs>
          <w:tab w:val="left" w:pos="630"/>
        </w:tabs>
        <w:autoSpaceDE w:val="0"/>
        <w:autoSpaceDN w:val="0"/>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及其统计：按照评标程序、评分标准以及权重分配的规定，评标委员会各成员分别就各个投标人的技术状况、商务状况及其对招标文件要求的响应情况进行评议和比较，评出其技术评分和商务评分、价格评分相加得出其综合得分</w:t>
      </w:r>
      <w:r>
        <w:rPr>
          <w:rFonts w:hint="eastAsia" w:ascii="宋体" w:hAnsi="宋体" w:eastAsia="宋体" w:cs="宋体"/>
          <w:color w:val="auto"/>
          <w:sz w:val="21"/>
          <w:szCs w:val="21"/>
          <w:highlight w:val="none"/>
          <w:lang w:eastAsia="zh-CN"/>
        </w:rPr>
        <w:t>。</w:t>
      </w:r>
    </w:p>
    <w:p>
      <w:pPr>
        <w:adjustRightInd w:val="0"/>
        <w:snapToGrid w:val="0"/>
        <w:spacing w:before="156" w:beforeLines="50" w:after="156" w:afterLines="50" w:line="360" w:lineRule="auto"/>
        <w:jc w:val="center"/>
        <w:rPr>
          <w:rFonts w:hint="eastAsia" w:ascii="黑体" w:hAnsi="宋体" w:eastAsia="黑体" w:cs="宋体"/>
          <w:color w:val="auto"/>
          <w:sz w:val="28"/>
          <w:szCs w:val="28"/>
          <w:highlight w:val="none"/>
        </w:rPr>
      </w:pPr>
      <w:r>
        <w:rPr>
          <w:rFonts w:hint="eastAsia" w:ascii="黑体" w:hAnsi="宋体" w:eastAsia="黑体" w:cs="宋体"/>
          <w:color w:val="auto"/>
          <w:sz w:val="28"/>
          <w:szCs w:val="28"/>
          <w:highlight w:val="none"/>
        </w:rPr>
        <w:t>资格性和符合性审查条款</w:t>
      </w:r>
    </w:p>
    <w:p>
      <w:pPr>
        <w:spacing w:line="360" w:lineRule="auto"/>
        <w:rPr>
          <w:rFonts w:hint="eastAsia"/>
          <w:snapToGrid w:val="0"/>
          <w:color w:val="auto"/>
          <w:spacing w:val="8"/>
          <w:highlight w:val="none"/>
        </w:rPr>
      </w:pPr>
      <w:r>
        <w:rPr>
          <w:rFonts w:hint="eastAsia" w:ascii="宋体" w:hAnsi="宋体" w:cs="宋体"/>
          <w:color w:val="auto"/>
          <w:highlight w:val="none"/>
        </w:rPr>
        <w:t>项目名称：千灯湖创投小镇核心区物业管理服务</w:t>
      </w:r>
    </w:p>
    <w:p>
      <w:pPr>
        <w:spacing w:line="360" w:lineRule="auto"/>
        <w:rPr>
          <w:rFonts w:hint="eastAsia"/>
          <w:color w:val="auto"/>
          <w:highlight w:val="none"/>
        </w:rPr>
      </w:pPr>
      <w:r>
        <w:rPr>
          <w:rFonts w:hint="eastAsia" w:ascii="宋体" w:hAnsi="宋体" w:cs="宋体"/>
          <w:color w:val="auto"/>
          <w:highlight w:val="none"/>
        </w:rPr>
        <w:t>项目编号：</w:t>
      </w:r>
      <w:r>
        <w:rPr>
          <w:rFonts w:hint="eastAsia" w:ascii="宋体" w:hAnsi="宋体"/>
          <w:color w:val="auto"/>
          <w:highlight w:val="none"/>
          <w:lang w:eastAsia="zh-CN"/>
        </w:rPr>
        <w:t>GDZC-21GZ198</w:t>
      </w:r>
    </w:p>
    <w:tbl>
      <w:tblPr>
        <w:tblStyle w:val="21"/>
        <w:tblW w:w="9195"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8"/>
        <w:gridCol w:w="82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958" w:type="dxa"/>
            <w:tcBorders>
              <w:tl2br w:val="nil"/>
              <w:tr2bl w:val="nil"/>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8237" w:type="dxa"/>
            <w:tcBorders>
              <w:tl2br w:val="nil"/>
              <w:tr2bl w:val="nil"/>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 审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958" w:type="dxa"/>
            <w:tcBorders>
              <w:tl2br w:val="nil"/>
              <w:tr2bl w:val="nil"/>
            </w:tcBorders>
            <w:vAlign w:val="center"/>
          </w:tcPr>
          <w:p>
            <w:pPr>
              <w:tabs>
                <w:tab w:val="left" w:pos="432"/>
                <w:tab w:val="left" w:pos="612"/>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237" w:type="dxa"/>
            <w:tcBorders>
              <w:tl2br w:val="nil"/>
              <w:tr2bl w:val="nil"/>
            </w:tcBorders>
            <w:vAlign w:val="center"/>
          </w:tcPr>
          <w:p>
            <w:pPr>
              <w:tabs>
                <w:tab w:val="left" w:pos="432"/>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具备招标文件中规定资格要求的及资格证明文件齐全；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958" w:type="dxa"/>
            <w:tcBorders>
              <w:tl2br w:val="nil"/>
              <w:tr2bl w:val="nil"/>
            </w:tcBorders>
            <w:vAlign w:val="center"/>
          </w:tcPr>
          <w:p>
            <w:pPr>
              <w:tabs>
                <w:tab w:val="left" w:pos="612"/>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237" w:type="dxa"/>
            <w:tcBorders>
              <w:tl2br w:val="nil"/>
              <w:tr2bl w:val="nil"/>
            </w:tcBorders>
            <w:vAlign w:val="center"/>
          </w:tcPr>
          <w:p>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投标函已提交并符合招标文件要求的；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958" w:type="dxa"/>
            <w:tcBorders>
              <w:tl2br w:val="nil"/>
              <w:tr2bl w:val="nil"/>
            </w:tcBorders>
            <w:vAlign w:val="center"/>
          </w:tcPr>
          <w:p>
            <w:pPr>
              <w:tabs>
                <w:tab w:val="left" w:pos="612"/>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237" w:type="dxa"/>
            <w:tcBorders>
              <w:tl2br w:val="nil"/>
              <w:tr2bl w:val="nil"/>
            </w:tcBorders>
            <w:vAlign w:val="center"/>
          </w:tcPr>
          <w:p>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投标人按招标文件要求缴纳投标保证金的；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958" w:type="dxa"/>
            <w:tcBorders>
              <w:tl2br w:val="nil"/>
              <w:tr2bl w:val="nil"/>
            </w:tcBorders>
            <w:vAlign w:val="center"/>
          </w:tcPr>
          <w:p>
            <w:pPr>
              <w:tabs>
                <w:tab w:val="left" w:pos="612"/>
              </w:tab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237" w:type="dxa"/>
            <w:tcBorders>
              <w:tl2br w:val="nil"/>
              <w:tr2bl w:val="nil"/>
            </w:tcBorders>
            <w:vAlign w:val="center"/>
          </w:tcPr>
          <w:p>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按照招标文件规定要求签署、盖章且投标文件有法定代表人签字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，或签字人有法定代表人有效授权书的；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958" w:type="dxa"/>
            <w:tcBorders>
              <w:tl2br w:val="nil"/>
              <w:tr2bl w:val="nil"/>
            </w:tcBorders>
            <w:vAlign w:val="center"/>
          </w:tcPr>
          <w:p>
            <w:pPr>
              <w:ind w:left="315" w:hanging="315" w:hangingChars="1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237" w:type="dxa"/>
            <w:tcBorders>
              <w:tl2br w:val="nil"/>
              <w:tr2bl w:val="nil"/>
            </w:tcBorders>
            <w:vAlign w:val="center"/>
          </w:tcPr>
          <w:p>
            <w:pPr>
              <w:ind w:left="315" w:hanging="315" w:hanging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投标报价未超过本项目最高限价的；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958"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8237" w:type="dxa"/>
            <w:tcBorders>
              <w:tl2br w:val="nil"/>
              <w:tr2bl w:val="nil"/>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投标文件完全满足招标文件的实质性条款（即标注★号条款）无负偏离的；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958"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8237" w:type="dxa"/>
            <w:tcBorders>
              <w:tl2br w:val="nil"/>
              <w:tr2bl w:val="nil"/>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投标文件没有招标文件中规定的被视为无效投标的其它条款的；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958"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8237" w:type="dxa"/>
            <w:tcBorders>
              <w:tl2br w:val="nil"/>
              <w:tr2bl w:val="nil"/>
            </w:tcBorders>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按有关法律、法规、规章不属于投标无效的。</w:t>
            </w:r>
          </w:p>
        </w:tc>
      </w:tr>
    </w:tbl>
    <w:p>
      <w:pPr>
        <w:adjustRightInd w:val="0"/>
        <w:snapToGrid w:val="0"/>
        <w:spacing w:before="156" w:beforeLines="50" w:after="156" w:afterLines="50" w:line="360" w:lineRule="auto"/>
        <w:jc w:val="center"/>
        <w:rPr>
          <w:rFonts w:hint="eastAsia" w:ascii="黑体" w:hAnsi="宋体" w:eastAsia="黑体" w:cs="宋体"/>
          <w:color w:val="auto"/>
          <w:sz w:val="28"/>
          <w:szCs w:val="28"/>
          <w:highlight w:val="none"/>
        </w:rPr>
      </w:pPr>
      <w:r>
        <w:rPr>
          <w:rFonts w:hint="eastAsia" w:ascii="宋体" w:hAnsi="宋体" w:eastAsia="宋体" w:cs="宋体"/>
          <w:color w:val="auto"/>
          <w:sz w:val="21"/>
          <w:szCs w:val="21"/>
          <w:highlight w:val="none"/>
        </w:rPr>
        <w:br w:type="page"/>
      </w:r>
      <w:r>
        <w:rPr>
          <w:rFonts w:hint="eastAsia" w:ascii="黑体" w:hAnsi="宋体" w:eastAsia="黑体" w:cs="宋体"/>
          <w:color w:val="auto"/>
          <w:sz w:val="28"/>
          <w:szCs w:val="28"/>
          <w:highlight w:val="none"/>
        </w:rPr>
        <w:t>技术部分评分表</w:t>
      </w:r>
    </w:p>
    <w:p>
      <w:pPr>
        <w:adjustRightInd w:val="0"/>
        <w:snapToGrid w:val="0"/>
        <w:spacing w:before="156" w:beforeLines="50" w:after="156" w:afterLines="50" w:line="360" w:lineRule="auto"/>
        <w:jc w:val="center"/>
        <w:rPr>
          <w:rFonts w:hint="eastAsia" w:ascii="黑体" w:hAnsi="宋体" w:eastAsia="黑体" w:cs="宋体"/>
          <w:color w:val="auto"/>
          <w:sz w:val="28"/>
          <w:szCs w:val="28"/>
          <w:highlight w:val="none"/>
        </w:rPr>
      </w:pPr>
      <w:r>
        <w:rPr>
          <w:rFonts w:hint="eastAsia" w:ascii="黑体" w:hAnsi="宋体" w:eastAsia="黑体" w:cs="宋体"/>
          <w:color w:val="auto"/>
          <w:sz w:val="28"/>
          <w:szCs w:val="28"/>
          <w:highlight w:val="none"/>
        </w:rPr>
        <w:t>（</w:t>
      </w:r>
      <w:r>
        <w:rPr>
          <w:rFonts w:hint="eastAsia" w:ascii="黑体" w:hAnsi="宋体" w:eastAsia="黑体" w:cs="宋体"/>
          <w:color w:val="auto"/>
          <w:sz w:val="28"/>
          <w:szCs w:val="28"/>
          <w:highlight w:val="none"/>
          <w:lang w:val="en-US" w:eastAsia="zh-CN"/>
        </w:rPr>
        <w:t>55</w:t>
      </w:r>
      <w:r>
        <w:rPr>
          <w:rFonts w:hint="eastAsia" w:ascii="黑体" w:hAnsi="宋体" w:eastAsia="黑体" w:cs="宋体"/>
          <w:color w:val="auto"/>
          <w:sz w:val="28"/>
          <w:szCs w:val="28"/>
          <w:highlight w:val="none"/>
        </w:rPr>
        <w:t>分）</w:t>
      </w:r>
    </w:p>
    <w:tbl>
      <w:tblPr>
        <w:tblStyle w:val="21"/>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8"/>
        <w:gridCol w:w="2147"/>
        <w:gridCol w:w="892"/>
        <w:gridCol w:w="54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exact"/>
          <w:jc w:val="center"/>
        </w:trPr>
        <w:tc>
          <w:tcPr>
            <w:tcW w:w="838"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序号</w:t>
            </w:r>
          </w:p>
        </w:tc>
        <w:tc>
          <w:tcPr>
            <w:tcW w:w="2147"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评分因素</w:t>
            </w:r>
          </w:p>
        </w:tc>
        <w:tc>
          <w:tcPr>
            <w:tcW w:w="892"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b/>
                <w:color w:val="auto"/>
                <w:sz w:val="21"/>
                <w:szCs w:val="21"/>
                <w:highlight w:val="none"/>
                <w:u w:val="single"/>
                <w:lang w:eastAsia="zh-CN"/>
              </w:rPr>
            </w:pPr>
            <w:r>
              <w:rPr>
                <w:rFonts w:hint="eastAsia" w:ascii="宋体" w:hAnsi="宋体" w:eastAsia="宋体" w:cs="宋体"/>
                <w:b/>
                <w:color w:val="auto"/>
                <w:sz w:val="21"/>
                <w:szCs w:val="21"/>
                <w:highlight w:val="none"/>
              </w:rPr>
              <w:t>分值</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分</w:t>
            </w:r>
            <w:r>
              <w:rPr>
                <w:rFonts w:hint="eastAsia" w:ascii="宋体" w:hAnsi="宋体" w:eastAsia="宋体" w:cs="宋体"/>
                <w:b/>
                <w:color w:val="auto"/>
                <w:sz w:val="21"/>
                <w:szCs w:val="21"/>
                <w:highlight w:val="none"/>
                <w:lang w:eastAsia="zh-CN"/>
              </w:rPr>
              <w:t>）</w:t>
            </w:r>
          </w:p>
        </w:tc>
        <w:tc>
          <w:tcPr>
            <w:tcW w:w="5449"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评分细则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对项目的熟悉程度</w:t>
            </w:r>
          </w:p>
        </w:tc>
        <w:tc>
          <w:tcPr>
            <w:tcW w:w="892" w:type="dxa"/>
            <w:vAlign w:val="center"/>
          </w:tcPr>
          <w:p>
            <w:pPr>
              <w:widowControl/>
              <w:spacing w:line="24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5</w:t>
            </w:r>
          </w:p>
        </w:tc>
        <w:tc>
          <w:tcPr>
            <w:tcW w:w="5449" w:type="dxa"/>
            <w:vAlign w:val="center"/>
          </w:tcPr>
          <w:p>
            <w:pPr>
              <w:numPr>
                <w:ilvl w:val="0"/>
                <w:numId w:val="0"/>
              </w:numPr>
              <w:ind w:leftChars="0"/>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根据各投标人所提供的项目概况、特点、功能分布、管理重点及难点分析等进行综合评审：</w:t>
            </w:r>
          </w:p>
          <w:p>
            <w:pPr>
              <w:numPr>
                <w:ilvl w:val="0"/>
                <w:numId w:val="6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满足用户需求，</w:t>
            </w:r>
            <w:r>
              <w:rPr>
                <w:rFonts w:hint="eastAsia" w:ascii="宋体" w:hAnsi="宋体" w:eastAsia="宋体" w:cs="宋体"/>
                <w:b w:val="0"/>
                <w:bCs w:val="0"/>
                <w:color w:val="auto"/>
                <w:sz w:val="21"/>
                <w:szCs w:val="21"/>
                <w:highlight w:val="none"/>
                <w:lang w:val="en-US" w:eastAsia="zh-CN"/>
              </w:rPr>
              <w:t xml:space="preserve">对本项目概况、特点、功能分布、管理重点及难点分析，描述详细具体,得5分； </w:t>
            </w:r>
          </w:p>
          <w:p>
            <w:pPr>
              <w:numPr>
                <w:ilvl w:val="0"/>
                <w:numId w:val="6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满足用户需求，</w:t>
            </w:r>
            <w:r>
              <w:rPr>
                <w:rFonts w:hint="eastAsia" w:ascii="宋体" w:hAnsi="宋体" w:eastAsia="宋体" w:cs="宋体"/>
                <w:b w:val="0"/>
                <w:bCs w:val="0"/>
                <w:color w:val="auto"/>
                <w:sz w:val="21"/>
                <w:szCs w:val="21"/>
                <w:highlight w:val="none"/>
                <w:lang w:val="en-US" w:eastAsia="zh-CN"/>
              </w:rPr>
              <w:t>对本项目概况、特点、功能分布、管理重点及难点分析，描述较详细、较具体，得3分；</w:t>
            </w:r>
          </w:p>
          <w:p>
            <w:pPr>
              <w:numPr>
                <w:ilvl w:val="0"/>
                <w:numId w:val="6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较能满足用户需求，</w:t>
            </w:r>
            <w:r>
              <w:rPr>
                <w:rFonts w:hint="eastAsia" w:ascii="宋体" w:hAnsi="宋体" w:eastAsia="宋体" w:cs="宋体"/>
                <w:b w:val="0"/>
                <w:bCs w:val="0"/>
                <w:color w:val="auto"/>
                <w:sz w:val="21"/>
                <w:szCs w:val="21"/>
                <w:highlight w:val="none"/>
                <w:lang w:val="en-US" w:eastAsia="zh-CN"/>
              </w:rPr>
              <w:t xml:space="preserve">对本项目概况、特点、功能分布、管理重点及难点分析，描述简单、不具体，得1分； </w:t>
            </w:r>
          </w:p>
          <w:p>
            <w:pPr>
              <w:numPr>
                <w:ilvl w:val="0"/>
                <w:numId w:val="60"/>
              </w:numPr>
              <w:jc w:val="left"/>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不能满足用户需求或</w:t>
            </w:r>
            <w:r>
              <w:rPr>
                <w:rFonts w:hint="eastAsia" w:ascii="宋体" w:hAnsi="宋体" w:eastAsia="宋体" w:cs="宋体"/>
                <w:b w:val="0"/>
                <w:bCs w:val="0"/>
                <w:color w:val="auto"/>
                <w:sz w:val="21"/>
                <w:szCs w:val="21"/>
                <w:highlight w:val="none"/>
              </w:rPr>
              <w:t>投标人不了解</w:t>
            </w:r>
            <w:r>
              <w:rPr>
                <w:rFonts w:hint="eastAsia" w:ascii="宋体" w:hAnsi="宋体" w:eastAsia="宋体" w:cs="宋体"/>
                <w:b w:val="0"/>
                <w:bCs w:val="0"/>
                <w:color w:val="auto"/>
                <w:sz w:val="21"/>
                <w:szCs w:val="21"/>
                <w:highlight w:val="none"/>
                <w:lang w:val="en-US" w:eastAsia="zh-CN"/>
              </w:rPr>
              <w:t>项目概况、特点、功能分布</w:t>
            </w:r>
            <w:r>
              <w:rPr>
                <w:rFonts w:hint="eastAsia" w:ascii="宋体" w:hAnsi="宋体" w:eastAsia="宋体" w:cs="宋体"/>
                <w:b w:val="0"/>
                <w:bCs w:val="0"/>
                <w:color w:val="auto"/>
                <w:sz w:val="21"/>
                <w:szCs w:val="21"/>
                <w:highlight w:val="none"/>
                <w:lang w:eastAsia="zh-CN"/>
              </w:rPr>
              <w:t>或没有提供不得</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val="en-US" w:eastAsia="zh-CN"/>
              </w:rPr>
              <w:t>。</w:t>
            </w:r>
          </w:p>
          <w:p>
            <w:pPr>
              <w:pStyle w:val="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（提供相关证明材料。）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项目组织方案</w:t>
            </w:r>
          </w:p>
        </w:tc>
        <w:tc>
          <w:tcPr>
            <w:tcW w:w="892" w:type="dxa"/>
            <w:vAlign w:val="center"/>
          </w:tcPr>
          <w:p>
            <w:pPr>
              <w:widowControl/>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5449" w:type="dxa"/>
            <w:vAlign w:val="center"/>
          </w:tcPr>
          <w:p>
            <w:pPr>
              <w:spacing w:line="24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各投标人所提供的项目组织方案内容包括①</w:t>
            </w:r>
            <w:r>
              <w:rPr>
                <w:rFonts w:hint="eastAsia" w:ascii="宋体" w:hAnsi="宋体" w:eastAsia="宋体" w:cs="宋体"/>
                <w:color w:val="auto"/>
                <w:sz w:val="21"/>
                <w:szCs w:val="21"/>
                <w:highlight w:val="none"/>
                <w:lang w:val="en-US" w:eastAsia="zh-Hans"/>
              </w:rPr>
              <w:t>总体服务模式</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包括但不限</w:t>
            </w:r>
            <w:r>
              <w:rPr>
                <w:rFonts w:hint="eastAsia" w:ascii="宋体" w:hAnsi="宋体" w:eastAsia="宋体" w:cs="宋体"/>
                <w:color w:val="auto"/>
                <w:sz w:val="21"/>
                <w:szCs w:val="21"/>
                <w:highlight w:val="none"/>
                <w:lang w:val="en-US" w:eastAsia="zh-CN"/>
              </w:rPr>
              <w:t>于</w:t>
            </w:r>
            <w:r>
              <w:rPr>
                <w:rFonts w:hint="eastAsia" w:ascii="宋体" w:hAnsi="宋体" w:eastAsia="宋体" w:cs="宋体"/>
                <w:color w:val="auto"/>
                <w:sz w:val="21"/>
                <w:szCs w:val="21"/>
                <w:highlight w:val="none"/>
              </w:rPr>
              <w:t>管理目标、</w:t>
            </w:r>
            <w:r>
              <w:rPr>
                <w:rFonts w:hint="eastAsia" w:ascii="宋体" w:hAnsi="宋体" w:eastAsia="宋体" w:cs="宋体"/>
                <w:color w:val="auto"/>
                <w:sz w:val="21"/>
                <w:szCs w:val="21"/>
                <w:highlight w:val="none"/>
                <w:lang w:val="en-US" w:eastAsia="zh-Hans"/>
              </w:rPr>
              <w:t>管理模式</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运作机制</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工作重点等</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及②配套的管理措施</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包括但不限</w:t>
            </w:r>
            <w:r>
              <w:rPr>
                <w:rFonts w:hint="eastAsia" w:ascii="宋体" w:hAnsi="宋体" w:eastAsia="宋体" w:cs="宋体"/>
                <w:color w:val="auto"/>
                <w:sz w:val="21"/>
                <w:szCs w:val="21"/>
                <w:highlight w:val="none"/>
                <w:lang w:val="en-US" w:eastAsia="zh-CN"/>
              </w:rPr>
              <w:t>于</w:t>
            </w:r>
            <w:r>
              <w:rPr>
                <w:rFonts w:hint="eastAsia" w:ascii="宋体" w:hAnsi="宋体" w:eastAsia="宋体" w:cs="宋体"/>
                <w:color w:val="auto"/>
                <w:sz w:val="21"/>
                <w:szCs w:val="21"/>
                <w:highlight w:val="none"/>
                <w:lang w:val="en-US" w:eastAsia="zh-Hans"/>
              </w:rPr>
              <w:t>总体的管理架构</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人员配置</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管理制度</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lang w:val="en-US" w:eastAsia="zh-Hans"/>
              </w:rPr>
              <w:t>服务质量保证等</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进行综合评审</w:t>
            </w:r>
            <w:r>
              <w:rPr>
                <w:rFonts w:hint="eastAsia" w:ascii="宋体" w:hAnsi="宋体" w:eastAsia="宋体" w:cs="宋体"/>
                <w:color w:val="auto"/>
                <w:sz w:val="21"/>
                <w:szCs w:val="21"/>
                <w:highlight w:val="none"/>
                <w:lang w:eastAsia="zh-CN"/>
              </w:rPr>
              <w:t>：</w:t>
            </w:r>
          </w:p>
          <w:p>
            <w:pPr>
              <w:numPr>
                <w:ilvl w:val="0"/>
                <w:numId w:val="61"/>
              </w:num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满足用户需求，</w:t>
            </w:r>
            <w:r>
              <w:rPr>
                <w:rFonts w:hint="eastAsia" w:ascii="宋体" w:hAnsi="宋体" w:eastAsia="宋体" w:cs="宋体"/>
                <w:color w:val="auto"/>
                <w:sz w:val="21"/>
                <w:szCs w:val="21"/>
                <w:highlight w:val="none"/>
              </w:rPr>
              <w:t>总体服务</w:t>
            </w:r>
            <w:r>
              <w:rPr>
                <w:rFonts w:hint="eastAsia" w:ascii="宋体" w:hAnsi="宋体" w:eastAsia="宋体" w:cs="宋体"/>
                <w:color w:val="auto"/>
                <w:sz w:val="21"/>
                <w:szCs w:val="21"/>
                <w:highlight w:val="none"/>
                <w:lang w:val="en-US" w:eastAsia="zh-CN"/>
              </w:rPr>
              <w:t>模式及</w:t>
            </w:r>
            <w:r>
              <w:rPr>
                <w:rFonts w:hint="eastAsia" w:ascii="宋体" w:hAnsi="宋体" w:eastAsia="宋体" w:cs="宋体"/>
                <w:color w:val="auto"/>
                <w:sz w:val="21"/>
                <w:szCs w:val="21"/>
                <w:highlight w:val="none"/>
                <w:lang w:val="en-US" w:eastAsia="zh-Hans"/>
              </w:rPr>
              <w:t>配套的管理措施</w:t>
            </w:r>
            <w:r>
              <w:rPr>
                <w:rFonts w:hint="eastAsia" w:ascii="宋体" w:hAnsi="宋体" w:eastAsia="宋体" w:cs="宋体"/>
                <w:color w:val="auto"/>
                <w:sz w:val="21"/>
                <w:szCs w:val="21"/>
                <w:highlight w:val="none"/>
                <w:lang w:val="en-US" w:eastAsia="zh-CN"/>
              </w:rPr>
              <w:t>科学合理、可行性高</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分； </w:t>
            </w:r>
          </w:p>
          <w:p>
            <w:pPr>
              <w:numPr>
                <w:ilvl w:val="0"/>
                <w:numId w:val="61"/>
              </w:num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满足用户需求，</w:t>
            </w:r>
            <w:r>
              <w:rPr>
                <w:rFonts w:hint="eastAsia" w:ascii="宋体" w:hAnsi="宋体" w:eastAsia="宋体" w:cs="宋体"/>
                <w:color w:val="auto"/>
                <w:sz w:val="21"/>
                <w:szCs w:val="21"/>
                <w:highlight w:val="none"/>
              </w:rPr>
              <w:t>总体服务</w:t>
            </w:r>
            <w:r>
              <w:rPr>
                <w:rFonts w:hint="eastAsia" w:ascii="宋体" w:hAnsi="宋体" w:eastAsia="宋体" w:cs="宋体"/>
                <w:color w:val="auto"/>
                <w:sz w:val="21"/>
                <w:szCs w:val="21"/>
                <w:highlight w:val="none"/>
                <w:lang w:val="en-US" w:eastAsia="zh-CN"/>
              </w:rPr>
              <w:t>模式及</w:t>
            </w:r>
            <w:r>
              <w:rPr>
                <w:rFonts w:hint="eastAsia" w:ascii="宋体" w:hAnsi="宋体" w:eastAsia="宋体" w:cs="宋体"/>
                <w:color w:val="auto"/>
                <w:sz w:val="21"/>
                <w:szCs w:val="21"/>
                <w:highlight w:val="none"/>
                <w:lang w:val="en-US" w:eastAsia="zh-Hans"/>
              </w:rPr>
              <w:t>配套的管理措施</w:t>
            </w:r>
            <w:r>
              <w:rPr>
                <w:rFonts w:hint="eastAsia" w:ascii="宋体" w:hAnsi="宋体" w:eastAsia="宋体" w:cs="宋体"/>
                <w:color w:val="auto"/>
                <w:sz w:val="21"/>
                <w:szCs w:val="21"/>
                <w:highlight w:val="none"/>
                <w:lang w:val="en-US" w:eastAsia="zh-CN"/>
              </w:rPr>
              <w:t>较合理、可行性较高</w:t>
            </w:r>
            <w:r>
              <w:rPr>
                <w:rFonts w:hint="eastAsia" w:ascii="宋体" w:hAnsi="宋体" w:eastAsia="宋体" w:cs="宋体"/>
                <w:color w:val="auto"/>
                <w:sz w:val="21"/>
                <w:szCs w:val="21"/>
                <w:highlight w:val="none"/>
              </w:rPr>
              <w:t>，得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pPr>
              <w:numPr>
                <w:ilvl w:val="0"/>
                <w:numId w:val="61"/>
              </w:num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满足用户需求，</w:t>
            </w:r>
            <w:r>
              <w:rPr>
                <w:rFonts w:hint="eastAsia" w:ascii="宋体" w:hAnsi="宋体" w:eastAsia="宋体" w:cs="宋体"/>
                <w:color w:val="auto"/>
                <w:sz w:val="21"/>
                <w:szCs w:val="21"/>
                <w:highlight w:val="none"/>
              </w:rPr>
              <w:t>总体服务</w:t>
            </w:r>
            <w:r>
              <w:rPr>
                <w:rFonts w:hint="eastAsia" w:ascii="宋体" w:hAnsi="宋体" w:eastAsia="宋体" w:cs="宋体"/>
                <w:color w:val="auto"/>
                <w:sz w:val="21"/>
                <w:szCs w:val="21"/>
                <w:highlight w:val="none"/>
                <w:lang w:val="en-US" w:eastAsia="zh-CN"/>
              </w:rPr>
              <w:t>模式及</w:t>
            </w:r>
            <w:r>
              <w:rPr>
                <w:rFonts w:hint="eastAsia" w:ascii="宋体" w:hAnsi="宋体" w:eastAsia="宋体" w:cs="宋体"/>
                <w:color w:val="auto"/>
                <w:sz w:val="21"/>
                <w:szCs w:val="21"/>
                <w:highlight w:val="none"/>
                <w:lang w:val="en-US" w:eastAsia="zh-Hans"/>
              </w:rPr>
              <w:t>配套的管理措施</w:t>
            </w:r>
            <w:r>
              <w:rPr>
                <w:rFonts w:hint="eastAsia" w:ascii="宋体" w:hAnsi="宋体" w:eastAsia="宋体" w:cs="宋体"/>
                <w:color w:val="auto"/>
                <w:sz w:val="21"/>
                <w:szCs w:val="21"/>
                <w:highlight w:val="none"/>
                <w:lang w:val="en-US" w:eastAsia="zh-CN"/>
              </w:rPr>
              <w:t>合理性较差、可行性较差</w:t>
            </w:r>
            <w:r>
              <w:rPr>
                <w:rFonts w:hint="eastAsia" w:ascii="宋体" w:hAnsi="宋体" w:eastAsia="宋体" w:cs="宋体"/>
                <w:color w:val="auto"/>
                <w:sz w:val="21"/>
                <w:szCs w:val="21"/>
                <w:highlight w:val="none"/>
              </w:rPr>
              <w:t xml:space="preserve">，得1分； </w:t>
            </w:r>
          </w:p>
          <w:p>
            <w:pPr>
              <w:numPr>
                <w:ilvl w:val="0"/>
                <w:numId w:val="61"/>
              </w:numPr>
              <w:ind w:left="425" w:leftChars="0" w:hanging="425"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不能满足用户需求或</w:t>
            </w:r>
            <w:r>
              <w:rPr>
                <w:rFonts w:hint="eastAsia" w:ascii="宋体" w:hAnsi="宋体" w:eastAsia="宋体" w:cs="宋体"/>
                <w:color w:val="auto"/>
                <w:sz w:val="21"/>
                <w:szCs w:val="21"/>
                <w:highlight w:val="none"/>
              </w:rPr>
              <w:t>总体服务</w:t>
            </w:r>
            <w:r>
              <w:rPr>
                <w:rFonts w:hint="eastAsia" w:ascii="宋体" w:hAnsi="宋体" w:eastAsia="宋体" w:cs="宋体"/>
                <w:color w:val="auto"/>
                <w:sz w:val="21"/>
                <w:szCs w:val="21"/>
                <w:highlight w:val="none"/>
                <w:lang w:val="en-US" w:eastAsia="zh-CN"/>
              </w:rPr>
              <w:t>模式及</w:t>
            </w:r>
            <w:r>
              <w:rPr>
                <w:rFonts w:hint="eastAsia" w:ascii="宋体" w:hAnsi="宋体" w:eastAsia="宋体" w:cs="宋体"/>
                <w:color w:val="auto"/>
                <w:sz w:val="21"/>
                <w:szCs w:val="21"/>
                <w:highlight w:val="none"/>
                <w:lang w:val="en-US" w:eastAsia="zh-Hans"/>
              </w:rPr>
              <w:t>配套的管理措施</w:t>
            </w:r>
            <w:r>
              <w:rPr>
                <w:rFonts w:hint="eastAsia" w:ascii="宋体" w:hAnsi="宋体" w:eastAsia="宋体" w:cs="宋体"/>
                <w:color w:val="auto"/>
                <w:sz w:val="21"/>
                <w:szCs w:val="21"/>
                <w:highlight w:val="none"/>
                <w:lang w:val="en-US" w:eastAsia="zh-CN"/>
              </w:rPr>
              <w:t>不合理、可行性较差</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rPr>
              <w:t>提供方案</w:t>
            </w:r>
            <w:r>
              <w:rPr>
                <w:rFonts w:hint="eastAsia" w:ascii="宋体" w:hAnsi="宋体" w:eastAsia="宋体" w:cs="宋体"/>
                <w:color w:val="auto"/>
                <w:sz w:val="21"/>
                <w:szCs w:val="21"/>
                <w:highlight w:val="none"/>
                <w:lang w:val="en-US" w:eastAsia="zh-Hans"/>
              </w:rPr>
              <w:t>不得分</w:t>
            </w:r>
            <w:r>
              <w:rPr>
                <w:rFonts w:hint="eastAsia" w:ascii="宋体" w:hAnsi="宋体" w:eastAsia="宋体" w:cs="宋体"/>
                <w:color w:val="auto"/>
                <w:sz w:val="21"/>
                <w:szCs w:val="21"/>
                <w:highlight w:val="none"/>
              </w:rPr>
              <w:t>。</w:t>
            </w:r>
          </w:p>
          <w:p>
            <w:pPr>
              <w:pStyle w:val="3"/>
              <w:rPr>
                <w:rFonts w:hint="eastAsia" w:ascii="宋体" w:hAnsi="宋体" w:eastAsia="宋体" w:cs="宋体"/>
                <w:color w:val="auto"/>
                <w:sz w:val="21"/>
                <w:szCs w:val="21"/>
                <w:highlight w:val="none"/>
              </w:rPr>
            </w:pPr>
            <w:r>
              <w:rPr>
                <w:rFonts w:hint="eastAsia" w:ascii="宋体" w:hAnsi="宋体" w:eastAsia="宋体" w:cs="宋体"/>
                <w:b w:val="0"/>
                <w:bCs w:val="0"/>
                <w:color w:val="auto"/>
                <w:kern w:val="0"/>
                <w:sz w:val="21"/>
                <w:szCs w:val="21"/>
                <w:highlight w:val="none"/>
                <w:lang w:val="en-US" w:eastAsia="zh-CN"/>
              </w:rPr>
              <w:t>（提供相关证明材料。）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安保服务方案</w:t>
            </w:r>
          </w:p>
        </w:tc>
        <w:tc>
          <w:tcPr>
            <w:tcW w:w="892" w:type="dxa"/>
            <w:vAlign w:val="center"/>
          </w:tcPr>
          <w:p>
            <w:pPr>
              <w:widowControl/>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5449" w:type="dxa"/>
            <w:vAlign w:val="center"/>
          </w:tcPr>
          <w:p>
            <w:pPr>
              <w:spacing w:line="24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根据</w:t>
            </w:r>
            <w:r>
              <w:rPr>
                <w:rFonts w:hint="eastAsia" w:ascii="宋体" w:hAnsi="宋体" w:eastAsia="宋体" w:cs="宋体"/>
                <w:color w:val="auto"/>
                <w:kern w:val="0"/>
                <w:sz w:val="21"/>
                <w:szCs w:val="21"/>
                <w:highlight w:val="none"/>
              </w:rPr>
              <w:t>各投标人所提供的安保服务方案（</w:t>
            </w:r>
            <w:r>
              <w:rPr>
                <w:rFonts w:hint="eastAsia" w:ascii="宋体" w:hAnsi="宋体" w:eastAsia="宋体" w:cs="宋体"/>
                <w:color w:val="auto"/>
                <w:kern w:val="0"/>
                <w:sz w:val="21"/>
                <w:szCs w:val="21"/>
                <w:highlight w:val="none"/>
                <w:lang w:val="en-US" w:eastAsia="zh-Hans"/>
              </w:rPr>
              <w:t>包括但不限</w:t>
            </w:r>
            <w:r>
              <w:rPr>
                <w:rFonts w:hint="eastAsia" w:ascii="宋体" w:hAnsi="宋体" w:eastAsia="宋体" w:cs="宋体"/>
                <w:color w:val="auto"/>
                <w:kern w:val="0"/>
                <w:sz w:val="21"/>
                <w:szCs w:val="21"/>
                <w:highlight w:val="none"/>
                <w:lang w:val="en-US" w:eastAsia="zh-CN"/>
              </w:rPr>
              <w:t>于</w:t>
            </w:r>
            <w:r>
              <w:rPr>
                <w:rFonts w:hint="eastAsia" w:ascii="宋体" w:hAnsi="宋体" w:eastAsia="宋体" w:cs="宋体"/>
                <w:color w:val="auto"/>
                <w:kern w:val="0"/>
                <w:sz w:val="21"/>
                <w:szCs w:val="21"/>
                <w:highlight w:val="none"/>
                <w:lang w:val="en-US" w:eastAsia="zh-Hans"/>
              </w:rPr>
              <w:t>公共安全秩序维护</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交通秩序管理</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消防安全管理等</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rPr>
              <w:t>进行综合评审</w:t>
            </w:r>
            <w:r>
              <w:rPr>
                <w:rFonts w:hint="eastAsia" w:ascii="宋体" w:hAnsi="宋体" w:eastAsia="宋体" w:cs="宋体"/>
                <w:color w:val="auto"/>
                <w:kern w:val="0"/>
                <w:sz w:val="21"/>
                <w:szCs w:val="21"/>
                <w:highlight w:val="none"/>
                <w:lang w:eastAsia="zh-CN"/>
              </w:rPr>
              <w:t>：</w:t>
            </w:r>
          </w:p>
          <w:p>
            <w:pPr>
              <w:numPr>
                <w:ilvl w:val="0"/>
                <w:numId w:val="62"/>
              </w:numPr>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有详细的安保服务方案，能详细且准确地描述出项目实施中各安保事项的内容、具体任务。岗位责任落实到位、清晰且能科学地把握各个关键节点，逻辑性强，可操作性强，能提出优于</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的承诺，得</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 xml:space="preserve">分； </w:t>
            </w:r>
          </w:p>
          <w:p>
            <w:pPr>
              <w:numPr>
                <w:ilvl w:val="0"/>
                <w:numId w:val="62"/>
              </w:numPr>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有较为详细的安保服务方案，较准确地描述出项目实施中各安保事项的基本内容，基本任务。有相对明确的岗位责任制度，基本能把控好各个关键节点，可操作性较强，有一定针对性，完全满足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书的</w:t>
            </w:r>
            <w:r>
              <w:rPr>
                <w:rFonts w:hint="eastAsia" w:ascii="宋体" w:hAnsi="宋体" w:eastAsia="宋体" w:cs="宋体"/>
                <w:color w:val="auto"/>
                <w:kern w:val="0"/>
                <w:sz w:val="21"/>
                <w:szCs w:val="21"/>
                <w:highlight w:val="none"/>
              </w:rPr>
              <w:t>，得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 xml:space="preserve">分； </w:t>
            </w:r>
          </w:p>
          <w:p>
            <w:pPr>
              <w:numPr>
                <w:ilvl w:val="0"/>
                <w:numId w:val="62"/>
              </w:numPr>
              <w:ind w:left="425" w:leftChars="0" w:hanging="425"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rPr>
              <w:t>有基本的安保服务方案，基本能指出各安保事项的基本内容，基本任务。亦有对关键节点进行描述，内容基本满足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书的</w:t>
            </w:r>
            <w:r>
              <w:rPr>
                <w:rFonts w:hint="eastAsia" w:ascii="宋体" w:hAnsi="宋体" w:eastAsia="宋体" w:cs="宋体"/>
                <w:color w:val="auto"/>
                <w:kern w:val="0"/>
                <w:sz w:val="21"/>
                <w:szCs w:val="21"/>
                <w:highlight w:val="none"/>
              </w:rPr>
              <w:t>，得1分；</w:t>
            </w:r>
          </w:p>
          <w:p>
            <w:pPr>
              <w:numPr>
                <w:ilvl w:val="0"/>
                <w:numId w:val="62"/>
              </w:numPr>
              <w:ind w:left="425" w:leftChars="0" w:hanging="425"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提供方案</w:t>
            </w:r>
            <w:r>
              <w:rPr>
                <w:rFonts w:hint="eastAsia" w:ascii="宋体" w:hAnsi="宋体" w:eastAsia="宋体" w:cs="宋体"/>
                <w:color w:val="auto"/>
                <w:kern w:val="0"/>
                <w:sz w:val="21"/>
                <w:szCs w:val="21"/>
                <w:highlight w:val="none"/>
                <w:lang w:val="en-US" w:eastAsia="zh-Hans"/>
              </w:rPr>
              <w:t>不得分</w:t>
            </w:r>
            <w:r>
              <w:rPr>
                <w:rFonts w:hint="eastAsia" w:ascii="宋体" w:hAnsi="宋体" w:eastAsia="宋体" w:cs="宋体"/>
                <w:color w:val="auto"/>
                <w:kern w:val="0"/>
                <w:sz w:val="21"/>
                <w:szCs w:val="21"/>
                <w:highlight w:val="none"/>
                <w:lang w:val="en-US" w:eastAsia="zh-CN"/>
              </w:rPr>
              <w:t>。</w:t>
            </w:r>
          </w:p>
          <w:p>
            <w:pPr>
              <w:numPr>
                <w:ilvl w:val="0"/>
                <w:numId w:val="0"/>
              </w:numPr>
              <w:ind w:leftChars="0"/>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（提供相关证明材料。）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rPr>
              <w:t>工程服务方案</w:t>
            </w:r>
          </w:p>
        </w:tc>
        <w:tc>
          <w:tcPr>
            <w:tcW w:w="892" w:type="dxa"/>
            <w:vAlign w:val="center"/>
          </w:tcPr>
          <w:p>
            <w:pPr>
              <w:widowControl/>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449" w:type="dxa"/>
            <w:vAlign w:val="center"/>
          </w:tcPr>
          <w:p>
            <w:pPr>
              <w:spacing w:line="24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根据</w:t>
            </w:r>
            <w:r>
              <w:rPr>
                <w:rFonts w:hint="eastAsia" w:ascii="宋体" w:hAnsi="宋体" w:eastAsia="宋体" w:cs="宋体"/>
                <w:color w:val="auto"/>
                <w:kern w:val="0"/>
                <w:sz w:val="21"/>
                <w:szCs w:val="21"/>
                <w:highlight w:val="none"/>
              </w:rPr>
              <w:t>各投标人所提供的工程服务方案（</w:t>
            </w:r>
            <w:r>
              <w:rPr>
                <w:rFonts w:hint="eastAsia" w:ascii="宋体" w:hAnsi="宋体" w:eastAsia="宋体" w:cs="宋体"/>
                <w:color w:val="auto"/>
                <w:kern w:val="0"/>
                <w:sz w:val="21"/>
                <w:szCs w:val="21"/>
                <w:highlight w:val="none"/>
                <w:lang w:val="en-US" w:eastAsia="zh-Hans"/>
              </w:rPr>
              <w:t>包括但不限</w:t>
            </w:r>
            <w:r>
              <w:rPr>
                <w:rFonts w:hint="eastAsia" w:ascii="宋体" w:hAnsi="宋体" w:eastAsia="宋体" w:cs="宋体"/>
                <w:color w:val="auto"/>
                <w:kern w:val="0"/>
                <w:sz w:val="21"/>
                <w:szCs w:val="21"/>
                <w:highlight w:val="none"/>
                <w:lang w:val="en-US" w:eastAsia="zh-CN"/>
              </w:rPr>
              <w:t>于对</w:t>
            </w:r>
            <w:r>
              <w:rPr>
                <w:rFonts w:hint="eastAsia" w:ascii="宋体" w:hAnsi="宋体" w:eastAsia="宋体" w:cs="宋体"/>
                <w:color w:val="auto"/>
                <w:kern w:val="0"/>
                <w:sz w:val="21"/>
                <w:szCs w:val="21"/>
                <w:highlight w:val="none"/>
                <w:lang w:val="en-US" w:eastAsia="zh-Hans"/>
              </w:rPr>
              <w:t>公共照明系统</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给排水系统</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排污系统</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弱电系统</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中央空调系统</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电梯</w:t>
            </w:r>
            <w:r>
              <w:rPr>
                <w:rFonts w:hint="eastAsia" w:ascii="宋体" w:hAnsi="宋体" w:eastAsia="宋体" w:cs="宋体"/>
                <w:color w:val="auto"/>
                <w:kern w:val="0"/>
                <w:sz w:val="21"/>
                <w:szCs w:val="21"/>
                <w:highlight w:val="none"/>
              </w:rPr>
              <w:t>维护管理和维修</w:t>
            </w:r>
            <w:r>
              <w:rPr>
                <w:rFonts w:hint="eastAsia" w:ascii="宋体" w:hAnsi="宋体" w:eastAsia="宋体" w:cs="宋体"/>
                <w:color w:val="auto"/>
                <w:kern w:val="0"/>
                <w:sz w:val="21"/>
                <w:szCs w:val="21"/>
                <w:highlight w:val="none"/>
                <w:lang w:val="en-US" w:eastAsia="zh-Hans"/>
              </w:rPr>
              <w:t>等</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rPr>
              <w:t>进行综合评审</w:t>
            </w:r>
            <w:r>
              <w:rPr>
                <w:rFonts w:hint="eastAsia" w:ascii="宋体" w:hAnsi="宋体" w:eastAsia="宋体" w:cs="宋体"/>
                <w:color w:val="auto"/>
                <w:kern w:val="0"/>
                <w:sz w:val="21"/>
                <w:szCs w:val="21"/>
                <w:highlight w:val="none"/>
                <w:lang w:eastAsia="zh-CN"/>
              </w:rPr>
              <w:t>：</w:t>
            </w:r>
          </w:p>
          <w:p>
            <w:pPr>
              <w:numPr>
                <w:ilvl w:val="0"/>
                <w:numId w:val="63"/>
              </w:numPr>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详细的设施设备维护管理和维修方案，能详细且准确地描述出项目实施中各设施设备维护管理和维修事项的内容、具体任务。岗位责任落实到位、清晰且能科学地把握各个关键节点，逻辑性强，可操作性强，能提出优于</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的承诺，得</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 xml:space="preserve">分； </w:t>
            </w:r>
          </w:p>
          <w:p>
            <w:pPr>
              <w:numPr>
                <w:ilvl w:val="0"/>
                <w:numId w:val="63"/>
              </w:numPr>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较为详细的设施设备维护管理和维修方案，较准确地描述出项目实施中各设施设备维护管理和维修事项的基本内容，基本任务。有相对明确的岗位责任制度，基本能把控好各个关键节点，可操作性较强，有一定针对性，完全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书的</w:t>
            </w:r>
            <w:r>
              <w:rPr>
                <w:rFonts w:hint="eastAsia" w:ascii="宋体" w:hAnsi="宋体" w:eastAsia="宋体" w:cs="宋体"/>
                <w:color w:val="auto"/>
                <w:kern w:val="0"/>
                <w:sz w:val="21"/>
                <w:szCs w:val="21"/>
                <w:highlight w:val="none"/>
              </w:rPr>
              <w:t xml:space="preserve">，得2分； </w:t>
            </w:r>
          </w:p>
          <w:p>
            <w:pPr>
              <w:numPr>
                <w:ilvl w:val="0"/>
                <w:numId w:val="63"/>
              </w:numPr>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有基本的设施设备维护管理和维修方案，基本能指出各设施设备维护管理和维修事项的基本内容，基本任务。亦有对关键节点进行描述，内容基本满足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书的</w:t>
            </w:r>
            <w:r>
              <w:rPr>
                <w:rFonts w:hint="eastAsia" w:ascii="宋体" w:hAnsi="宋体" w:eastAsia="宋体" w:cs="宋体"/>
                <w:color w:val="auto"/>
                <w:kern w:val="0"/>
                <w:sz w:val="21"/>
                <w:szCs w:val="21"/>
                <w:highlight w:val="none"/>
              </w:rPr>
              <w:t xml:space="preserve">，得1分； </w:t>
            </w:r>
          </w:p>
          <w:p>
            <w:pPr>
              <w:numPr>
                <w:ilvl w:val="0"/>
                <w:numId w:val="63"/>
              </w:numPr>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提供方案</w:t>
            </w:r>
            <w:r>
              <w:rPr>
                <w:rFonts w:hint="eastAsia" w:ascii="宋体" w:hAnsi="宋体" w:eastAsia="宋体" w:cs="宋体"/>
                <w:color w:val="auto"/>
                <w:kern w:val="0"/>
                <w:sz w:val="21"/>
                <w:szCs w:val="21"/>
                <w:highlight w:val="none"/>
                <w:lang w:val="en-US" w:eastAsia="zh-Hans"/>
              </w:rPr>
              <w:t>不得分</w:t>
            </w:r>
            <w:r>
              <w:rPr>
                <w:rFonts w:hint="eastAsia" w:ascii="宋体" w:hAnsi="宋体" w:eastAsia="宋体" w:cs="宋体"/>
                <w:color w:val="auto"/>
                <w:kern w:val="0"/>
                <w:sz w:val="21"/>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Hans"/>
              </w:rPr>
              <w:t>环境</w:t>
            </w:r>
            <w:r>
              <w:rPr>
                <w:rFonts w:hint="eastAsia" w:ascii="宋体" w:hAnsi="宋体" w:eastAsia="宋体" w:cs="宋体"/>
                <w:color w:val="auto"/>
                <w:kern w:val="0"/>
                <w:sz w:val="21"/>
                <w:szCs w:val="21"/>
                <w:highlight w:val="none"/>
              </w:rPr>
              <w:t>保洁服务方案</w:t>
            </w:r>
          </w:p>
        </w:tc>
        <w:tc>
          <w:tcPr>
            <w:tcW w:w="892" w:type="dxa"/>
            <w:vAlign w:val="center"/>
          </w:tcPr>
          <w:p>
            <w:pPr>
              <w:widowControl/>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449" w:type="dxa"/>
            <w:vAlign w:val="center"/>
          </w:tcPr>
          <w:p>
            <w:pPr>
              <w:spacing w:line="24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根据</w:t>
            </w:r>
            <w:r>
              <w:rPr>
                <w:rFonts w:hint="eastAsia" w:ascii="宋体" w:hAnsi="宋体" w:eastAsia="宋体" w:cs="宋体"/>
                <w:color w:val="auto"/>
                <w:kern w:val="0"/>
                <w:sz w:val="21"/>
                <w:szCs w:val="21"/>
                <w:highlight w:val="none"/>
              </w:rPr>
              <w:t>各投标人所提供的</w:t>
            </w:r>
            <w:r>
              <w:rPr>
                <w:rFonts w:hint="eastAsia" w:ascii="宋体" w:hAnsi="宋体" w:eastAsia="宋体" w:cs="宋体"/>
                <w:color w:val="auto"/>
                <w:kern w:val="0"/>
                <w:sz w:val="21"/>
                <w:szCs w:val="21"/>
                <w:highlight w:val="none"/>
                <w:lang w:val="en-US" w:eastAsia="zh-Hans"/>
              </w:rPr>
              <w:t>环境</w:t>
            </w:r>
            <w:r>
              <w:rPr>
                <w:rFonts w:hint="eastAsia" w:ascii="宋体" w:hAnsi="宋体" w:eastAsia="宋体" w:cs="宋体"/>
                <w:color w:val="auto"/>
                <w:kern w:val="0"/>
                <w:sz w:val="21"/>
                <w:szCs w:val="21"/>
                <w:highlight w:val="none"/>
              </w:rPr>
              <w:t>保洁服务方案（</w:t>
            </w:r>
            <w:r>
              <w:rPr>
                <w:rFonts w:hint="eastAsia" w:ascii="宋体" w:hAnsi="宋体" w:eastAsia="宋体" w:cs="宋体"/>
                <w:color w:val="auto"/>
                <w:kern w:val="0"/>
                <w:sz w:val="21"/>
                <w:szCs w:val="21"/>
                <w:highlight w:val="none"/>
                <w:lang w:val="en-US" w:eastAsia="zh-Hans"/>
              </w:rPr>
              <w:t>包括但不限于日常清洁</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专业清洁</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防疫卫生</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sz w:val="21"/>
                <w:szCs w:val="21"/>
                <w:highlight w:val="none"/>
              </w:rPr>
              <w:t>垃圾分类收归处理、垃圾分类培训</w:t>
            </w:r>
            <w:r>
              <w:rPr>
                <w:rFonts w:hint="eastAsia" w:ascii="宋体" w:hAnsi="宋体" w:eastAsia="宋体" w:cs="宋体"/>
                <w:color w:val="auto"/>
                <w:sz w:val="21"/>
                <w:szCs w:val="21"/>
                <w:highlight w:val="none"/>
                <w:lang w:val="en-US" w:eastAsia="zh-Hans"/>
              </w:rPr>
              <w:t>等</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kern w:val="0"/>
                <w:sz w:val="21"/>
                <w:szCs w:val="21"/>
                <w:highlight w:val="none"/>
              </w:rPr>
              <w:t>进行综合评审</w:t>
            </w:r>
            <w:r>
              <w:rPr>
                <w:rFonts w:hint="eastAsia" w:ascii="宋体" w:hAnsi="宋体" w:eastAsia="宋体" w:cs="宋体"/>
                <w:color w:val="auto"/>
                <w:kern w:val="0"/>
                <w:sz w:val="21"/>
                <w:szCs w:val="21"/>
                <w:highlight w:val="none"/>
                <w:lang w:eastAsia="zh-CN"/>
              </w:rPr>
              <w:t>：</w:t>
            </w:r>
          </w:p>
          <w:p>
            <w:pPr>
              <w:numPr>
                <w:ilvl w:val="0"/>
                <w:numId w:val="64"/>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Hans"/>
              </w:rPr>
              <w:t>环境</w:t>
            </w:r>
            <w:r>
              <w:rPr>
                <w:rFonts w:hint="eastAsia" w:ascii="宋体" w:hAnsi="宋体" w:eastAsia="宋体" w:cs="宋体"/>
                <w:color w:val="auto"/>
                <w:kern w:val="0"/>
                <w:sz w:val="21"/>
                <w:szCs w:val="21"/>
                <w:highlight w:val="none"/>
              </w:rPr>
              <w:t>保洁服务方案针对性</w:t>
            </w:r>
            <w:r>
              <w:rPr>
                <w:rFonts w:hint="eastAsia" w:ascii="宋体" w:hAnsi="宋体" w:eastAsia="宋体" w:cs="宋体"/>
                <w:color w:val="auto"/>
                <w:kern w:val="0"/>
                <w:sz w:val="21"/>
                <w:szCs w:val="21"/>
                <w:highlight w:val="none"/>
                <w:lang w:val="en-US" w:eastAsia="zh-CN"/>
              </w:rPr>
              <w:t>强</w:t>
            </w:r>
            <w:r>
              <w:rPr>
                <w:rFonts w:hint="eastAsia" w:ascii="宋体" w:hAnsi="宋体" w:eastAsia="宋体" w:cs="宋体"/>
                <w:color w:val="auto"/>
                <w:kern w:val="0"/>
                <w:sz w:val="21"/>
                <w:szCs w:val="21"/>
                <w:highlight w:val="none"/>
              </w:rPr>
              <w:t>、有创新且提供的方案</w:t>
            </w:r>
            <w:r>
              <w:rPr>
                <w:rFonts w:hint="eastAsia" w:ascii="宋体" w:hAnsi="宋体" w:eastAsia="宋体" w:cs="宋体"/>
                <w:color w:val="auto"/>
                <w:kern w:val="0"/>
                <w:sz w:val="21"/>
                <w:szCs w:val="21"/>
                <w:highlight w:val="none"/>
                <w:lang w:val="en-US" w:eastAsia="zh-CN"/>
              </w:rPr>
              <w:t>科学</w:t>
            </w:r>
            <w:r>
              <w:rPr>
                <w:rFonts w:hint="eastAsia" w:ascii="宋体" w:hAnsi="宋体" w:eastAsia="宋体" w:cs="宋体"/>
                <w:color w:val="auto"/>
                <w:kern w:val="0"/>
                <w:sz w:val="21"/>
                <w:szCs w:val="21"/>
                <w:highlight w:val="none"/>
              </w:rPr>
              <w:t>合理，</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操作性高，完全满足且优于</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，得</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分</w:t>
            </w:r>
            <w:r>
              <w:rPr>
                <w:rFonts w:hint="eastAsia" w:ascii="宋体" w:hAnsi="宋体" w:eastAsia="宋体" w:cs="宋体"/>
                <w:color w:val="auto"/>
                <w:kern w:val="0"/>
                <w:sz w:val="21"/>
                <w:szCs w:val="21"/>
                <w:highlight w:val="none"/>
              </w:rPr>
              <w:t xml:space="preserve">； </w:t>
            </w:r>
          </w:p>
          <w:p>
            <w:pPr>
              <w:numPr>
                <w:ilvl w:val="0"/>
                <w:numId w:val="64"/>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Hans"/>
              </w:rPr>
              <w:t>环境</w:t>
            </w:r>
            <w:r>
              <w:rPr>
                <w:rFonts w:hint="eastAsia" w:ascii="宋体" w:hAnsi="宋体" w:eastAsia="宋体" w:cs="宋体"/>
                <w:color w:val="auto"/>
                <w:kern w:val="0"/>
                <w:sz w:val="21"/>
                <w:szCs w:val="21"/>
                <w:highlight w:val="none"/>
              </w:rPr>
              <w:t>保洁服务方案分析</w:t>
            </w:r>
            <w:r>
              <w:rPr>
                <w:rFonts w:hint="eastAsia" w:ascii="宋体" w:hAnsi="宋体" w:eastAsia="宋体" w:cs="宋体"/>
                <w:color w:val="auto"/>
                <w:kern w:val="0"/>
                <w:sz w:val="21"/>
                <w:szCs w:val="21"/>
                <w:highlight w:val="none"/>
                <w:lang w:val="en-US" w:eastAsia="zh-CN"/>
              </w:rPr>
              <w:t>较</w:t>
            </w:r>
            <w:r>
              <w:rPr>
                <w:rFonts w:hint="eastAsia" w:ascii="宋体" w:hAnsi="宋体" w:eastAsia="宋体" w:cs="宋体"/>
                <w:color w:val="auto"/>
                <w:kern w:val="0"/>
                <w:sz w:val="21"/>
                <w:szCs w:val="21"/>
                <w:highlight w:val="none"/>
              </w:rPr>
              <w:t>合理、</w:t>
            </w:r>
            <w:r>
              <w:rPr>
                <w:rFonts w:hint="eastAsia" w:ascii="宋体" w:hAnsi="宋体" w:eastAsia="宋体" w:cs="宋体"/>
                <w:color w:val="auto"/>
                <w:kern w:val="0"/>
                <w:sz w:val="21"/>
                <w:szCs w:val="21"/>
                <w:highlight w:val="none"/>
                <w:lang w:val="en-US" w:eastAsia="zh-CN"/>
              </w:rPr>
              <w:t>较</w:t>
            </w:r>
            <w:r>
              <w:rPr>
                <w:rFonts w:hint="eastAsia" w:ascii="宋体" w:hAnsi="宋体" w:eastAsia="宋体" w:cs="宋体"/>
                <w:color w:val="auto"/>
                <w:kern w:val="0"/>
                <w:sz w:val="21"/>
                <w:szCs w:val="21"/>
                <w:highlight w:val="none"/>
              </w:rPr>
              <w:t>有针对性、</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操作性</w:t>
            </w:r>
            <w:r>
              <w:rPr>
                <w:rFonts w:hint="eastAsia" w:ascii="宋体" w:hAnsi="宋体" w:eastAsia="宋体" w:cs="宋体"/>
                <w:color w:val="auto"/>
                <w:kern w:val="0"/>
                <w:sz w:val="21"/>
                <w:szCs w:val="21"/>
                <w:highlight w:val="none"/>
                <w:lang w:val="en-US" w:eastAsia="zh-CN"/>
              </w:rPr>
              <w:t>一般</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完全满足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，得</w:t>
            </w:r>
            <w:r>
              <w:rPr>
                <w:rFonts w:hint="eastAsia" w:ascii="宋体" w:hAnsi="宋体" w:eastAsia="宋体" w:cs="宋体"/>
                <w:color w:val="auto"/>
                <w:kern w:val="0"/>
                <w:sz w:val="21"/>
                <w:szCs w:val="21"/>
                <w:highlight w:val="none"/>
                <w:lang w:eastAsia="zh-CN"/>
              </w:rPr>
              <w:t>2分</w:t>
            </w:r>
            <w:r>
              <w:rPr>
                <w:rFonts w:hint="eastAsia" w:ascii="宋体" w:hAnsi="宋体" w:eastAsia="宋体" w:cs="宋体"/>
                <w:color w:val="auto"/>
                <w:kern w:val="0"/>
                <w:sz w:val="21"/>
                <w:szCs w:val="21"/>
                <w:highlight w:val="none"/>
              </w:rPr>
              <w:t xml:space="preserve">； </w:t>
            </w:r>
          </w:p>
          <w:p>
            <w:pPr>
              <w:numPr>
                <w:ilvl w:val="0"/>
                <w:numId w:val="64"/>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Hans"/>
              </w:rPr>
              <w:t>环境</w:t>
            </w:r>
            <w:r>
              <w:rPr>
                <w:rFonts w:hint="eastAsia" w:ascii="宋体" w:hAnsi="宋体" w:eastAsia="宋体" w:cs="宋体"/>
                <w:color w:val="auto"/>
                <w:kern w:val="0"/>
                <w:sz w:val="21"/>
                <w:szCs w:val="21"/>
                <w:highlight w:val="none"/>
              </w:rPr>
              <w:t>保洁服务方案分析</w:t>
            </w:r>
            <w:r>
              <w:rPr>
                <w:rFonts w:hint="eastAsia" w:ascii="宋体" w:hAnsi="宋体" w:eastAsia="宋体" w:cs="宋体"/>
                <w:color w:val="auto"/>
                <w:kern w:val="0"/>
                <w:sz w:val="21"/>
                <w:szCs w:val="21"/>
                <w:highlight w:val="none"/>
                <w:lang w:val="en-US" w:eastAsia="zh-CN"/>
              </w:rPr>
              <w:t>欠缺</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缺乏</w:t>
            </w:r>
            <w:r>
              <w:rPr>
                <w:rFonts w:hint="eastAsia" w:ascii="宋体" w:hAnsi="宋体" w:eastAsia="宋体" w:cs="宋体"/>
                <w:color w:val="auto"/>
                <w:kern w:val="0"/>
                <w:sz w:val="21"/>
                <w:szCs w:val="21"/>
                <w:highlight w:val="none"/>
              </w:rPr>
              <w:t>针对性、</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操作性</w:t>
            </w:r>
            <w:r>
              <w:rPr>
                <w:rFonts w:hint="eastAsia" w:ascii="宋体" w:hAnsi="宋体" w:eastAsia="宋体" w:cs="宋体"/>
                <w:color w:val="auto"/>
                <w:kern w:val="0"/>
                <w:sz w:val="21"/>
                <w:szCs w:val="21"/>
                <w:highlight w:val="none"/>
                <w:lang w:val="en-US" w:eastAsia="zh-CN"/>
              </w:rPr>
              <w:t>较差</w:t>
            </w:r>
            <w:r>
              <w:rPr>
                <w:rFonts w:hint="eastAsia" w:ascii="宋体" w:hAnsi="宋体" w:eastAsia="宋体" w:cs="宋体"/>
                <w:color w:val="auto"/>
                <w:kern w:val="0"/>
                <w:sz w:val="21"/>
                <w:szCs w:val="21"/>
                <w:highlight w:val="none"/>
              </w:rPr>
              <w:t>，不能完全满足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，得</w:t>
            </w:r>
            <w:r>
              <w:rPr>
                <w:rFonts w:hint="eastAsia" w:ascii="宋体" w:hAnsi="宋体" w:eastAsia="宋体" w:cs="宋体"/>
                <w:color w:val="auto"/>
                <w:kern w:val="0"/>
                <w:sz w:val="21"/>
                <w:szCs w:val="21"/>
                <w:highlight w:val="none"/>
                <w:lang w:eastAsia="zh-CN"/>
              </w:rPr>
              <w:t>1分</w:t>
            </w:r>
            <w:r>
              <w:rPr>
                <w:rFonts w:hint="eastAsia" w:ascii="宋体" w:hAnsi="宋体" w:eastAsia="宋体" w:cs="宋体"/>
                <w:color w:val="auto"/>
                <w:kern w:val="0"/>
                <w:sz w:val="21"/>
                <w:szCs w:val="21"/>
                <w:highlight w:val="none"/>
              </w:rPr>
              <w:t xml:space="preserve">； </w:t>
            </w:r>
          </w:p>
          <w:p>
            <w:pPr>
              <w:numPr>
                <w:ilvl w:val="0"/>
                <w:numId w:val="64"/>
              </w:numPr>
              <w:spacing w:line="240" w:lineRule="auto"/>
              <w:ind w:left="425" w:leftChars="0" w:hanging="425" w:firstLineChars="0"/>
              <w:jc w:val="left"/>
              <w:rPr>
                <w:rFonts w:hint="eastAsia" w:ascii="宋体" w:hAnsi="宋体" w:eastAsia="宋体" w:cs="宋体"/>
                <w:b w:val="0"/>
                <w:bCs w:val="0"/>
                <w:color w:val="auto"/>
                <w:sz w:val="21"/>
                <w:szCs w:val="21"/>
                <w:highlight w:val="none"/>
              </w:rPr>
            </w:pPr>
            <w:r>
              <w:rPr>
                <w:rFonts w:hint="eastAsia" w:ascii="宋体" w:hAnsi="宋体" w:eastAsia="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提供方案</w:t>
            </w:r>
            <w:r>
              <w:rPr>
                <w:rFonts w:hint="eastAsia" w:ascii="宋体" w:hAnsi="宋体" w:eastAsia="宋体" w:cs="宋体"/>
                <w:color w:val="auto"/>
                <w:kern w:val="0"/>
                <w:sz w:val="21"/>
                <w:szCs w:val="21"/>
                <w:highlight w:val="none"/>
                <w:lang w:val="en-US" w:eastAsia="zh-Hans"/>
              </w:rPr>
              <w:t>不得分</w:t>
            </w:r>
            <w:r>
              <w:rPr>
                <w:rFonts w:hint="eastAsia" w:ascii="宋体" w:hAnsi="宋体" w:eastAsia="宋体" w:cs="宋体"/>
                <w:color w:val="auto"/>
                <w:kern w:val="0"/>
                <w:sz w:val="21"/>
                <w:szCs w:val="21"/>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1"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rPr>
              <w:t>绿化养护服务方案</w:t>
            </w:r>
          </w:p>
        </w:tc>
        <w:tc>
          <w:tcPr>
            <w:tcW w:w="892" w:type="dxa"/>
            <w:vAlign w:val="center"/>
          </w:tcPr>
          <w:p>
            <w:pPr>
              <w:widowControl/>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5449" w:type="dxa"/>
            <w:vAlign w:val="center"/>
          </w:tcPr>
          <w:p>
            <w:pPr>
              <w:spacing w:line="240" w:lineRule="auto"/>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根据</w:t>
            </w:r>
            <w:r>
              <w:rPr>
                <w:rFonts w:hint="eastAsia" w:ascii="宋体" w:hAnsi="宋体" w:eastAsia="宋体" w:cs="宋体"/>
                <w:color w:val="auto"/>
                <w:kern w:val="0"/>
                <w:sz w:val="21"/>
                <w:szCs w:val="21"/>
                <w:highlight w:val="none"/>
              </w:rPr>
              <w:t>各投标人所提供的绿化</w:t>
            </w:r>
            <w:r>
              <w:rPr>
                <w:rFonts w:hint="eastAsia" w:ascii="宋体" w:hAnsi="宋体" w:cs="宋体"/>
                <w:color w:val="auto"/>
                <w:kern w:val="0"/>
                <w:sz w:val="21"/>
                <w:szCs w:val="21"/>
                <w:highlight w:val="none"/>
                <w:lang w:eastAsia="zh-CN"/>
              </w:rPr>
              <w:t>养护</w:t>
            </w:r>
            <w:r>
              <w:rPr>
                <w:rFonts w:hint="eastAsia" w:ascii="宋体" w:hAnsi="宋体" w:eastAsia="宋体" w:cs="宋体"/>
                <w:color w:val="auto"/>
                <w:kern w:val="0"/>
                <w:sz w:val="21"/>
                <w:szCs w:val="21"/>
                <w:highlight w:val="none"/>
              </w:rPr>
              <w:t>服务方案（</w:t>
            </w:r>
            <w:r>
              <w:rPr>
                <w:rFonts w:hint="eastAsia" w:ascii="宋体" w:hAnsi="宋体" w:eastAsia="宋体" w:cs="宋体"/>
                <w:color w:val="auto"/>
                <w:kern w:val="0"/>
                <w:sz w:val="21"/>
                <w:szCs w:val="21"/>
                <w:highlight w:val="none"/>
                <w:lang w:val="en-US" w:eastAsia="zh-Hans"/>
              </w:rPr>
              <w:t>包括但不限于绿植租摆</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四害消杀</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乔木</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灌木浇灌</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修剪</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val="en-US" w:eastAsia="zh-Hans"/>
              </w:rPr>
              <w:t>施肥等</w:t>
            </w:r>
            <w:r>
              <w:rPr>
                <w:rFonts w:hint="eastAsia" w:ascii="宋体" w:hAnsi="宋体" w:eastAsia="宋体" w:cs="宋体"/>
                <w:color w:val="auto"/>
                <w:kern w:val="0"/>
                <w:sz w:val="21"/>
                <w:szCs w:val="21"/>
                <w:highlight w:val="none"/>
                <w:lang w:eastAsia="zh-Hans"/>
              </w:rPr>
              <w:t>）</w:t>
            </w:r>
            <w:r>
              <w:rPr>
                <w:rFonts w:hint="eastAsia" w:ascii="宋体" w:hAnsi="宋体" w:eastAsia="宋体" w:cs="宋体"/>
                <w:color w:val="auto"/>
                <w:kern w:val="0"/>
                <w:sz w:val="21"/>
                <w:szCs w:val="21"/>
                <w:highlight w:val="none"/>
                <w:lang w:eastAsia="zh-CN"/>
              </w:rPr>
              <w:t>进行综合评审：</w:t>
            </w:r>
          </w:p>
          <w:p>
            <w:pPr>
              <w:numPr>
                <w:ilvl w:val="0"/>
                <w:numId w:val="65"/>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绿化服务方案针对性</w:t>
            </w:r>
            <w:r>
              <w:rPr>
                <w:rFonts w:hint="eastAsia" w:ascii="宋体" w:hAnsi="宋体" w:eastAsia="宋体" w:cs="宋体"/>
                <w:color w:val="auto"/>
                <w:kern w:val="0"/>
                <w:sz w:val="21"/>
                <w:szCs w:val="21"/>
                <w:highlight w:val="none"/>
                <w:lang w:val="en-US" w:eastAsia="zh-CN"/>
              </w:rPr>
              <w:t>强</w:t>
            </w:r>
            <w:r>
              <w:rPr>
                <w:rFonts w:hint="eastAsia" w:ascii="宋体" w:hAnsi="宋体" w:eastAsia="宋体" w:cs="宋体"/>
                <w:color w:val="auto"/>
                <w:kern w:val="0"/>
                <w:sz w:val="21"/>
                <w:szCs w:val="21"/>
                <w:highlight w:val="none"/>
              </w:rPr>
              <w:t>、有创新且提供的方案</w:t>
            </w:r>
            <w:r>
              <w:rPr>
                <w:rFonts w:hint="eastAsia" w:ascii="宋体" w:hAnsi="宋体" w:eastAsia="宋体" w:cs="宋体"/>
                <w:color w:val="auto"/>
                <w:kern w:val="0"/>
                <w:sz w:val="21"/>
                <w:szCs w:val="21"/>
                <w:highlight w:val="none"/>
                <w:lang w:val="en-US" w:eastAsia="zh-CN"/>
              </w:rPr>
              <w:t>科学</w:t>
            </w:r>
            <w:r>
              <w:rPr>
                <w:rFonts w:hint="eastAsia" w:ascii="宋体" w:hAnsi="宋体" w:eastAsia="宋体" w:cs="宋体"/>
                <w:color w:val="auto"/>
                <w:kern w:val="0"/>
                <w:sz w:val="21"/>
                <w:szCs w:val="21"/>
                <w:highlight w:val="none"/>
              </w:rPr>
              <w:t>合理，</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操作性高，完全满足且优于</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，得</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分</w:t>
            </w:r>
            <w:r>
              <w:rPr>
                <w:rFonts w:hint="eastAsia" w:ascii="宋体" w:hAnsi="宋体" w:eastAsia="宋体" w:cs="宋体"/>
                <w:color w:val="auto"/>
                <w:kern w:val="0"/>
                <w:sz w:val="21"/>
                <w:szCs w:val="21"/>
                <w:highlight w:val="none"/>
              </w:rPr>
              <w:t xml:space="preserve">； </w:t>
            </w:r>
          </w:p>
          <w:p>
            <w:pPr>
              <w:numPr>
                <w:ilvl w:val="0"/>
                <w:numId w:val="65"/>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绿化服务方案分析</w:t>
            </w:r>
            <w:r>
              <w:rPr>
                <w:rFonts w:hint="eastAsia" w:ascii="宋体" w:hAnsi="宋体" w:eastAsia="宋体" w:cs="宋体"/>
                <w:color w:val="auto"/>
                <w:kern w:val="0"/>
                <w:sz w:val="21"/>
                <w:szCs w:val="21"/>
                <w:highlight w:val="none"/>
                <w:lang w:val="en-US" w:eastAsia="zh-CN"/>
              </w:rPr>
              <w:t>较</w:t>
            </w:r>
            <w:r>
              <w:rPr>
                <w:rFonts w:hint="eastAsia" w:ascii="宋体" w:hAnsi="宋体" w:eastAsia="宋体" w:cs="宋体"/>
                <w:color w:val="auto"/>
                <w:kern w:val="0"/>
                <w:sz w:val="21"/>
                <w:szCs w:val="21"/>
                <w:highlight w:val="none"/>
              </w:rPr>
              <w:t>合理、</w:t>
            </w:r>
            <w:r>
              <w:rPr>
                <w:rFonts w:hint="eastAsia" w:ascii="宋体" w:hAnsi="宋体" w:eastAsia="宋体" w:cs="宋体"/>
                <w:color w:val="auto"/>
                <w:kern w:val="0"/>
                <w:sz w:val="21"/>
                <w:szCs w:val="21"/>
                <w:highlight w:val="none"/>
                <w:lang w:val="en-US" w:eastAsia="zh-CN"/>
              </w:rPr>
              <w:t>较</w:t>
            </w:r>
            <w:r>
              <w:rPr>
                <w:rFonts w:hint="eastAsia" w:ascii="宋体" w:hAnsi="宋体" w:eastAsia="宋体" w:cs="宋体"/>
                <w:color w:val="auto"/>
                <w:kern w:val="0"/>
                <w:sz w:val="21"/>
                <w:szCs w:val="21"/>
                <w:highlight w:val="none"/>
              </w:rPr>
              <w:t>有针对性、</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操作性</w:t>
            </w:r>
            <w:r>
              <w:rPr>
                <w:rFonts w:hint="eastAsia" w:ascii="宋体" w:hAnsi="宋体" w:eastAsia="宋体" w:cs="宋体"/>
                <w:color w:val="auto"/>
                <w:kern w:val="0"/>
                <w:sz w:val="21"/>
                <w:szCs w:val="21"/>
                <w:highlight w:val="none"/>
                <w:lang w:val="en-US" w:eastAsia="zh-CN"/>
              </w:rPr>
              <w:t>一般</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完全满足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，得</w:t>
            </w:r>
            <w:r>
              <w:rPr>
                <w:rFonts w:hint="eastAsia" w:ascii="宋体" w:hAnsi="宋体" w:eastAsia="宋体" w:cs="宋体"/>
                <w:color w:val="auto"/>
                <w:kern w:val="0"/>
                <w:sz w:val="21"/>
                <w:szCs w:val="21"/>
                <w:highlight w:val="none"/>
                <w:lang w:eastAsia="zh-CN"/>
              </w:rPr>
              <w:t>2分</w:t>
            </w:r>
            <w:r>
              <w:rPr>
                <w:rFonts w:hint="eastAsia" w:ascii="宋体" w:hAnsi="宋体" w:eastAsia="宋体" w:cs="宋体"/>
                <w:color w:val="auto"/>
                <w:kern w:val="0"/>
                <w:sz w:val="21"/>
                <w:szCs w:val="21"/>
                <w:highlight w:val="none"/>
              </w:rPr>
              <w:t xml:space="preserve">； </w:t>
            </w:r>
          </w:p>
          <w:p>
            <w:pPr>
              <w:numPr>
                <w:ilvl w:val="0"/>
                <w:numId w:val="65"/>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绿化服务方案分析</w:t>
            </w:r>
            <w:r>
              <w:rPr>
                <w:rFonts w:hint="eastAsia" w:ascii="宋体" w:hAnsi="宋体" w:eastAsia="宋体" w:cs="宋体"/>
                <w:color w:val="auto"/>
                <w:kern w:val="0"/>
                <w:sz w:val="21"/>
                <w:szCs w:val="21"/>
                <w:highlight w:val="none"/>
                <w:lang w:val="en-US" w:eastAsia="zh-CN"/>
              </w:rPr>
              <w:t>欠缺</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缺乏</w:t>
            </w:r>
            <w:r>
              <w:rPr>
                <w:rFonts w:hint="eastAsia" w:ascii="宋体" w:hAnsi="宋体" w:eastAsia="宋体" w:cs="宋体"/>
                <w:color w:val="auto"/>
                <w:kern w:val="0"/>
                <w:sz w:val="21"/>
                <w:szCs w:val="21"/>
                <w:highlight w:val="none"/>
              </w:rPr>
              <w:t>针对性、</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操作性</w:t>
            </w:r>
            <w:r>
              <w:rPr>
                <w:rFonts w:hint="eastAsia" w:ascii="宋体" w:hAnsi="宋体" w:eastAsia="宋体" w:cs="宋体"/>
                <w:color w:val="auto"/>
                <w:kern w:val="0"/>
                <w:sz w:val="21"/>
                <w:szCs w:val="21"/>
                <w:highlight w:val="none"/>
                <w:lang w:val="en-US" w:eastAsia="zh-CN"/>
              </w:rPr>
              <w:t>较差</w:t>
            </w:r>
            <w:r>
              <w:rPr>
                <w:rFonts w:hint="eastAsia" w:ascii="宋体" w:hAnsi="宋体" w:eastAsia="宋体" w:cs="宋体"/>
                <w:color w:val="auto"/>
                <w:kern w:val="0"/>
                <w:sz w:val="21"/>
                <w:szCs w:val="21"/>
                <w:highlight w:val="none"/>
              </w:rPr>
              <w:t>，不能完全满足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，得</w:t>
            </w:r>
            <w:r>
              <w:rPr>
                <w:rFonts w:hint="eastAsia" w:ascii="宋体" w:hAnsi="宋体" w:eastAsia="宋体" w:cs="宋体"/>
                <w:color w:val="auto"/>
                <w:kern w:val="0"/>
                <w:sz w:val="21"/>
                <w:szCs w:val="21"/>
                <w:highlight w:val="none"/>
                <w:lang w:eastAsia="zh-CN"/>
              </w:rPr>
              <w:t>1分</w:t>
            </w:r>
            <w:r>
              <w:rPr>
                <w:rFonts w:hint="eastAsia" w:ascii="宋体" w:hAnsi="宋体" w:eastAsia="宋体" w:cs="宋体"/>
                <w:color w:val="auto"/>
                <w:kern w:val="0"/>
                <w:sz w:val="21"/>
                <w:szCs w:val="21"/>
                <w:highlight w:val="none"/>
              </w:rPr>
              <w:t xml:space="preserve">； </w:t>
            </w:r>
          </w:p>
          <w:p>
            <w:pPr>
              <w:numPr>
                <w:ilvl w:val="0"/>
                <w:numId w:val="65"/>
              </w:numPr>
              <w:spacing w:line="240" w:lineRule="auto"/>
              <w:ind w:left="425" w:leftChars="0" w:hanging="425" w:firstLineChars="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提供方案</w:t>
            </w:r>
            <w:r>
              <w:rPr>
                <w:rFonts w:hint="eastAsia" w:ascii="宋体" w:hAnsi="宋体" w:eastAsia="宋体" w:cs="宋体"/>
                <w:color w:val="auto"/>
                <w:kern w:val="0"/>
                <w:sz w:val="21"/>
                <w:szCs w:val="21"/>
                <w:highlight w:val="none"/>
                <w:lang w:val="en-US" w:eastAsia="zh-Hans"/>
              </w:rPr>
              <w:t>不得分</w:t>
            </w: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5"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智能化设备和科技技术运用</w:t>
            </w:r>
            <w:r>
              <w:rPr>
                <w:rFonts w:hint="eastAsia" w:ascii="宋体" w:hAnsi="宋体" w:eastAsia="宋体" w:cs="宋体"/>
                <w:color w:val="auto"/>
                <w:sz w:val="21"/>
                <w:szCs w:val="21"/>
                <w:highlight w:val="none"/>
                <w:lang w:val="en-US" w:eastAsia="zh-Hans"/>
              </w:rPr>
              <w:t>方案</w:t>
            </w:r>
          </w:p>
        </w:tc>
        <w:tc>
          <w:tcPr>
            <w:tcW w:w="892" w:type="dxa"/>
            <w:vAlign w:val="center"/>
          </w:tcPr>
          <w:p>
            <w:pPr>
              <w:widowControl/>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5449" w:type="dxa"/>
            <w:vAlign w:val="center"/>
          </w:tcPr>
          <w:p>
            <w:pPr>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各投标人所能提供</w:t>
            </w:r>
            <w:r>
              <w:rPr>
                <w:rFonts w:hint="eastAsia" w:ascii="宋体" w:hAnsi="宋体" w:eastAsia="宋体" w:cs="宋体"/>
                <w:color w:val="auto"/>
                <w:sz w:val="21"/>
                <w:szCs w:val="21"/>
                <w:highlight w:val="none"/>
                <w:lang w:val="en-US" w:eastAsia="zh-Hans"/>
              </w:rPr>
              <w:t>的拟投入本项目</w:t>
            </w:r>
            <w:r>
              <w:rPr>
                <w:rFonts w:hint="eastAsia" w:ascii="宋体" w:hAnsi="宋体" w:eastAsia="宋体" w:cs="宋体"/>
                <w:color w:val="auto"/>
                <w:sz w:val="21"/>
                <w:szCs w:val="21"/>
                <w:highlight w:val="none"/>
              </w:rPr>
              <w:t>各类智能化设备和科技技术运用（</w:t>
            </w:r>
            <w:r>
              <w:rPr>
                <w:rFonts w:hint="eastAsia" w:ascii="宋体" w:hAnsi="宋体" w:eastAsia="宋体" w:cs="宋体"/>
                <w:color w:val="auto"/>
                <w:sz w:val="21"/>
                <w:szCs w:val="21"/>
                <w:highlight w:val="none"/>
                <w:lang w:val="en-US" w:eastAsia="zh-Hans"/>
              </w:rPr>
              <w:t>包括但不限于</w:t>
            </w:r>
            <w:r>
              <w:rPr>
                <w:rFonts w:hint="eastAsia" w:ascii="宋体" w:hAnsi="宋体" w:eastAsia="宋体" w:cs="宋体"/>
                <w:color w:val="auto"/>
                <w:sz w:val="21"/>
                <w:szCs w:val="21"/>
                <w:highlight w:val="none"/>
                <w:lang w:eastAsia="zh-Hans"/>
              </w:rPr>
              <w:t>管理平台软件、客户关系管理系统软件、停车场管理系统等基本含义相同或其他相关软件</w:t>
            </w:r>
            <w:r>
              <w:rPr>
                <w:rFonts w:hint="eastAsia" w:ascii="宋体" w:hAnsi="宋体" w:eastAsia="宋体" w:cs="宋体"/>
                <w:color w:val="auto"/>
                <w:sz w:val="21"/>
                <w:szCs w:val="21"/>
                <w:highlight w:val="none"/>
                <w:lang w:val="en-US" w:eastAsia="zh-Hans"/>
              </w:rPr>
              <w:t>等</w:t>
            </w:r>
            <w:r>
              <w:rPr>
                <w:rFonts w:hint="eastAsia" w:ascii="宋体" w:hAnsi="宋体" w:eastAsia="宋体" w:cs="宋体"/>
                <w:color w:val="auto"/>
                <w:sz w:val="21"/>
                <w:szCs w:val="21"/>
                <w:highlight w:val="none"/>
                <w:lang w:eastAsia="zh-Hans"/>
              </w:rPr>
              <w:t>）</w:t>
            </w:r>
            <w:r>
              <w:rPr>
                <w:rFonts w:hint="eastAsia" w:ascii="宋体" w:hAnsi="宋体" w:eastAsia="宋体" w:cs="宋体"/>
                <w:color w:val="auto"/>
                <w:sz w:val="21"/>
                <w:szCs w:val="21"/>
                <w:highlight w:val="none"/>
              </w:rPr>
              <w:t>情况进行综合评审：</w:t>
            </w:r>
          </w:p>
          <w:p>
            <w:pPr>
              <w:numPr>
                <w:ilvl w:val="0"/>
                <w:numId w:val="66"/>
              </w:numPr>
              <w:snapToGrid w:val="0"/>
              <w:spacing w:line="24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智能化设备和科技技术先进、有特色，能很好的提升项目品质，便捷客户服务需求，得3分；</w:t>
            </w:r>
          </w:p>
          <w:p>
            <w:pPr>
              <w:numPr>
                <w:ilvl w:val="0"/>
                <w:numId w:val="66"/>
              </w:numPr>
              <w:snapToGrid w:val="0"/>
              <w:spacing w:line="24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智能化设备和科技技术运用良好，满足服务需求，得2分；</w:t>
            </w:r>
          </w:p>
          <w:p>
            <w:pPr>
              <w:numPr>
                <w:ilvl w:val="0"/>
                <w:numId w:val="66"/>
              </w:numPr>
              <w:snapToGrid w:val="0"/>
              <w:spacing w:line="24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智能化设备和科技技术运用一般，基本满足服务需求，得1分</w:t>
            </w:r>
            <w:r>
              <w:rPr>
                <w:rFonts w:hint="eastAsia" w:ascii="宋体" w:hAnsi="宋体" w:eastAsia="宋体" w:cs="宋体"/>
                <w:color w:val="auto"/>
                <w:sz w:val="21"/>
                <w:szCs w:val="21"/>
                <w:highlight w:val="none"/>
                <w:lang w:eastAsia="zh-CN"/>
              </w:rPr>
              <w:t>；</w:t>
            </w:r>
          </w:p>
          <w:p>
            <w:pPr>
              <w:numPr>
                <w:ilvl w:val="0"/>
                <w:numId w:val="66"/>
              </w:numPr>
              <w:spacing w:line="240" w:lineRule="auto"/>
              <w:ind w:left="425" w:leftChars="0" w:hanging="425"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提供方案</w:t>
            </w:r>
            <w:r>
              <w:rPr>
                <w:rFonts w:hint="eastAsia" w:ascii="宋体" w:hAnsi="宋体" w:eastAsia="宋体" w:cs="宋体"/>
                <w:color w:val="auto"/>
                <w:kern w:val="0"/>
                <w:sz w:val="21"/>
                <w:szCs w:val="21"/>
                <w:highlight w:val="none"/>
                <w:lang w:val="en-US" w:eastAsia="zh-Hans"/>
              </w:rPr>
              <w:t>不得分</w:t>
            </w:r>
            <w:r>
              <w:rPr>
                <w:rFonts w:hint="eastAsia" w:ascii="宋体" w:hAnsi="宋体" w:eastAsia="宋体" w:cs="宋体"/>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7"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专项接待管理</w:t>
            </w:r>
            <w:r>
              <w:rPr>
                <w:rFonts w:hint="eastAsia" w:ascii="宋体" w:hAnsi="宋体" w:eastAsia="宋体" w:cs="宋体"/>
                <w:color w:val="auto"/>
                <w:kern w:val="0"/>
                <w:sz w:val="21"/>
                <w:szCs w:val="21"/>
                <w:highlight w:val="none"/>
                <w:lang w:val="en-US" w:eastAsia="zh-CN"/>
              </w:rPr>
              <w:t>方案</w:t>
            </w:r>
          </w:p>
        </w:tc>
        <w:tc>
          <w:tcPr>
            <w:tcW w:w="892" w:type="dxa"/>
            <w:vAlign w:val="center"/>
          </w:tcPr>
          <w:p>
            <w:pPr>
              <w:widowControl/>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449" w:type="dxa"/>
            <w:vAlign w:val="center"/>
          </w:tcPr>
          <w:p>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val="en-US" w:eastAsia="zh-CN"/>
              </w:rPr>
              <w:t>本</w:t>
            </w:r>
            <w:r>
              <w:rPr>
                <w:rFonts w:hint="eastAsia" w:ascii="宋体" w:hAnsi="宋体" w:eastAsia="宋体" w:cs="宋体"/>
                <w:color w:val="auto"/>
                <w:sz w:val="21"/>
                <w:szCs w:val="21"/>
                <w:highlight w:val="none"/>
              </w:rPr>
              <w:t>项目的特点</w:t>
            </w:r>
            <w:r>
              <w:rPr>
                <w:rFonts w:hint="eastAsia" w:ascii="宋体" w:hAnsi="宋体" w:cs="宋体"/>
                <w:color w:val="auto"/>
                <w:sz w:val="21"/>
                <w:szCs w:val="21"/>
                <w:highlight w:val="none"/>
                <w:lang w:eastAsia="zh-CN"/>
              </w:rPr>
              <w:t>制定</w:t>
            </w:r>
            <w:r>
              <w:rPr>
                <w:rFonts w:hint="eastAsia" w:ascii="宋体" w:hAnsi="宋体" w:eastAsia="宋体" w:cs="宋体"/>
                <w:color w:val="auto"/>
                <w:sz w:val="21"/>
                <w:szCs w:val="21"/>
                <w:highlight w:val="none"/>
              </w:rPr>
              <w:t>不同级别的专项接待管理方案</w:t>
            </w:r>
            <w:r>
              <w:rPr>
                <w:rFonts w:hint="eastAsia" w:ascii="宋体" w:hAnsi="宋体" w:eastAsia="宋体" w:cs="宋体"/>
                <w:color w:val="auto"/>
                <w:sz w:val="21"/>
                <w:szCs w:val="21"/>
                <w:highlight w:val="none"/>
                <w:lang w:val="en-US" w:eastAsia="zh-CN"/>
              </w:rPr>
              <w:t>进行综合评审</w:t>
            </w:r>
            <w:r>
              <w:rPr>
                <w:rFonts w:hint="eastAsia" w:ascii="宋体" w:hAnsi="宋体" w:eastAsia="宋体" w:cs="宋体"/>
                <w:color w:val="auto"/>
                <w:sz w:val="21"/>
                <w:szCs w:val="21"/>
                <w:highlight w:val="none"/>
              </w:rPr>
              <w:t>：</w:t>
            </w:r>
          </w:p>
          <w:p>
            <w:pPr>
              <w:keepNext w:val="0"/>
              <w:keepLines w:val="0"/>
              <w:pageBreakBefore w:val="0"/>
              <w:widowControl w:val="0"/>
              <w:numPr>
                <w:ilvl w:val="0"/>
                <w:numId w:val="67"/>
              </w:numPr>
              <w:kinsoku/>
              <w:wordWrap w:val="0"/>
              <w:overflowPunct/>
              <w:topLinePunct w:val="0"/>
              <w:autoSpaceDE/>
              <w:autoSpaceDN/>
              <w:bidi w:val="0"/>
              <w:adjustRightInd/>
              <w:snapToGrid/>
              <w:spacing w:line="240" w:lineRule="auto"/>
              <w:ind w:left="425" w:leftChars="0" w:hanging="425"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各级别的专项接待方案完整详细，科学合理，可行性强，</w:t>
            </w:r>
            <w:r>
              <w:rPr>
                <w:rFonts w:hint="eastAsia" w:ascii="宋体" w:hAnsi="宋体" w:cs="宋体"/>
                <w:color w:val="auto"/>
                <w:sz w:val="21"/>
                <w:szCs w:val="21"/>
                <w:highlight w:val="none"/>
                <w:lang w:eastAsia="zh-CN"/>
              </w:rPr>
              <w:t>专项接待经验丰富，</w:t>
            </w:r>
            <w:r>
              <w:rPr>
                <w:rFonts w:hint="eastAsia" w:ascii="宋体" w:hAnsi="宋体" w:eastAsia="宋体" w:cs="宋体"/>
                <w:color w:val="auto"/>
                <w:sz w:val="21"/>
                <w:szCs w:val="21"/>
                <w:highlight w:val="none"/>
              </w:rPr>
              <w:t>完全满足且优于</w:t>
            </w:r>
            <w:r>
              <w:rPr>
                <w:rFonts w:hint="eastAsia" w:ascii="宋体" w:hAnsi="宋体" w:eastAsia="宋体" w:cs="宋体"/>
                <w:color w:val="auto"/>
                <w:sz w:val="21"/>
                <w:szCs w:val="21"/>
                <w:highlight w:val="none"/>
                <w:lang w:val="en-US" w:eastAsia="zh-CN"/>
              </w:rPr>
              <w:t>用户</w:t>
            </w:r>
            <w:r>
              <w:rPr>
                <w:rFonts w:hint="eastAsia" w:ascii="宋体" w:hAnsi="宋体" w:eastAsia="宋体" w:cs="宋体"/>
                <w:color w:val="auto"/>
                <w:sz w:val="21"/>
                <w:szCs w:val="21"/>
                <w:highlight w:val="none"/>
              </w:rPr>
              <w:t>需求</w:t>
            </w:r>
            <w:r>
              <w:rPr>
                <w:rFonts w:hint="eastAsia" w:ascii="宋体" w:hAnsi="宋体" w:eastAsia="宋体" w:cs="宋体"/>
                <w:color w:val="auto"/>
                <w:sz w:val="21"/>
                <w:szCs w:val="21"/>
                <w:highlight w:val="none"/>
                <w:lang w:val="en-US" w:eastAsia="zh-CN"/>
              </w:rPr>
              <w:t>书</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rPr>
              <w:t>；</w:t>
            </w:r>
          </w:p>
          <w:p>
            <w:pPr>
              <w:keepNext w:val="0"/>
              <w:keepLines w:val="0"/>
              <w:pageBreakBefore w:val="0"/>
              <w:widowControl w:val="0"/>
              <w:numPr>
                <w:ilvl w:val="0"/>
                <w:numId w:val="67"/>
              </w:numPr>
              <w:kinsoku/>
              <w:wordWrap w:val="0"/>
              <w:overflowPunct/>
              <w:topLinePunct w:val="0"/>
              <w:autoSpaceDE/>
              <w:autoSpaceDN/>
              <w:bidi w:val="0"/>
              <w:adjustRightInd/>
              <w:snapToGrid/>
              <w:spacing w:line="240" w:lineRule="auto"/>
              <w:ind w:left="425" w:leftChars="0" w:hanging="425"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专项接待管理方案</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合理、</w:t>
            </w:r>
            <w:r>
              <w:rPr>
                <w:rFonts w:hint="eastAsia" w:ascii="宋体" w:hAnsi="宋体" w:eastAsia="宋体" w:cs="宋体"/>
                <w:color w:val="auto"/>
                <w:sz w:val="21"/>
                <w:szCs w:val="21"/>
                <w:highlight w:val="none"/>
                <w:lang w:val="en-US" w:eastAsia="zh-CN"/>
              </w:rPr>
              <w:t>较</w:t>
            </w:r>
            <w:r>
              <w:rPr>
                <w:rFonts w:hint="eastAsia" w:ascii="宋体" w:hAnsi="宋体" w:eastAsia="宋体" w:cs="宋体"/>
                <w:color w:val="auto"/>
                <w:sz w:val="21"/>
                <w:szCs w:val="21"/>
                <w:highlight w:val="none"/>
              </w:rPr>
              <w:t>完整，</w:t>
            </w:r>
            <w:r>
              <w:rPr>
                <w:rFonts w:hint="eastAsia" w:ascii="宋体" w:hAnsi="宋体" w:cs="宋体"/>
                <w:color w:val="auto"/>
                <w:sz w:val="21"/>
                <w:szCs w:val="21"/>
                <w:highlight w:val="none"/>
                <w:lang w:eastAsia="zh-CN"/>
              </w:rPr>
              <w:t>专项接待经验较丰富，</w:t>
            </w:r>
            <w:r>
              <w:rPr>
                <w:rFonts w:hint="eastAsia" w:ascii="宋体" w:hAnsi="宋体" w:eastAsia="宋体" w:cs="宋体"/>
                <w:color w:val="auto"/>
                <w:sz w:val="21"/>
                <w:szCs w:val="21"/>
                <w:highlight w:val="none"/>
              </w:rPr>
              <w:t>完全满足</w:t>
            </w:r>
            <w:r>
              <w:rPr>
                <w:rFonts w:hint="eastAsia" w:ascii="宋体" w:hAnsi="宋体" w:eastAsia="宋体" w:cs="宋体"/>
                <w:color w:val="auto"/>
                <w:sz w:val="21"/>
                <w:szCs w:val="21"/>
                <w:highlight w:val="none"/>
                <w:lang w:val="en-US" w:eastAsia="zh-CN"/>
              </w:rPr>
              <w:t>用户</w:t>
            </w:r>
            <w:r>
              <w:rPr>
                <w:rFonts w:hint="eastAsia" w:ascii="宋体" w:hAnsi="宋体" w:eastAsia="宋体" w:cs="宋体"/>
                <w:color w:val="auto"/>
                <w:sz w:val="21"/>
                <w:szCs w:val="21"/>
                <w:highlight w:val="none"/>
              </w:rPr>
              <w:t>需求</w:t>
            </w:r>
            <w:r>
              <w:rPr>
                <w:rFonts w:hint="eastAsia" w:ascii="宋体" w:hAnsi="宋体" w:eastAsia="宋体" w:cs="宋体"/>
                <w:color w:val="auto"/>
                <w:sz w:val="21"/>
                <w:szCs w:val="21"/>
                <w:highlight w:val="none"/>
                <w:lang w:val="en-US" w:eastAsia="zh-CN"/>
              </w:rPr>
              <w:t>书</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rPr>
              <w:t>；</w:t>
            </w:r>
          </w:p>
          <w:p>
            <w:pPr>
              <w:keepNext w:val="0"/>
              <w:keepLines w:val="0"/>
              <w:pageBreakBefore w:val="0"/>
              <w:widowControl w:val="0"/>
              <w:numPr>
                <w:ilvl w:val="0"/>
                <w:numId w:val="67"/>
              </w:numPr>
              <w:kinsoku/>
              <w:wordWrap w:val="0"/>
              <w:overflowPunct/>
              <w:topLinePunct w:val="0"/>
              <w:autoSpaceDE/>
              <w:autoSpaceDN/>
              <w:bidi w:val="0"/>
              <w:adjustRightInd/>
              <w:snapToGrid/>
              <w:spacing w:line="240" w:lineRule="auto"/>
              <w:ind w:left="425" w:leftChars="0" w:hanging="425"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专项接待管理方案</w:t>
            </w:r>
            <w:r>
              <w:rPr>
                <w:rFonts w:hint="eastAsia" w:ascii="宋体" w:hAnsi="宋体" w:eastAsia="宋体" w:cs="宋体"/>
                <w:color w:val="auto"/>
                <w:sz w:val="21"/>
                <w:szCs w:val="21"/>
                <w:highlight w:val="none"/>
                <w:lang w:val="en-US" w:eastAsia="zh-CN"/>
              </w:rPr>
              <w:t>合理性较差，</w:t>
            </w:r>
            <w:r>
              <w:rPr>
                <w:rFonts w:hint="eastAsia" w:ascii="宋体" w:hAnsi="宋体" w:cs="宋体"/>
                <w:color w:val="auto"/>
                <w:sz w:val="21"/>
                <w:szCs w:val="21"/>
                <w:highlight w:val="none"/>
                <w:lang w:eastAsia="zh-CN"/>
              </w:rPr>
              <w:t>专项接待经验缺乏，</w:t>
            </w:r>
            <w:r>
              <w:rPr>
                <w:rFonts w:hint="eastAsia" w:ascii="宋体" w:hAnsi="宋体" w:eastAsia="宋体" w:cs="宋体"/>
                <w:color w:val="auto"/>
                <w:sz w:val="21"/>
                <w:szCs w:val="21"/>
                <w:highlight w:val="none"/>
              </w:rPr>
              <w:t>不能完全满足</w:t>
            </w:r>
            <w:r>
              <w:rPr>
                <w:rFonts w:hint="eastAsia" w:ascii="宋体" w:hAnsi="宋体" w:eastAsia="宋体" w:cs="宋体"/>
                <w:color w:val="auto"/>
                <w:sz w:val="21"/>
                <w:szCs w:val="21"/>
                <w:highlight w:val="none"/>
                <w:lang w:val="en-US" w:eastAsia="zh-CN"/>
              </w:rPr>
              <w:t>用户</w:t>
            </w:r>
            <w:r>
              <w:rPr>
                <w:rFonts w:hint="eastAsia" w:ascii="宋体" w:hAnsi="宋体" w:eastAsia="宋体" w:cs="宋体"/>
                <w:color w:val="auto"/>
                <w:sz w:val="21"/>
                <w:szCs w:val="21"/>
                <w:highlight w:val="none"/>
              </w:rPr>
              <w:t>需求</w:t>
            </w:r>
            <w:r>
              <w:rPr>
                <w:rFonts w:hint="eastAsia" w:ascii="宋体" w:hAnsi="宋体" w:eastAsia="宋体" w:cs="宋体"/>
                <w:color w:val="auto"/>
                <w:sz w:val="21"/>
                <w:szCs w:val="21"/>
                <w:highlight w:val="none"/>
                <w:lang w:val="en-US" w:eastAsia="zh-CN"/>
              </w:rPr>
              <w:t>书</w:t>
            </w:r>
            <w:r>
              <w:rPr>
                <w:rFonts w:hint="eastAsia" w:ascii="宋体" w:hAnsi="宋体" w:eastAsia="宋体" w:cs="宋体"/>
                <w:color w:val="auto"/>
                <w:sz w:val="21"/>
                <w:szCs w:val="21"/>
                <w:highlight w:val="none"/>
              </w:rPr>
              <w:t>的，得</w:t>
            </w:r>
            <w:r>
              <w:rPr>
                <w:rFonts w:hint="eastAsia" w:ascii="宋体" w:hAnsi="宋体" w:eastAsia="宋体" w:cs="宋体"/>
                <w:color w:val="auto"/>
                <w:sz w:val="21"/>
                <w:szCs w:val="21"/>
                <w:highlight w:val="none"/>
                <w:lang w:eastAsia="zh-CN"/>
              </w:rPr>
              <w:t>1分</w:t>
            </w:r>
            <w:r>
              <w:rPr>
                <w:rFonts w:hint="eastAsia" w:ascii="宋体" w:hAnsi="宋体" w:eastAsia="宋体" w:cs="宋体"/>
                <w:color w:val="auto"/>
                <w:sz w:val="21"/>
                <w:szCs w:val="21"/>
                <w:highlight w:val="none"/>
              </w:rPr>
              <w:t>；</w:t>
            </w:r>
          </w:p>
          <w:p>
            <w:pPr>
              <w:keepNext w:val="0"/>
              <w:keepLines w:val="0"/>
              <w:pageBreakBefore w:val="0"/>
              <w:widowControl w:val="0"/>
              <w:numPr>
                <w:ilvl w:val="0"/>
                <w:numId w:val="67"/>
              </w:numPr>
              <w:kinsoku/>
              <w:wordWrap w:val="0"/>
              <w:overflowPunct/>
              <w:topLinePunct w:val="0"/>
              <w:autoSpaceDE/>
              <w:autoSpaceDN/>
              <w:bidi w:val="0"/>
              <w:adjustRightInd/>
              <w:snapToGrid/>
              <w:spacing w:line="240" w:lineRule="auto"/>
              <w:ind w:left="425" w:leftChars="0" w:hanging="425" w:firstLineChars="0"/>
              <w:jc w:val="left"/>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不</w:t>
            </w:r>
            <w:r>
              <w:rPr>
                <w:rFonts w:hint="eastAsia" w:ascii="宋体" w:hAnsi="宋体" w:eastAsia="宋体" w:cs="宋体"/>
                <w:color w:val="auto"/>
                <w:sz w:val="21"/>
                <w:szCs w:val="21"/>
                <w:highlight w:val="none"/>
              </w:rPr>
              <w:t>提供方案</w:t>
            </w:r>
            <w:r>
              <w:rPr>
                <w:rFonts w:hint="eastAsia" w:ascii="宋体" w:hAnsi="宋体" w:eastAsia="宋体" w:cs="宋体"/>
                <w:color w:val="auto"/>
                <w:sz w:val="21"/>
                <w:szCs w:val="21"/>
                <w:highlight w:val="none"/>
                <w:lang w:val="en-US" w:eastAsia="zh-Hans"/>
              </w:rPr>
              <w:t>不得分</w:t>
            </w:r>
            <w:r>
              <w:rPr>
                <w:rFonts w:hint="eastAsia" w:ascii="宋体" w:hAnsi="宋体" w:eastAsia="宋体" w:cs="宋体"/>
                <w:color w:val="auto"/>
                <w:sz w:val="21"/>
                <w:szCs w:val="21"/>
                <w:highlight w:val="none"/>
                <w:lang w:val="en-US" w:eastAsia="zh-CN"/>
              </w:rPr>
              <w:t>。</w:t>
            </w:r>
          </w:p>
          <w:p>
            <w:pPr>
              <w:pStyle w:val="29"/>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提供</w:t>
            </w:r>
            <w:r>
              <w:rPr>
                <w:rFonts w:hint="eastAsia" w:ascii="宋体" w:hAnsi="宋体" w:eastAsia="宋体" w:cs="宋体"/>
                <w:b w:val="0"/>
                <w:bCs w:val="0"/>
                <w:color w:val="auto"/>
                <w:kern w:val="0"/>
                <w:sz w:val="21"/>
                <w:szCs w:val="21"/>
                <w:highlight w:val="none"/>
                <w:lang w:val="en-US" w:eastAsia="zh-CN"/>
              </w:rPr>
              <w:t>相关</w:t>
            </w:r>
            <w:r>
              <w:rPr>
                <w:rFonts w:hint="eastAsia" w:ascii="宋体" w:hAnsi="宋体" w:cs="宋体"/>
                <w:color w:val="auto"/>
                <w:kern w:val="0"/>
                <w:sz w:val="21"/>
                <w:szCs w:val="21"/>
                <w:highlight w:val="none"/>
                <w:lang w:val="en-US" w:eastAsia="zh-CN"/>
              </w:rPr>
              <w:t>证明材料。</w:t>
            </w:r>
            <w:r>
              <w:rPr>
                <w:rFonts w:hint="eastAsia" w:ascii="宋体" w:hAnsi="宋体" w:eastAsia="宋体" w:cs="宋体"/>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rPr>
              <w:t>应急管理方案</w:t>
            </w:r>
          </w:p>
        </w:tc>
        <w:tc>
          <w:tcPr>
            <w:tcW w:w="892" w:type="dxa"/>
            <w:vAlign w:val="center"/>
          </w:tcPr>
          <w:p>
            <w:pPr>
              <w:widowControl/>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5449" w:type="dxa"/>
            <w:vAlign w:val="center"/>
          </w:tcPr>
          <w:p>
            <w:pPr>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针对本项目特点和实际需求，根据</w:t>
            </w:r>
            <w:r>
              <w:rPr>
                <w:rFonts w:hint="eastAsia" w:ascii="宋体" w:hAnsi="宋体" w:eastAsia="宋体" w:cs="宋体"/>
                <w:color w:val="auto"/>
                <w:kern w:val="0"/>
                <w:sz w:val="21"/>
                <w:szCs w:val="21"/>
                <w:highlight w:val="none"/>
                <w:lang w:val="en-US" w:eastAsia="zh-CN"/>
              </w:rPr>
              <w:t>各</w:t>
            </w:r>
            <w:r>
              <w:rPr>
                <w:rFonts w:hint="eastAsia" w:ascii="宋体" w:hAnsi="宋体" w:eastAsia="宋体" w:cs="宋体"/>
                <w:color w:val="auto"/>
                <w:kern w:val="0"/>
                <w:sz w:val="21"/>
                <w:szCs w:val="21"/>
                <w:highlight w:val="none"/>
              </w:rPr>
              <w:t>投标人</w:t>
            </w:r>
            <w:r>
              <w:rPr>
                <w:rFonts w:hint="eastAsia" w:ascii="宋体" w:hAnsi="宋体" w:eastAsia="宋体" w:cs="宋体"/>
                <w:color w:val="auto"/>
                <w:kern w:val="0"/>
                <w:sz w:val="21"/>
                <w:szCs w:val="21"/>
                <w:highlight w:val="none"/>
                <w:lang w:val="en-US" w:eastAsia="zh-CN"/>
              </w:rPr>
              <w:t>提供</w:t>
            </w:r>
            <w:r>
              <w:rPr>
                <w:rFonts w:hint="eastAsia" w:ascii="宋体" w:hAnsi="宋体" w:eastAsia="宋体" w:cs="宋体"/>
                <w:color w:val="auto"/>
                <w:kern w:val="0"/>
                <w:sz w:val="21"/>
                <w:szCs w:val="21"/>
                <w:highlight w:val="none"/>
              </w:rPr>
              <w:t>应对应急突发事件的预防、应变、处置方案（</w:t>
            </w:r>
            <w:r>
              <w:rPr>
                <w:rFonts w:hint="eastAsia" w:ascii="宋体" w:hAnsi="宋体" w:eastAsia="宋体" w:cs="宋体"/>
                <w:color w:val="auto"/>
                <w:kern w:val="0"/>
                <w:sz w:val="21"/>
                <w:szCs w:val="21"/>
                <w:highlight w:val="none"/>
                <w:lang w:val="en-US" w:eastAsia="zh-CN"/>
              </w:rPr>
              <w:t>包括但不限于</w:t>
            </w:r>
            <w:r>
              <w:rPr>
                <w:rFonts w:hint="eastAsia" w:ascii="宋体" w:hAnsi="宋体" w:eastAsia="宋体" w:cs="宋体"/>
                <w:color w:val="auto"/>
                <w:kern w:val="0"/>
                <w:sz w:val="21"/>
                <w:szCs w:val="21"/>
                <w:highlight w:val="none"/>
              </w:rPr>
              <w:t>防台防汛应急、</w:t>
            </w:r>
            <w:r>
              <w:rPr>
                <w:rFonts w:hint="eastAsia" w:ascii="宋体" w:hAnsi="宋体" w:eastAsia="宋体" w:cs="宋体"/>
                <w:color w:val="auto"/>
                <w:kern w:val="0"/>
                <w:sz w:val="21"/>
                <w:szCs w:val="21"/>
                <w:highlight w:val="none"/>
                <w:lang w:val="en-US" w:eastAsia="zh-CN"/>
              </w:rPr>
              <w:t>防暴防恐、电梯故障及困人处理等）进行综合评审</w:t>
            </w:r>
            <w:r>
              <w:rPr>
                <w:rFonts w:hint="eastAsia" w:ascii="宋体" w:hAnsi="宋体" w:eastAsia="宋体" w:cs="宋体"/>
                <w:color w:val="auto"/>
                <w:kern w:val="0"/>
                <w:sz w:val="21"/>
                <w:szCs w:val="21"/>
                <w:highlight w:val="none"/>
              </w:rPr>
              <w:t>：</w:t>
            </w:r>
          </w:p>
          <w:p>
            <w:pPr>
              <w:numPr>
                <w:ilvl w:val="0"/>
                <w:numId w:val="68"/>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应急管理方案科学合理、措施具体，方案有针对性、可行性强，能完全满足且</w:t>
            </w:r>
            <w:r>
              <w:rPr>
                <w:rFonts w:hint="eastAsia" w:ascii="宋体" w:hAnsi="宋体" w:eastAsia="宋体" w:cs="宋体"/>
                <w:color w:val="auto"/>
                <w:kern w:val="0"/>
                <w:sz w:val="21"/>
                <w:szCs w:val="21"/>
                <w:highlight w:val="none"/>
                <w:lang w:val="en-US" w:eastAsia="zh-CN"/>
              </w:rPr>
              <w:t>优于用户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的，得</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分</w:t>
            </w:r>
            <w:r>
              <w:rPr>
                <w:rFonts w:hint="eastAsia" w:ascii="宋体" w:hAnsi="宋体" w:eastAsia="宋体" w:cs="宋体"/>
                <w:color w:val="auto"/>
                <w:kern w:val="0"/>
                <w:sz w:val="21"/>
                <w:szCs w:val="21"/>
                <w:highlight w:val="none"/>
              </w:rPr>
              <w:t>；</w:t>
            </w:r>
          </w:p>
          <w:p>
            <w:pPr>
              <w:numPr>
                <w:ilvl w:val="0"/>
                <w:numId w:val="68"/>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应急管理方案较合理、较完整，方案能完全满足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的，得</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分</w:t>
            </w:r>
            <w:r>
              <w:rPr>
                <w:rFonts w:hint="eastAsia" w:ascii="宋体" w:hAnsi="宋体" w:eastAsia="宋体" w:cs="宋体"/>
                <w:color w:val="auto"/>
                <w:kern w:val="0"/>
                <w:sz w:val="21"/>
                <w:szCs w:val="21"/>
                <w:highlight w:val="none"/>
              </w:rPr>
              <w:t>；</w:t>
            </w:r>
          </w:p>
          <w:p>
            <w:pPr>
              <w:numPr>
                <w:ilvl w:val="0"/>
                <w:numId w:val="68"/>
              </w:numPr>
              <w:spacing w:line="240" w:lineRule="auto"/>
              <w:ind w:left="425" w:leftChars="0" w:hanging="425"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应急管理方案简单，没有针对性，不能满足</w:t>
            </w:r>
            <w:r>
              <w:rPr>
                <w:rFonts w:hint="eastAsia" w:ascii="宋体" w:hAnsi="宋体" w:eastAsia="宋体" w:cs="宋体"/>
                <w:color w:val="auto"/>
                <w:kern w:val="0"/>
                <w:sz w:val="21"/>
                <w:szCs w:val="21"/>
                <w:highlight w:val="none"/>
                <w:lang w:val="en-US" w:eastAsia="zh-CN"/>
              </w:rPr>
              <w:t>用户</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的，得</w:t>
            </w:r>
            <w:r>
              <w:rPr>
                <w:rFonts w:hint="eastAsia" w:ascii="宋体" w:hAnsi="宋体" w:eastAsia="宋体" w:cs="宋体"/>
                <w:color w:val="auto"/>
                <w:kern w:val="0"/>
                <w:sz w:val="21"/>
                <w:szCs w:val="21"/>
                <w:highlight w:val="none"/>
                <w:lang w:eastAsia="zh-CN"/>
              </w:rPr>
              <w:t>1分</w:t>
            </w:r>
            <w:r>
              <w:rPr>
                <w:rFonts w:hint="eastAsia" w:ascii="宋体" w:hAnsi="宋体" w:eastAsia="宋体" w:cs="宋体"/>
                <w:color w:val="auto"/>
                <w:kern w:val="0"/>
                <w:sz w:val="21"/>
                <w:szCs w:val="21"/>
                <w:highlight w:val="none"/>
              </w:rPr>
              <w:t>；</w:t>
            </w:r>
          </w:p>
          <w:p>
            <w:pPr>
              <w:numPr>
                <w:ilvl w:val="0"/>
                <w:numId w:val="68"/>
              </w:numPr>
              <w:spacing w:line="240" w:lineRule="auto"/>
              <w:ind w:left="425" w:leftChars="0" w:hanging="425" w:firstLineChars="0"/>
              <w:jc w:val="left"/>
              <w:rPr>
                <w:rFonts w:hint="eastAsia" w:ascii="宋体" w:hAnsi="宋体" w:eastAsia="宋体" w:cs="宋体"/>
                <w:b w:val="0"/>
                <w:bCs w:val="0"/>
                <w:color w:val="auto"/>
                <w:sz w:val="21"/>
                <w:szCs w:val="21"/>
                <w:highlight w:val="none"/>
                <w:lang w:val="en-US" w:bidi="ar-SA"/>
              </w:rPr>
            </w:pPr>
            <w:r>
              <w:rPr>
                <w:rFonts w:hint="eastAsia" w:ascii="宋体" w:hAnsi="宋体" w:eastAsia="宋体" w:cs="宋体"/>
                <w:color w:val="auto"/>
                <w:kern w:val="0"/>
                <w:sz w:val="21"/>
                <w:szCs w:val="21"/>
                <w:highlight w:val="none"/>
                <w:lang w:val="en-US" w:eastAsia="zh-CN"/>
              </w:rPr>
              <w:t>不</w:t>
            </w:r>
            <w:r>
              <w:rPr>
                <w:rFonts w:hint="eastAsia" w:ascii="宋体" w:hAnsi="宋体" w:eastAsia="宋体" w:cs="宋体"/>
                <w:color w:val="auto"/>
                <w:kern w:val="0"/>
                <w:sz w:val="21"/>
                <w:szCs w:val="21"/>
                <w:highlight w:val="none"/>
              </w:rPr>
              <w:t>提供方案</w:t>
            </w:r>
            <w:r>
              <w:rPr>
                <w:rFonts w:hint="eastAsia" w:ascii="宋体" w:hAnsi="宋体" w:eastAsia="宋体" w:cs="宋体"/>
                <w:color w:val="auto"/>
                <w:kern w:val="0"/>
                <w:sz w:val="21"/>
                <w:szCs w:val="21"/>
                <w:highlight w:val="none"/>
                <w:lang w:val="en-US" w:eastAsia="zh-Hans"/>
              </w:rPr>
              <w:t>不得分</w:t>
            </w: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项目经理</w:t>
            </w:r>
          </w:p>
        </w:tc>
        <w:tc>
          <w:tcPr>
            <w:tcW w:w="892" w:type="dxa"/>
            <w:vAlign w:val="center"/>
          </w:tcPr>
          <w:p>
            <w:pPr>
              <w:keepNext w:val="0"/>
              <w:keepLines w:val="0"/>
              <w:pageBreakBefore w:val="0"/>
              <w:widowControl/>
              <w:kinsoku/>
              <w:wordWrap w:val="0"/>
              <w:overflowPunct/>
              <w:topLinePunct w:val="0"/>
              <w:bidi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5449" w:type="dxa"/>
            <w:vAlign w:val="center"/>
          </w:tcPr>
          <w:p>
            <w:pPr>
              <w:pStyle w:val="13"/>
              <w:keepNext w:val="0"/>
              <w:keepLines w:val="0"/>
              <w:pageBreakBefore w:val="0"/>
              <w:kinsoku/>
              <w:wordWrap w:val="0"/>
              <w:overflowPunct/>
              <w:topLinePunct w:val="0"/>
              <w:bidi w:val="0"/>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投标人</w:t>
            </w:r>
            <w:r>
              <w:rPr>
                <w:rFonts w:hint="eastAsia" w:ascii="宋体" w:hAnsi="宋体" w:eastAsia="宋体" w:cs="宋体"/>
                <w:color w:val="auto"/>
                <w:kern w:val="0"/>
                <w:sz w:val="21"/>
                <w:szCs w:val="21"/>
                <w:highlight w:val="none"/>
              </w:rPr>
              <w:t>拟派项目经理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限1人</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情况</w:t>
            </w:r>
            <w:r>
              <w:rPr>
                <w:rFonts w:hint="eastAsia" w:ascii="宋体" w:hAnsi="宋体" w:eastAsia="宋体" w:cs="宋体"/>
                <w:color w:val="auto"/>
                <w:kern w:val="0"/>
                <w:sz w:val="21"/>
                <w:szCs w:val="21"/>
                <w:highlight w:val="none"/>
              </w:rPr>
              <w:t>：</w:t>
            </w:r>
          </w:p>
          <w:p>
            <w:pPr>
              <w:keepNext w:val="0"/>
              <w:keepLines w:val="0"/>
              <w:pageBreakBefore w:val="0"/>
              <w:numPr>
                <w:ilvl w:val="0"/>
                <w:numId w:val="69"/>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具有本科（或以上）学历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kern w:val="0"/>
                <w:sz w:val="21"/>
                <w:szCs w:val="21"/>
                <w:highlight w:val="none"/>
              </w:rPr>
              <w:t>；</w:t>
            </w:r>
          </w:p>
          <w:p>
            <w:pPr>
              <w:keepNext w:val="0"/>
              <w:keepLines w:val="0"/>
              <w:pageBreakBefore w:val="0"/>
              <w:numPr>
                <w:ilvl w:val="0"/>
                <w:numId w:val="69"/>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具有全国物业管理企业经理证书</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kern w:val="0"/>
                <w:sz w:val="21"/>
                <w:szCs w:val="21"/>
                <w:highlight w:val="none"/>
              </w:rPr>
              <w:t>；</w:t>
            </w:r>
          </w:p>
          <w:p>
            <w:pPr>
              <w:keepNext w:val="0"/>
              <w:keepLines w:val="0"/>
              <w:pageBreakBefore w:val="0"/>
              <w:numPr>
                <w:ilvl w:val="0"/>
                <w:numId w:val="69"/>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具有高级物业管理师证书</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p>
          <w:p>
            <w:pPr>
              <w:keepNext w:val="0"/>
              <w:keepLines w:val="0"/>
              <w:pageBreakBefore w:val="0"/>
              <w:kinsoku/>
              <w:wordWrap w:val="0"/>
              <w:overflowPunct/>
              <w:topLinePunct w:val="0"/>
              <w:bidi w:val="0"/>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p>
            <w:pPr>
              <w:keepNext w:val="0"/>
              <w:keepLines w:val="0"/>
              <w:pageBreakBefore w:val="0"/>
              <w:numPr>
                <w:ilvl w:val="0"/>
                <w:numId w:val="70"/>
              </w:numPr>
              <w:tabs>
                <w:tab w:val="left" w:pos="0"/>
              </w:tabs>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本项最高得3分。序号1须</w:t>
            </w:r>
            <w:r>
              <w:rPr>
                <w:rFonts w:hint="eastAsia" w:ascii="宋体" w:hAnsi="宋体" w:eastAsia="宋体" w:cs="宋体"/>
                <w:color w:val="auto"/>
                <w:kern w:val="0"/>
                <w:sz w:val="21"/>
                <w:szCs w:val="21"/>
                <w:highlight w:val="none"/>
              </w:rPr>
              <w:t>提供相应学历证</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复印件</w:t>
            </w:r>
            <w:r>
              <w:rPr>
                <w:rFonts w:hint="eastAsia" w:ascii="宋体" w:hAnsi="宋体" w:eastAsia="宋体" w:cs="宋体"/>
                <w:color w:val="auto"/>
                <w:kern w:val="0"/>
                <w:sz w:val="21"/>
                <w:szCs w:val="21"/>
                <w:highlight w:val="none"/>
                <w:lang w:val="en-US" w:eastAsia="zh-CN"/>
              </w:rPr>
              <w:t>及证书在中国高等教育学生信息网(学信网) 截图作为证明材料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序号2、3须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证书复印件作为证明材料。</w:t>
            </w:r>
            <w:r>
              <w:rPr>
                <w:rFonts w:hint="eastAsia" w:ascii="宋体" w:hAnsi="宋体" w:eastAsia="宋体" w:cs="宋体"/>
                <w:b/>
                <w:bCs/>
                <w:color w:val="auto"/>
                <w:kern w:val="0"/>
                <w:sz w:val="21"/>
                <w:szCs w:val="21"/>
                <w:highlight w:val="none"/>
                <w:lang w:val="en-US" w:eastAsia="zh-CN"/>
              </w:rPr>
              <w:t>证书原件核查</w:t>
            </w:r>
            <w:r>
              <w:rPr>
                <w:rFonts w:hint="eastAsia" w:ascii="宋体" w:hAnsi="宋体" w:eastAsia="宋体" w:cs="宋体"/>
                <w:color w:val="auto"/>
                <w:kern w:val="0"/>
                <w:sz w:val="21"/>
                <w:szCs w:val="21"/>
                <w:highlight w:val="none"/>
                <w:lang w:eastAsia="zh-CN"/>
              </w:rPr>
              <w:t>。</w:t>
            </w:r>
          </w:p>
          <w:p>
            <w:pPr>
              <w:pStyle w:val="13"/>
              <w:keepNext w:val="0"/>
              <w:keepLines w:val="0"/>
              <w:pageBreakBefore w:val="0"/>
              <w:numPr>
                <w:ilvl w:val="0"/>
                <w:numId w:val="70"/>
              </w:numPr>
              <w:tabs>
                <w:tab w:val="left" w:pos="0"/>
              </w:tabs>
              <w:kinsoku/>
              <w:wordWrap w:val="0"/>
              <w:overflowPunct/>
              <w:topLinePunct w:val="0"/>
              <w:bidi w:val="0"/>
              <w:spacing w:line="240" w:lineRule="auto"/>
              <w:ind w:left="425" w:leftChars="0" w:hanging="42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须提供2020年12月-2021年5月在投标人单位购买社保的证明或单位代缴个人所得税证明的复印件</w:t>
            </w:r>
            <w:r>
              <w:rPr>
                <w:rFonts w:hint="eastAsia" w:ascii="宋体" w:hAnsi="宋体" w:eastAsia="宋体" w:cs="宋体"/>
                <w:color w:val="auto"/>
                <w:kern w:val="0"/>
                <w:sz w:val="21"/>
                <w:szCs w:val="21"/>
                <w:highlight w:val="none"/>
                <w:lang w:val="en-US" w:eastAsia="zh-CN"/>
              </w:rPr>
              <w:t>作为证明材料</w:t>
            </w: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1"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eastAsia="zh-Hans"/>
              </w:rPr>
              <w:t>负责人</w:t>
            </w:r>
          </w:p>
        </w:tc>
        <w:tc>
          <w:tcPr>
            <w:tcW w:w="892" w:type="dxa"/>
            <w:vAlign w:val="center"/>
          </w:tcPr>
          <w:p>
            <w:pPr>
              <w:keepNext w:val="0"/>
              <w:keepLines w:val="0"/>
              <w:pageBreakBefore w:val="0"/>
              <w:widowControl/>
              <w:kinsoku/>
              <w:wordWrap w:val="0"/>
              <w:overflowPunct/>
              <w:topLinePunct w:val="0"/>
              <w:bidi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5449" w:type="dxa"/>
            <w:vAlign w:val="center"/>
          </w:tcPr>
          <w:p>
            <w:pPr>
              <w:pStyle w:val="11"/>
              <w:keepNext w:val="0"/>
              <w:keepLines w:val="0"/>
              <w:pageBreakBefore w:val="0"/>
              <w:kinsoku/>
              <w:wordWrap w:val="0"/>
              <w:overflowPunct/>
              <w:topLinePunct w:val="0"/>
              <w:bidi w:val="0"/>
              <w:spacing w:line="24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投标人拟派</w:t>
            </w: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eastAsia="zh-Hans"/>
              </w:rPr>
              <w:t>负责人（限1人）</w:t>
            </w:r>
            <w:r>
              <w:rPr>
                <w:rFonts w:hint="eastAsia" w:ascii="宋体" w:hAnsi="宋体" w:eastAsia="宋体" w:cs="宋体"/>
                <w:color w:val="auto"/>
                <w:sz w:val="21"/>
                <w:szCs w:val="21"/>
                <w:highlight w:val="none"/>
                <w:lang w:val="en-US" w:eastAsia="zh-CN"/>
              </w:rPr>
              <w:t>情况：</w:t>
            </w:r>
          </w:p>
          <w:p>
            <w:pPr>
              <w:pStyle w:val="11"/>
              <w:keepNext w:val="0"/>
              <w:keepLines w:val="0"/>
              <w:pageBreakBefore w:val="0"/>
              <w:numPr>
                <w:ilvl w:val="0"/>
                <w:numId w:val="71"/>
              </w:numPr>
              <w:kinsoku/>
              <w:wordWrap w:val="0"/>
              <w:overflowPunct/>
              <w:topLinePunct w:val="0"/>
              <w:bidi w:val="0"/>
              <w:spacing w:line="240" w:lineRule="auto"/>
              <w:ind w:left="42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具有大专（或以上）学历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sz w:val="21"/>
                <w:szCs w:val="21"/>
                <w:highlight w:val="none"/>
              </w:rPr>
              <w:t>；</w:t>
            </w:r>
          </w:p>
          <w:p>
            <w:pPr>
              <w:pStyle w:val="11"/>
              <w:keepNext w:val="0"/>
              <w:keepLines w:val="0"/>
              <w:pageBreakBefore w:val="0"/>
              <w:numPr>
                <w:ilvl w:val="0"/>
                <w:numId w:val="71"/>
              </w:numPr>
              <w:kinsoku/>
              <w:wordWrap w:val="0"/>
              <w:overflowPunct/>
              <w:topLinePunct w:val="0"/>
              <w:bidi w:val="0"/>
              <w:spacing w:line="240" w:lineRule="auto"/>
              <w:ind w:left="42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具有维修电工高级或以上资格证书（国家职业资格三级或以上）</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sz w:val="21"/>
                <w:szCs w:val="21"/>
                <w:highlight w:val="none"/>
              </w:rPr>
              <w:t>；</w:t>
            </w:r>
          </w:p>
          <w:p>
            <w:pPr>
              <w:pStyle w:val="11"/>
              <w:keepNext w:val="0"/>
              <w:keepLines w:val="0"/>
              <w:pageBreakBefore w:val="0"/>
              <w:numPr>
                <w:ilvl w:val="0"/>
                <w:numId w:val="71"/>
              </w:numPr>
              <w:kinsoku/>
              <w:wordWrap w:val="0"/>
              <w:overflowPunct/>
              <w:topLinePunct w:val="0"/>
              <w:bidi w:val="0"/>
              <w:spacing w:line="240" w:lineRule="auto"/>
              <w:ind w:left="42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具有制冷设备维修工高级或以上资格证书（国家职业资格三级或以上）</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sz w:val="21"/>
                <w:szCs w:val="21"/>
                <w:highlight w:val="none"/>
              </w:rPr>
              <w:t>；</w:t>
            </w:r>
          </w:p>
          <w:p>
            <w:pPr>
              <w:pStyle w:val="11"/>
              <w:keepNext w:val="0"/>
              <w:keepLines w:val="0"/>
              <w:pageBreakBefore w:val="0"/>
              <w:numPr>
                <w:ilvl w:val="0"/>
                <w:numId w:val="71"/>
              </w:numPr>
              <w:kinsoku/>
              <w:wordWrap w:val="0"/>
              <w:overflowPunct/>
              <w:topLinePunct w:val="0"/>
              <w:bidi w:val="0"/>
              <w:spacing w:line="240" w:lineRule="auto"/>
              <w:ind w:left="425" w:leftChars="0" w:hanging="425"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具有国家公安部消防局颁发的建（构）筑物消防员或初级或以上消防设施操作员（国家职业资格五级或以上）</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sz w:val="21"/>
                <w:szCs w:val="21"/>
                <w:highlight w:val="none"/>
              </w:rPr>
              <w:t>。</w:t>
            </w:r>
          </w:p>
          <w:p>
            <w:pPr>
              <w:keepNext w:val="0"/>
              <w:keepLines w:val="0"/>
              <w:pageBreakBefore w:val="0"/>
              <w:kinsoku/>
              <w:wordWrap w:val="0"/>
              <w:overflowPunct/>
              <w:topLinePunct w:val="0"/>
              <w:bidi w:val="0"/>
              <w:spacing w:line="24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pPr>
              <w:keepNext w:val="0"/>
              <w:keepLines w:val="0"/>
              <w:pageBreakBefore w:val="0"/>
              <w:numPr>
                <w:ilvl w:val="0"/>
                <w:numId w:val="72"/>
              </w:numPr>
              <w:tabs>
                <w:tab w:val="left" w:pos="0"/>
              </w:tabs>
              <w:kinsoku/>
              <w:wordWrap w:val="0"/>
              <w:overflowPunct/>
              <w:topLinePunct w:val="0"/>
              <w:bidi w:val="0"/>
              <w:spacing w:line="240" w:lineRule="auto"/>
              <w:ind w:left="425" w:hanging="4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本项最高得</w:t>
            </w: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val="en-US" w:eastAsia="zh-CN"/>
              </w:rPr>
              <w:t>分。序号1须</w:t>
            </w:r>
            <w:r>
              <w:rPr>
                <w:rFonts w:hint="eastAsia" w:ascii="宋体" w:hAnsi="宋体" w:eastAsia="宋体" w:cs="宋体"/>
                <w:color w:val="auto"/>
                <w:kern w:val="0"/>
                <w:sz w:val="21"/>
                <w:szCs w:val="21"/>
                <w:highlight w:val="none"/>
              </w:rPr>
              <w:t>提供相应学历证</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复印件</w:t>
            </w:r>
            <w:r>
              <w:rPr>
                <w:rFonts w:hint="eastAsia" w:ascii="宋体" w:hAnsi="宋体" w:eastAsia="宋体" w:cs="宋体"/>
                <w:color w:val="auto"/>
                <w:kern w:val="0"/>
                <w:sz w:val="21"/>
                <w:szCs w:val="21"/>
                <w:highlight w:val="none"/>
                <w:lang w:val="en-US" w:eastAsia="zh-CN"/>
              </w:rPr>
              <w:t>及证书在中国高等教育学生信息网(学信网) 截图作为证明材料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序号2-</w:t>
            </w:r>
            <w:r>
              <w:rPr>
                <w:rFonts w:hint="eastAsia" w:ascii="宋体" w:hAnsi="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val="en-US" w:eastAsia="zh-CN"/>
              </w:rPr>
              <w:t>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证书复印件作为证明材料。</w:t>
            </w:r>
            <w:r>
              <w:rPr>
                <w:rFonts w:hint="eastAsia" w:ascii="宋体" w:hAnsi="宋体" w:eastAsia="宋体" w:cs="宋体"/>
                <w:b/>
                <w:bCs/>
                <w:color w:val="auto"/>
                <w:kern w:val="0"/>
                <w:sz w:val="21"/>
                <w:szCs w:val="21"/>
                <w:highlight w:val="none"/>
                <w:lang w:val="en-US" w:eastAsia="zh-CN"/>
              </w:rPr>
              <w:t>证书原件核查。</w:t>
            </w:r>
          </w:p>
          <w:p>
            <w:pPr>
              <w:keepNext w:val="0"/>
              <w:keepLines w:val="0"/>
              <w:pageBreakBefore w:val="0"/>
              <w:numPr>
                <w:ilvl w:val="0"/>
                <w:numId w:val="72"/>
              </w:numPr>
              <w:tabs>
                <w:tab w:val="left" w:pos="0"/>
              </w:tabs>
              <w:kinsoku/>
              <w:wordWrap w:val="0"/>
              <w:overflowPunct/>
              <w:topLinePunct w:val="0"/>
              <w:bidi w:val="0"/>
              <w:spacing w:line="240" w:lineRule="auto"/>
              <w:ind w:left="425" w:hanging="425"/>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须提供2020年12月-2021年5月在投标人单位购买社保的证明或单位代缴个人所得税证明的复印件</w:t>
            </w:r>
            <w:r>
              <w:rPr>
                <w:rFonts w:hint="eastAsia" w:ascii="宋体" w:hAnsi="宋体" w:eastAsia="宋体" w:cs="宋体"/>
                <w:color w:val="auto"/>
                <w:kern w:val="0"/>
                <w:sz w:val="21"/>
                <w:szCs w:val="21"/>
                <w:highlight w:val="none"/>
                <w:lang w:val="en-US" w:eastAsia="zh-CN"/>
              </w:rPr>
              <w:t>作为证明材料</w:t>
            </w:r>
            <w:r>
              <w:rPr>
                <w:rFonts w:hint="eastAsia" w:ascii="宋体" w:hAnsi="宋体" w:eastAsia="宋体" w:cs="宋体"/>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安保</w:t>
            </w:r>
            <w:r>
              <w:rPr>
                <w:rFonts w:hint="eastAsia" w:ascii="宋体" w:hAnsi="宋体" w:eastAsia="宋体" w:cs="宋体"/>
                <w:color w:val="auto"/>
                <w:kern w:val="0"/>
                <w:sz w:val="21"/>
                <w:szCs w:val="21"/>
                <w:highlight w:val="none"/>
              </w:rPr>
              <w:t>负责人</w:t>
            </w:r>
          </w:p>
        </w:tc>
        <w:tc>
          <w:tcPr>
            <w:tcW w:w="892" w:type="dxa"/>
            <w:vAlign w:val="center"/>
          </w:tcPr>
          <w:p>
            <w:pPr>
              <w:keepNext w:val="0"/>
              <w:keepLines w:val="0"/>
              <w:pageBreakBefore w:val="0"/>
              <w:widowControl/>
              <w:kinsoku/>
              <w:wordWrap w:val="0"/>
              <w:overflowPunct/>
              <w:topLinePunct w:val="0"/>
              <w:bidi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5449" w:type="dxa"/>
            <w:vAlign w:val="center"/>
          </w:tcPr>
          <w:p>
            <w:pPr>
              <w:keepNext w:val="0"/>
              <w:keepLines w:val="0"/>
              <w:pageBreakBefore w:val="0"/>
              <w:kinsoku/>
              <w:wordWrap w:val="0"/>
              <w:overflowPunct/>
              <w:topLinePunct w:val="0"/>
              <w:bidi w:val="0"/>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投标人拟派</w:t>
            </w:r>
            <w:r>
              <w:rPr>
                <w:rFonts w:hint="eastAsia" w:ascii="宋体" w:hAnsi="宋体" w:eastAsia="宋体" w:cs="宋体"/>
                <w:color w:val="auto"/>
                <w:kern w:val="0"/>
                <w:sz w:val="21"/>
                <w:szCs w:val="21"/>
                <w:highlight w:val="none"/>
                <w:lang w:val="en-US" w:eastAsia="zh-CN"/>
              </w:rPr>
              <w:t>安保</w:t>
            </w:r>
            <w:r>
              <w:rPr>
                <w:rFonts w:hint="eastAsia" w:ascii="宋体" w:hAnsi="宋体" w:eastAsia="宋体" w:cs="宋体"/>
                <w:color w:val="auto"/>
                <w:kern w:val="0"/>
                <w:sz w:val="21"/>
                <w:szCs w:val="21"/>
                <w:highlight w:val="none"/>
              </w:rPr>
              <w:t>负责人</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限1人</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情况：</w:t>
            </w:r>
          </w:p>
          <w:p>
            <w:pPr>
              <w:keepNext w:val="0"/>
              <w:keepLines w:val="0"/>
              <w:pageBreakBefore w:val="0"/>
              <w:numPr>
                <w:ilvl w:val="0"/>
                <w:numId w:val="73"/>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具有大专（或以上）学历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kern w:val="0"/>
                <w:sz w:val="21"/>
                <w:szCs w:val="21"/>
                <w:highlight w:val="none"/>
              </w:rPr>
              <w:t>；</w:t>
            </w:r>
          </w:p>
          <w:p>
            <w:pPr>
              <w:keepNext w:val="0"/>
              <w:keepLines w:val="0"/>
              <w:pageBreakBefore w:val="0"/>
              <w:numPr>
                <w:ilvl w:val="0"/>
                <w:numId w:val="73"/>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具有国家公安部消防局颁发的建（构）筑物消防员或初级或以上消防设施操作员（国家职业资格五级或以上）</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kern w:val="0"/>
                <w:sz w:val="21"/>
                <w:szCs w:val="21"/>
                <w:highlight w:val="none"/>
              </w:rPr>
              <w:t>；</w:t>
            </w:r>
          </w:p>
          <w:p>
            <w:pPr>
              <w:keepNext w:val="0"/>
              <w:keepLines w:val="0"/>
              <w:pageBreakBefore w:val="0"/>
              <w:numPr>
                <w:ilvl w:val="0"/>
                <w:numId w:val="73"/>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具有保安</w:t>
            </w:r>
            <w:r>
              <w:rPr>
                <w:rFonts w:hint="eastAsia" w:ascii="宋体" w:hAnsi="宋体" w:eastAsia="宋体" w:cs="宋体"/>
                <w:color w:val="auto"/>
                <w:kern w:val="0"/>
                <w:sz w:val="21"/>
                <w:szCs w:val="21"/>
                <w:highlight w:val="none"/>
                <w:lang w:val="en-US" w:eastAsia="zh-CN"/>
              </w:rPr>
              <w:t>员二级</w:t>
            </w:r>
            <w:r>
              <w:rPr>
                <w:rFonts w:hint="eastAsia" w:ascii="宋体" w:hAnsi="宋体" w:eastAsia="宋体" w:cs="宋体"/>
                <w:color w:val="auto"/>
                <w:sz w:val="21"/>
                <w:szCs w:val="21"/>
                <w:highlight w:val="none"/>
              </w:rPr>
              <w:t>或以上资格证书（国家职业资格</w:t>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级或以上）</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cs="宋体"/>
                <w:color w:val="auto"/>
                <w:kern w:val="0"/>
                <w:sz w:val="21"/>
                <w:szCs w:val="21"/>
                <w:highlight w:val="none"/>
                <w:lang w:val="en-US" w:eastAsia="zh-CN"/>
              </w:rPr>
              <w:t>。</w:t>
            </w:r>
          </w:p>
          <w:p>
            <w:pPr>
              <w:keepNext w:val="0"/>
              <w:keepLines w:val="0"/>
              <w:pageBreakBefore w:val="0"/>
              <w:kinsoku/>
              <w:wordWrap w:val="0"/>
              <w:overflowPunct/>
              <w:topLinePunct w:val="0"/>
              <w:bidi w:val="0"/>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p>
            <w:pPr>
              <w:keepNext w:val="0"/>
              <w:keepLines w:val="0"/>
              <w:pageBreakBefore w:val="0"/>
              <w:numPr>
                <w:ilvl w:val="0"/>
                <w:numId w:val="74"/>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本项最高得3分。序号1须</w:t>
            </w:r>
            <w:r>
              <w:rPr>
                <w:rFonts w:hint="eastAsia" w:ascii="宋体" w:hAnsi="宋体" w:eastAsia="宋体" w:cs="宋体"/>
                <w:color w:val="auto"/>
                <w:kern w:val="0"/>
                <w:sz w:val="21"/>
                <w:szCs w:val="21"/>
                <w:highlight w:val="none"/>
              </w:rPr>
              <w:t>提供相应学历证</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复印件</w:t>
            </w:r>
            <w:r>
              <w:rPr>
                <w:rFonts w:hint="eastAsia" w:ascii="宋体" w:hAnsi="宋体" w:eastAsia="宋体" w:cs="宋体"/>
                <w:color w:val="auto"/>
                <w:kern w:val="0"/>
                <w:sz w:val="21"/>
                <w:szCs w:val="21"/>
                <w:highlight w:val="none"/>
                <w:lang w:val="en-US" w:eastAsia="zh-CN"/>
              </w:rPr>
              <w:t>及证书在中国高等教育学生信息网(学信网) 截图作为证明材料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序号2、3须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证书复印件作为证明材料。</w:t>
            </w:r>
            <w:r>
              <w:rPr>
                <w:rFonts w:hint="eastAsia" w:ascii="宋体" w:hAnsi="宋体" w:eastAsia="宋体" w:cs="宋体"/>
                <w:b/>
                <w:bCs/>
                <w:color w:val="auto"/>
                <w:kern w:val="0"/>
                <w:sz w:val="21"/>
                <w:szCs w:val="21"/>
                <w:highlight w:val="none"/>
                <w:lang w:val="en-US" w:eastAsia="zh-CN"/>
              </w:rPr>
              <w:t>证书原件核查。</w:t>
            </w:r>
          </w:p>
          <w:p>
            <w:pPr>
              <w:pStyle w:val="13"/>
              <w:keepNext w:val="0"/>
              <w:keepLines w:val="0"/>
              <w:pageBreakBefore w:val="0"/>
              <w:numPr>
                <w:ilvl w:val="0"/>
                <w:numId w:val="74"/>
              </w:numPr>
              <w:kinsoku/>
              <w:wordWrap w:val="0"/>
              <w:overflowPunct/>
              <w:topLinePunct w:val="0"/>
              <w:bidi w:val="0"/>
              <w:spacing w:line="240" w:lineRule="auto"/>
              <w:ind w:left="425" w:leftChars="0" w:hanging="42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须提供2020年12月-2021年5月在投标人单位购买社保的证明或单位代缴个人所得税证明的复印件作为证明材料</w:t>
            </w: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0"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客服负责人</w:t>
            </w:r>
          </w:p>
        </w:tc>
        <w:tc>
          <w:tcPr>
            <w:tcW w:w="892" w:type="dxa"/>
            <w:vAlign w:val="center"/>
          </w:tcPr>
          <w:p>
            <w:pPr>
              <w:keepNext w:val="0"/>
              <w:keepLines w:val="0"/>
              <w:pageBreakBefore w:val="0"/>
              <w:widowControl/>
              <w:kinsoku/>
              <w:wordWrap w:val="0"/>
              <w:overflowPunct/>
              <w:topLinePunct w:val="0"/>
              <w:bidi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5449" w:type="dxa"/>
            <w:vAlign w:val="center"/>
          </w:tcPr>
          <w:p>
            <w:pPr>
              <w:keepNext w:val="0"/>
              <w:keepLines w:val="0"/>
              <w:pageBreakBefore w:val="0"/>
              <w:kinsoku/>
              <w:wordWrap w:val="0"/>
              <w:overflowPunct/>
              <w:topLinePunct w:val="0"/>
              <w:bidi w:val="0"/>
              <w:spacing w:line="24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投标人拟派客服负责人（限1人）情况：</w:t>
            </w:r>
          </w:p>
          <w:p>
            <w:pPr>
              <w:keepNext w:val="0"/>
              <w:keepLines w:val="0"/>
              <w:pageBreakBefore w:val="0"/>
              <w:numPr>
                <w:ilvl w:val="0"/>
                <w:numId w:val="75"/>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具有本科（或以上）学历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kern w:val="0"/>
                <w:sz w:val="21"/>
                <w:szCs w:val="21"/>
                <w:highlight w:val="none"/>
              </w:rPr>
              <w:t>；</w:t>
            </w:r>
          </w:p>
          <w:p>
            <w:pPr>
              <w:keepNext w:val="0"/>
              <w:keepLines w:val="0"/>
              <w:pageBreakBefore w:val="0"/>
              <w:numPr>
                <w:ilvl w:val="0"/>
                <w:numId w:val="75"/>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w:t>
            </w:r>
            <w:r>
              <w:rPr>
                <w:rFonts w:hint="eastAsia" w:ascii="宋体" w:hAnsi="宋体" w:eastAsia="宋体" w:cs="宋体"/>
                <w:color w:val="auto"/>
                <w:kern w:val="0"/>
                <w:sz w:val="21"/>
                <w:szCs w:val="21"/>
                <w:highlight w:val="none"/>
                <w:lang w:val="en-US" w:eastAsia="zh-CN"/>
              </w:rPr>
              <w:t>全国大学英语四、六级考试委员会颁发的大学英语四级考试成绩报告单总分425分或以上的，得0.5分</w:t>
            </w:r>
            <w:r>
              <w:rPr>
                <w:rFonts w:hint="eastAsia" w:ascii="宋体" w:hAnsi="宋体" w:eastAsia="宋体" w:cs="宋体"/>
                <w:color w:val="auto"/>
                <w:highlight w:val="none"/>
                <w:lang w:eastAsia="zh-CN"/>
              </w:rPr>
              <w:t>；大学英语六级考试成绩报告单总分425分或以上的，得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分，本子项最高得</w:t>
            </w:r>
            <w:r>
              <w:rPr>
                <w:rFonts w:hint="eastAsia" w:ascii="宋体" w:hAnsi="宋体" w:eastAsia="宋体" w:cs="宋体"/>
                <w:color w:val="auto"/>
                <w:highlight w:val="none"/>
                <w:lang w:val="en-US" w:eastAsia="zh-CN"/>
              </w:rPr>
              <w:t>1分；</w:t>
            </w:r>
          </w:p>
          <w:p>
            <w:pPr>
              <w:keepNext w:val="0"/>
              <w:keepLines w:val="0"/>
              <w:pageBreakBefore w:val="0"/>
              <w:numPr>
                <w:ilvl w:val="0"/>
                <w:numId w:val="75"/>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具有普通话</w:t>
            </w:r>
            <w:r>
              <w:rPr>
                <w:rFonts w:hint="eastAsia" w:ascii="宋体" w:hAnsi="宋体" w:eastAsia="宋体" w:cs="宋体"/>
                <w:color w:val="auto"/>
                <w:sz w:val="21"/>
                <w:szCs w:val="21"/>
                <w:highlight w:val="none"/>
                <w:lang w:val="en-US" w:eastAsia="zh-CN"/>
              </w:rPr>
              <w:t>二级乙等或以上</w:t>
            </w:r>
            <w:r>
              <w:rPr>
                <w:rFonts w:hint="eastAsia" w:ascii="宋体" w:hAnsi="宋体" w:eastAsia="宋体" w:cs="宋体"/>
                <w:color w:val="auto"/>
                <w:kern w:val="0"/>
                <w:sz w:val="21"/>
                <w:szCs w:val="21"/>
                <w:highlight w:val="none"/>
                <w:lang w:val="en-US" w:eastAsia="zh-CN"/>
              </w:rPr>
              <w:t>等级</w:t>
            </w:r>
            <w:r>
              <w:rPr>
                <w:rFonts w:hint="eastAsia" w:ascii="宋体" w:hAnsi="宋体" w:eastAsia="宋体" w:cs="宋体"/>
                <w:color w:val="auto"/>
                <w:kern w:val="0"/>
                <w:sz w:val="21"/>
                <w:szCs w:val="21"/>
                <w:highlight w:val="none"/>
              </w:rPr>
              <w:t>证书</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kern w:val="0"/>
                <w:sz w:val="21"/>
                <w:szCs w:val="21"/>
                <w:highlight w:val="none"/>
                <w:lang w:eastAsia="zh-CN"/>
              </w:rPr>
              <w:t>。</w:t>
            </w:r>
          </w:p>
          <w:p>
            <w:pPr>
              <w:keepNext w:val="0"/>
              <w:keepLines w:val="0"/>
              <w:pageBreakBefore w:val="0"/>
              <w:kinsoku/>
              <w:wordWrap w:val="0"/>
              <w:overflowPunct/>
              <w:topLinePunct w:val="0"/>
              <w:bidi w:val="0"/>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p>
            <w:pPr>
              <w:keepNext w:val="0"/>
              <w:keepLines w:val="0"/>
              <w:pageBreakBefore w:val="0"/>
              <w:numPr>
                <w:ilvl w:val="0"/>
                <w:numId w:val="76"/>
              </w:numPr>
              <w:tabs>
                <w:tab w:val="left" w:pos="0"/>
              </w:tabs>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本项最高得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分。序号1须</w:t>
            </w:r>
            <w:r>
              <w:rPr>
                <w:rFonts w:hint="eastAsia" w:ascii="宋体" w:hAnsi="宋体" w:eastAsia="宋体" w:cs="宋体"/>
                <w:color w:val="auto"/>
                <w:kern w:val="0"/>
                <w:sz w:val="21"/>
                <w:szCs w:val="21"/>
                <w:highlight w:val="none"/>
              </w:rPr>
              <w:t>提供相应学历证</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复印件</w:t>
            </w:r>
            <w:r>
              <w:rPr>
                <w:rFonts w:hint="eastAsia" w:ascii="宋体" w:hAnsi="宋体" w:eastAsia="宋体" w:cs="宋体"/>
                <w:color w:val="auto"/>
                <w:kern w:val="0"/>
                <w:sz w:val="21"/>
                <w:szCs w:val="21"/>
                <w:highlight w:val="none"/>
                <w:lang w:val="en-US" w:eastAsia="zh-CN"/>
              </w:rPr>
              <w:t>及证书在中国高等教育学生信息网(学信网) 截图作为证明材料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序号2、3须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证书复印件作为证明材料。</w:t>
            </w:r>
            <w:r>
              <w:rPr>
                <w:rFonts w:hint="eastAsia" w:ascii="宋体" w:hAnsi="宋体" w:eastAsia="宋体" w:cs="宋体"/>
                <w:b/>
                <w:bCs/>
                <w:color w:val="auto"/>
                <w:kern w:val="0"/>
                <w:sz w:val="21"/>
                <w:szCs w:val="21"/>
                <w:highlight w:val="none"/>
                <w:lang w:val="en-US" w:eastAsia="zh-CN"/>
              </w:rPr>
              <w:t>证书原件核查</w:t>
            </w:r>
            <w:r>
              <w:rPr>
                <w:rFonts w:hint="eastAsia" w:ascii="宋体" w:hAnsi="宋体" w:eastAsia="宋体" w:cs="宋体"/>
                <w:b w:val="0"/>
                <w:bCs w:val="0"/>
                <w:color w:val="auto"/>
                <w:kern w:val="0"/>
                <w:sz w:val="21"/>
                <w:szCs w:val="21"/>
                <w:highlight w:val="none"/>
                <w:lang w:val="en-US" w:eastAsia="zh-CN"/>
              </w:rPr>
              <w:t>。</w:t>
            </w:r>
          </w:p>
          <w:p>
            <w:pPr>
              <w:pStyle w:val="13"/>
              <w:keepNext w:val="0"/>
              <w:keepLines w:val="0"/>
              <w:pageBreakBefore w:val="0"/>
              <w:numPr>
                <w:ilvl w:val="0"/>
                <w:numId w:val="76"/>
              </w:numPr>
              <w:tabs>
                <w:tab w:val="left" w:pos="0"/>
              </w:tabs>
              <w:kinsoku/>
              <w:wordWrap w:val="0"/>
              <w:overflowPunct/>
              <w:topLinePunct w:val="0"/>
              <w:bidi w:val="0"/>
              <w:spacing w:line="240" w:lineRule="auto"/>
              <w:ind w:left="425" w:leftChars="0" w:hanging="425" w:firstLineChars="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须提供2020年12月-2021年5月在投标人单位购买社保的证明或单位代缴个人所得税证明的复印件作为证明材料</w:t>
            </w: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838" w:type="dxa"/>
            <w:vAlign w:val="center"/>
          </w:tcPr>
          <w:p>
            <w:pPr>
              <w:keepNext w:val="0"/>
              <w:keepLines w:val="0"/>
              <w:pageBreakBefore w:val="0"/>
              <w:widowControl/>
              <w:numPr>
                <w:ilvl w:val="0"/>
                <w:numId w:val="59"/>
              </w:numPr>
              <w:tabs>
                <w:tab w:val="left" w:pos="210"/>
              </w:tabs>
              <w:kinsoku/>
              <w:wordWrap w:val="0"/>
              <w:overflowPunct/>
              <w:topLinePunct w:val="0"/>
              <w:bidi w:val="0"/>
              <w:spacing w:line="240" w:lineRule="auto"/>
              <w:ind w:left="425" w:leftChars="0" w:hanging="425" w:firstLineChars="0"/>
              <w:jc w:val="center"/>
              <w:textAlignment w:val="auto"/>
              <w:rPr>
                <w:rFonts w:hint="eastAsia" w:ascii="宋体" w:hAnsi="宋体" w:eastAsia="宋体" w:cs="宋体"/>
                <w:color w:val="auto"/>
                <w:sz w:val="21"/>
                <w:szCs w:val="21"/>
                <w:highlight w:val="none"/>
              </w:rPr>
            </w:pPr>
          </w:p>
        </w:tc>
        <w:tc>
          <w:tcPr>
            <w:tcW w:w="2147" w:type="dxa"/>
            <w:vAlign w:val="center"/>
          </w:tcPr>
          <w:p>
            <w:pPr>
              <w:keepNext w:val="0"/>
              <w:keepLines w:val="0"/>
              <w:pageBreakBefore w:val="0"/>
              <w:kinsoku/>
              <w:wordWrap w:val="0"/>
              <w:overflowPunct/>
              <w:topLinePunct w:val="0"/>
              <w:bidi w:val="0"/>
              <w:spacing w:line="240" w:lineRule="auto"/>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环境负责人</w:t>
            </w:r>
          </w:p>
        </w:tc>
        <w:tc>
          <w:tcPr>
            <w:tcW w:w="892" w:type="dxa"/>
            <w:vAlign w:val="center"/>
          </w:tcPr>
          <w:p>
            <w:pPr>
              <w:keepNext w:val="0"/>
              <w:keepLines w:val="0"/>
              <w:pageBreakBefore w:val="0"/>
              <w:widowControl/>
              <w:kinsoku/>
              <w:wordWrap w:val="0"/>
              <w:overflowPunct/>
              <w:topLinePunct w:val="0"/>
              <w:bidi w:val="0"/>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5449" w:type="dxa"/>
            <w:vAlign w:val="center"/>
          </w:tcPr>
          <w:p>
            <w:pPr>
              <w:keepNext w:val="0"/>
              <w:keepLines w:val="0"/>
              <w:pageBreakBefore w:val="0"/>
              <w:numPr>
                <w:ilvl w:val="0"/>
                <w:numId w:val="0"/>
              </w:numPr>
              <w:kinsoku/>
              <w:wordWrap w:val="0"/>
              <w:overflowPunct/>
              <w:topLinePunct w:val="0"/>
              <w:bidi w:val="0"/>
              <w:spacing w:line="240" w:lineRule="auto"/>
              <w:ind w:left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投标人拟派环境负责人（限1人）情况：</w:t>
            </w:r>
          </w:p>
          <w:p>
            <w:pPr>
              <w:keepNext w:val="0"/>
              <w:keepLines w:val="0"/>
              <w:pageBreakBefore w:val="0"/>
              <w:numPr>
                <w:ilvl w:val="0"/>
                <w:numId w:val="77"/>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w:t>
            </w:r>
            <w:r>
              <w:rPr>
                <w:rFonts w:hint="eastAsia" w:ascii="宋体" w:hAnsi="宋体" w:eastAsia="宋体" w:cs="宋体"/>
                <w:color w:val="auto"/>
                <w:kern w:val="0"/>
                <w:sz w:val="21"/>
                <w:szCs w:val="21"/>
                <w:highlight w:val="none"/>
                <w:lang w:eastAsia="zh-CN"/>
              </w:rPr>
              <w:t>大专</w:t>
            </w:r>
            <w:r>
              <w:rPr>
                <w:rFonts w:hint="eastAsia" w:ascii="宋体" w:hAnsi="宋体" w:eastAsia="宋体" w:cs="宋体"/>
                <w:color w:val="auto"/>
                <w:kern w:val="0"/>
                <w:sz w:val="21"/>
                <w:szCs w:val="21"/>
                <w:highlight w:val="none"/>
              </w:rPr>
              <w:t>（或以上）学历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eastAsia="宋体" w:cs="宋体"/>
                <w:color w:val="auto"/>
                <w:kern w:val="0"/>
                <w:sz w:val="21"/>
                <w:szCs w:val="21"/>
                <w:highlight w:val="none"/>
              </w:rPr>
              <w:t>；</w:t>
            </w:r>
          </w:p>
          <w:p>
            <w:pPr>
              <w:keepNext w:val="0"/>
              <w:keepLines w:val="0"/>
              <w:pageBreakBefore w:val="0"/>
              <w:numPr>
                <w:ilvl w:val="0"/>
                <w:numId w:val="77"/>
              </w:numPr>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w:t>
            </w:r>
            <w:r>
              <w:rPr>
                <w:rFonts w:hint="eastAsia" w:ascii="宋体" w:hAnsi="宋体" w:eastAsia="宋体" w:cs="宋体"/>
                <w:color w:val="auto"/>
                <w:kern w:val="0"/>
                <w:sz w:val="21"/>
                <w:szCs w:val="21"/>
                <w:highlight w:val="none"/>
                <w:lang w:val="en-US" w:eastAsia="zh-CN"/>
              </w:rPr>
              <w:t>高级绿化工</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得1分</w:t>
            </w:r>
            <w:r>
              <w:rPr>
                <w:rFonts w:hint="eastAsia" w:ascii="宋体" w:hAnsi="宋体" w:cs="宋体"/>
                <w:color w:val="auto"/>
                <w:kern w:val="0"/>
                <w:sz w:val="21"/>
                <w:szCs w:val="21"/>
                <w:highlight w:val="none"/>
                <w:lang w:eastAsia="zh-CN"/>
              </w:rPr>
              <w:t>。</w:t>
            </w:r>
          </w:p>
          <w:p>
            <w:pPr>
              <w:keepNext w:val="0"/>
              <w:keepLines w:val="0"/>
              <w:pageBreakBefore w:val="0"/>
              <w:kinsoku/>
              <w:wordWrap w:val="0"/>
              <w:overflowPunct/>
              <w:topLinePunct w:val="0"/>
              <w:bidi w:val="0"/>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w:t>
            </w:r>
          </w:p>
          <w:p>
            <w:pPr>
              <w:keepNext w:val="0"/>
              <w:keepLines w:val="0"/>
              <w:pageBreakBefore w:val="0"/>
              <w:numPr>
                <w:ilvl w:val="0"/>
                <w:numId w:val="78"/>
              </w:numPr>
              <w:tabs>
                <w:tab w:val="left" w:pos="0"/>
              </w:tabs>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本项最高得2分。序号1须</w:t>
            </w:r>
            <w:r>
              <w:rPr>
                <w:rFonts w:hint="eastAsia" w:ascii="宋体" w:hAnsi="宋体" w:eastAsia="宋体" w:cs="宋体"/>
                <w:color w:val="auto"/>
                <w:kern w:val="0"/>
                <w:sz w:val="21"/>
                <w:szCs w:val="21"/>
                <w:highlight w:val="none"/>
              </w:rPr>
              <w:t>提供相应学历证</w:t>
            </w:r>
            <w:r>
              <w:rPr>
                <w:rFonts w:hint="eastAsia" w:ascii="宋体" w:hAnsi="宋体" w:eastAsia="宋体" w:cs="宋体"/>
                <w:color w:val="auto"/>
                <w:kern w:val="0"/>
                <w:sz w:val="21"/>
                <w:szCs w:val="21"/>
                <w:highlight w:val="none"/>
                <w:lang w:val="en-US" w:eastAsia="zh-CN"/>
              </w:rPr>
              <w:t>书</w:t>
            </w:r>
            <w:r>
              <w:rPr>
                <w:rFonts w:hint="eastAsia" w:ascii="宋体" w:hAnsi="宋体" w:eastAsia="宋体" w:cs="宋体"/>
                <w:color w:val="auto"/>
                <w:kern w:val="0"/>
                <w:sz w:val="21"/>
                <w:szCs w:val="21"/>
                <w:highlight w:val="none"/>
              </w:rPr>
              <w:t>复印件</w:t>
            </w:r>
            <w:r>
              <w:rPr>
                <w:rFonts w:hint="eastAsia" w:ascii="宋体" w:hAnsi="宋体" w:eastAsia="宋体" w:cs="宋体"/>
                <w:color w:val="auto"/>
                <w:kern w:val="0"/>
                <w:sz w:val="21"/>
                <w:szCs w:val="21"/>
                <w:highlight w:val="none"/>
                <w:lang w:val="en-US" w:eastAsia="zh-CN"/>
              </w:rPr>
              <w:t>及证书在中国高等教育学生信息网(学信网) 截图作为证明材料</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序号2须</w:t>
            </w:r>
            <w:r>
              <w:rPr>
                <w:rFonts w:hint="eastAsia" w:ascii="宋体" w:hAnsi="宋体" w:eastAsia="宋体" w:cs="宋体"/>
                <w:color w:val="auto"/>
                <w:kern w:val="0"/>
                <w:sz w:val="21"/>
                <w:szCs w:val="21"/>
                <w:highlight w:val="none"/>
              </w:rPr>
              <w:t>提供</w:t>
            </w:r>
            <w:r>
              <w:rPr>
                <w:rFonts w:hint="eastAsia" w:ascii="宋体" w:hAnsi="宋体" w:eastAsia="宋体" w:cs="宋体"/>
                <w:color w:val="auto"/>
                <w:kern w:val="0"/>
                <w:sz w:val="21"/>
                <w:szCs w:val="21"/>
                <w:highlight w:val="none"/>
                <w:lang w:val="en-US" w:eastAsia="zh-CN"/>
              </w:rPr>
              <w:t>证书复印件作为证明材料。</w:t>
            </w:r>
            <w:r>
              <w:rPr>
                <w:rFonts w:hint="eastAsia" w:ascii="宋体" w:hAnsi="宋体" w:eastAsia="宋体" w:cs="宋体"/>
                <w:b/>
                <w:bCs/>
                <w:color w:val="auto"/>
                <w:kern w:val="0"/>
                <w:sz w:val="21"/>
                <w:szCs w:val="21"/>
                <w:highlight w:val="none"/>
                <w:lang w:val="en-US" w:eastAsia="zh-CN"/>
              </w:rPr>
              <w:t>证书原件核查。</w:t>
            </w:r>
          </w:p>
          <w:p>
            <w:pPr>
              <w:keepNext w:val="0"/>
              <w:keepLines w:val="0"/>
              <w:pageBreakBefore w:val="0"/>
              <w:numPr>
                <w:ilvl w:val="0"/>
                <w:numId w:val="78"/>
              </w:numPr>
              <w:tabs>
                <w:tab w:val="left" w:pos="0"/>
              </w:tabs>
              <w:kinsoku/>
              <w:wordWrap w:val="0"/>
              <w:overflowPunct/>
              <w:topLinePunct w:val="0"/>
              <w:bidi w:val="0"/>
              <w:spacing w:line="240" w:lineRule="auto"/>
              <w:ind w:left="425" w:leftChars="0" w:hanging="425" w:firstLineChars="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须提供2020年12月-2021年5月在投标人单位购买社保的证明或单位代缴个人所得税证明的复印件作为证明材料。</w:t>
            </w:r>
          </w:p>
        </w:tc>
      </w:tr>
    </w:tbl>
    <w:p>
      <w:pPr>
        <w:snapToGrid w:val="0"/>
        <w:spacing w:line="360" w:lineRule="auto"/>
        <w:ind w:firstLine="105" w:firstLineChars="5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p>
      <w:pPr>
        <w:numPr>
          <w:ilvl w:val="0"/>
          <w:numId w:val="79"/>
        </w:num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招标文件要求提交的与评价指标体系相关的各类有效资料，投标人如未按要求提交的，该项评分为零分。</w:t>
      </w:r>
    </w:p>
    <w:p>
      <w:pPr>
        <w:numPr>
          <w:ilvl w:val="0"/>
          <w:numId w:val="79"/>
        </w:num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技术评分：所有评委评分分值的算术平均值（四舍五入后，</w:t>
      </w:r>
      <w:r>
        <w:rPr>
          <w:rFonts w:hint="eastAsia" w:ascii="宋体" w:hAnsi="宋体" w:eastAsia="宋体" w:cs="宋体"/>
          <w:color w:val="auto"/>
          <w:sz w:val="21"/>
          <w:szCs w:val="21"/>
          <w:highlight w:val="none"/>
        </w:rPr>
        <w:t>小数点后保留两位有效数</w:t>
      </w:r>
      <w:r>
        <w:rPr>
          <w:rFonts w:hint="eastAsia" w:ascii="宋体" w:hAnsi="宋体" w:eastAsia="宋体" w:cs="宋体"/>
          <w:bCs/>
          <w:color w:val="auto"/>
          <w:sz w:val="21"/>
          <w:szCs w:val="21"/>
          <w:highlight w:val="none"/>
        </w:rPr>
        <w:t>）。</w:t>
      </w:r>
    </w:p>
    <w:p>
      <w:pPr>
        <w:numPr>
          <w:ilvl w:val="0"/>
          <w:numId w:val="79"/>
        </w:numPr>
        <w:snapToGrid w:val="0"/>
        <w:spacing w:line="360" w:lineRule="auto"/>
        <w:rPr>
          <w:rFonts w:hint="eastAsia" w:ascii="宋体" w:hAnsi="宋体" w:eastAsia="宋体" w:cs="宋体"/>
          <w:bCs/>
          <w:color w:val="auto"/>
          <w:sz w:val="21"/>
          <w:szCs w:val="21"/>
          <w:highlight w:val="none"/>
        </w:rPr>
      </w:pPr>
      <w:r>
        <w:rPr>
          <w:rFonts w:hint="eastAsia" w:ascii="宋体" w:hAnsi="宋体"/>
          <w:bCs/>
          <w:color w:val="auto"/>
          <w:highlight w:val="none"/>
        </w:rPr>
        <w:t>评审内容中所要求提交“原件”的应独立封装，并内附“资料原件提交清单”（详见第七章投标文件格式），评标结束当日退回，如未提供原件的，该项评分为0分。“资料原件提交清单”请按要求提交，如因未提交产生的不利影响，由投标人自行承担</w:t>
      </w:r>
      <w:r>
        <w:rPr>
          <w:rFonts w:hint="eastAsia" w:ascii="宋体" w:hAnsi="宋体"/>
          <w:bCs/>
          <w:color w:val="auto"/>
          <w:highlight w:val="none"/>
          <w:lang w:eastAsia="zh-CN"/>
        </w:rPr>
        <w:t>。</w:t>
      </w:r>
    </w:p>
    <w:p>
      <w:pPr>
        <w:snapToGrid w:val="0"/>
        <w:spacing w:line="360" w:lineRule="auto"/>
        <w:ind w:firstLine="525" w:firstLineChars="250"/>
        <w:rPr>
          <w:rFonts w:hint="eastAsia" w:ascii="宋体" w:hAnsi="宋体" w:eastAsia="宋体" w:cs="宋体"/>
          <w:bCs/>
          <w:color w:val="auto"/>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adjustRightInd w:val="0"/>
        <w:snapToGrid w:val="0"/>
        <w:spacing w:before="156" w:beforeLines="50" w:after="156" w:afterLines="50" w:line="360" w:lineRule="auto"/>
        <w:jc w:val="center"/>
        <w:rPr>
          <w:rFonts w:hint="eastAsia" w:ascii="黑体" w:hAnsi="宋体" w:eastAsia="黑体" w:cs="宋体"/>
          <w:color w:val="auto"/>
          <w:sz w:val="28"/>
          <w:szCs w:val="28"/>
          <w:highlight w:val="none"/>
        </w:rPr>
      </w:pPr>
      <w:r>
        <w:rPr>
          <w:rFonts w:hint="eastAsia" w:ascii="黑体" w:hAnsi="宋体" w:eastAsia="黑体" w:cs="宋体"/>
          <w:color w:val="auto"/>
          <w:sz w:val="28"/>
          <w:szCs w:val="28"/>
          <w:highlight w:val="none"/>
        </w:rPr>
        <w:t>商务部分评分表</w:t>
      </w:r>
    </w:p>
    <w:p>
      <w:pPr>
        <w:adjustRightInd w:val="0"/>
        <w:snapToGrid w:val="0"/>
        <w:spacing w:before="156" w:beforeLines="50" w:after="156" w:afterLines="50" w:line="360" w:lineRule="auto"/>
        <w:jc w:val="center"/>
        <w:rPr>
          <w:rFonts w:hint="eastAsia" w:ascii="黑体" w:hAnsi="宋体" w:eastAsia="黑体" w:cs="宋体"/>
          <w:color w:val="auto"/>
          <w:sz w:val="28"/>
          <w:szCs w:val="28"/>
          <w:highlight w:val="none"/>
        </w:rPr>
      </w:pPr>
      <w:r>
        <w:rPr>
          <w:rFonts w:hint="eastAsia" w:ascii="黑体" w:hAnsi="宋体" w:eastAsia="黑体" w:cs="宋体"/>
          <w:color w:val="auto"/>
          <w:sz w:val="28"/>
          <w:szCs w:val="28"/>
          <w:highlight w:val="none"/>
        </w:rPr>
        <w:t>（</w:t>
      </w:r>
      <w:r>
        <w:rPr>
          <w:rFonts w:hint="eastAsia" w:ascii="黑体" w:hAnsi="宋体" w:eastAsia="黑体" w:cs="宋体"/>
          <w:color w:val="auto"/>
          <w:sz w:val="28"/>
          <w:szCs w:val="28"/>
          <w:highlight w:val="none"/>
          <w:lang w:val="en-US" w:eastAsia="zh-CN"/>
        </w:rPr>
        <w:t>35</w:t>
      </w:r>
      <w:r>
        <w:rPr>
          <w:rFonts w:hint="eastAsia" w:ascii="黑体" w:hAnsi="宋体" w:eastAsia="黑体" w:cs="宋体"/>
          <w:color w:val="auto"/>
          <w:sz w:val="28"/>
          <w:szCs w:val="28"/>
          <w:highlight w:val="none"/>
        </w:rPr>
        <w:t>分）</w:t>
      </w:r>
    </w:p>
    <w:tbl>
      <w:tblPr>
        <w:tblStyle w:val="21"/>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8"/>
        <w:gridCol w:w="1712"/>
        <w:gridCol w:w="960"/>
        <w:gridCol w:w="58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exact"/>
          <w:jc w:val="center"/>
        </w:trPr>
        <w:tc>
          <w:tcPr>
            <w:tcW w:w="838" w:type="dxa"/>
            <w:vAlign w:val="center"/>
          </w:tcPr>
          <w:p>
            <w:pPr>
              <w:spacing w:line="240" w:lineRule="auto"/>
              <w:jc w:val="center"/>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序号</w:t>
            </w:r>
          </w:p>
        </w:tc>
        <w:tc>
          <w:tcPr>
            <w:tcW w:w="1712" w:type="dxa"/>
            <w:vAlign w:val="center"/>
          </w:tcPr>
          <w:p>
            <w:pPr>
              <w:spacing w:line="240" w:lineRule="auto"/>
              <w:jc w:val="center"/>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评分因素</w:t>
            </w:r>
          </w:p>
        </w:tc>
        <w:tc>
          <w:tcPr>
            <w:tcW w:w="960" w:type="dxa"/>
            <w:vAlign w:val="center"/>
          </w:tcPr>
          <w:p>
            <w:pPr>
              <w:spacing w:line="240" w:lineRule="auto"/>
              <w:jc w:val="center"/>
              <w:rPr>
                <w:rFonts w:hint="eastAsia" w:asciiTheme="minorEastAsia" w:hAnsiTheme="minorEastAsia" w:eastAsiaTheme="minorEastAsia" w:cstheme="minorEastAsia"/>
                <w:b/>
                <w:color w:val="auto"/>
                <w:sz w:val="21"/>
                <w:szCs w:val="21"/>
                <w:highlight w:val="none"/>
                <w:u w:val="single"/>
                <w:lang w:eastAsia="zh-CN"/>
              </w:rPr>
            </w:pPr>
            <w:r>
              <w:rPr>
                <w:rFonts w:hint="eastAsia" w:asciiTheme="minorEastAsia" w:hAnsiTheme="minorEastAsia" w:eastAsiaTheme="minorEastAsia" w:cstheme="minorEastAsia"/>
                <w:b/>
                <w:color w:val="auto"/>
                <w:sz w:val="21"/>
                <w:szCs w:val="21"/>
                <w:highlight w:val="none"/>
              </w:rPr>
              <w:t>分值</w:t>
            </w:r>
            <w:r>
              <w:rPr>
                <w:rFonts w:hint="eastAsia" w:asciiTheme="minorEastAsia" w:hAnsiTheme="minorEastAsia" w:eastAsiaTheme="minorEastAsia" w:cstheme="minorEastAsia"/>
                <w:b/>
                <w:color w:val="auto"/>
                <w:sz w:val="21"/>
                <w:szCs w:val="21"/>
                <w:highlight w:val="none"/>
                <w:lang w:eastAsia="zh-CN"/>
              </w:rPr>
              <w:t>（</w:t>
            </w:r>
            <w:r>
              <w:rPr>
                <w:rFonts w:hint="eastAsia" w:asciiTheme="minorEastAsia" w:hAnsiTheme="minorEastAsia" w:eastAsiaTheme="minorEastAsia" w:cstheme="minorEastAsia"/>
                <w:b/>
                <w:color w:val="auto"/>
                <w:sz w:val="21"/>
                <w:szCs w:val="21"/>
                <w:highlight w:val="none"/>
                <w:lang w:val="en-US" w:eastAsia="zh-CN"/>
              </w:rPr>
              <w:t>分</w:t>
            </w:r>
            <w:r>
              <w:rPr>
                <w:rFonts w:hint="eastAsia" w:asciiTheme="minorEastAsia" w:hAnsiTheme="minorEastAsia" w:eastAsiaTheme="minorEastAsia" w:cstheme="minorEastAsia"/>
                <w:b/>
                <w:color w:val="auto"/>
                <w:sz w:val="21"/>
                <w:szCs w:val="21"/>
                <w:highlight w:val="none"/>
                <w:lang w:eastAsia="zh-CN"/>
              </w:rPr>
              <w:t>）</w:t>
            </w:r>
          </w:p>
        </w:tc>
        <w:tc>
          <w:tcPr>
            <w:tcW w:w="5816" w:type="dxa"/>
            <w:vAlign w:val="center"/>
          </w:tcPr>
          <w:p>
            <w:pPr>
              <w:spacing w:line="240" w:lineRule="auto"/>
              <w:jc w:val="center"/>
              <w:rPr>
                <w:rFonts w:hint="eastAsia" w:asciiTheme="minorEastAsia" w:hAnsiTheme="minorEastAsia" w:eastAsiaTheme="minorEastAsia" w:cstheme="minorEastAsia"/>
                <w:b/>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评分细则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0" w:hRule="atLeast"/>
          <w:jc w:val="center"/>
        </w:trPr>
        <w:tc>
          <w:tcPr>
            <w:tcW w:w="838" w:type="dxa"/>
            <w:vAlign w:val="center"/>
          </w:tcPr>
          <w:p>
            <w:pPr>
              <w:widowControl/>
              <w:numPr>
                <w:ilvl w:val="0"/>
                <w:numId w:val="80"/>
              </w:numPr>
              <w:tabs>
                <w:tab w:val="left" w:pos="210"/>
              </w:tabs>
              <w:spacing w:line="240" w:lineRule="auto"/>
              <w:ind w:left="425" w:leftChars="0" w:hanging="425" w:firstLineChars="0"/>
              <w:jc w:val="center"/>
              <w:rPr>
                <w:rFonts w:hint="eastAsia" w:asciiTheme="minorEastAsia" w:hAnsiTheme="minorEastAsia" w:eastAsiaTheme="minorEastAsia" w:cstheme="minorEastAsia"/>
                <w:color w:val="auto"/>
                <w:sz w:val="21"/>
                <w:szCs w:val="21"/>
                <w:highlight w:val="none"/>
              </w:rPr>
            </w:pPr>
          </w:p>
        </w:tc>
        <w:tc>
          <w:tcPr>
            <w:tcW w:w="1712" w:type="dxa"/>
            <w:vAlign w:val="center"/>
          </w:tcPr>
          <w:p>
            <w:pPr>
              <w:widowControl/>
              <w:spacing w:line="240" w:lineRule="auto"/>
              <w:jc w:val="center"/>
              <w:rPr>
                <w:rFonts w:hint="eastAsia" w:asciiTheme="minorEastAsia" w:hAnsiTheme="minorEastAsia" w:eastAsiaTheme="minorEastAsia" w:cstheme="minorEastAsia"/>
                <w:color w:val="auto"/>
                <w:sz w:val="21"/>
                <w:szCs w:val="21"/>
                <w:highlight w:val="none"/>
              </w:rPr>
            </w:pPr>
            <w:r>
              <w:rPr>
                <w:rFonts w:hint="eastAsia" w:ascii="宋体" w:hAnsi="宋体" w:eastAsia="宋体" w:cs="宋体"/>
                <w:b w:val="0"/>
                <w:bCs w:val="0"/>
                <w:color w:val="auto"/>
                <w:kern w:val="0"/>
                <w:sz w:val="21"/>
                <w:szCs w:val="21"/>
                <w:highlight w:val="none"/>
                <w:lang w:eastAsia="zh-CN"/>
              </w:rPr>
              <w:t>特色创新方案</w:t>
            </w:r>
          </w:p>
        </w:tc>
        <w:tc>
          <w:tcPr>
            <w:tcW w:w="960" w:type="dxa"/>
            <w:vAlign w:val="center"/>
          </w:tcPr>
          <w:p>
            <w:pPr>
              <w:widowControl/>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w:t>
            </w:r>
          </w:p>
        </w:tc>
        <w:tc>
          <w:tcPr>
            <w:tcW w:w="5816" w:type="dxa"/>
            <w:vAlign w:val="center"/>
          </w:tcPr>
          <w:p>
            <w:pPr>
              <w:pStyle w:val="2"/>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根据各投标人对本项目提供的特色创新方案</w:t>
            </w:r>
            <w:r>
              <w:rPr>
                <w:rFonts w:hint="eastAsia" w:hAnsi="宋体" w:cs="宋体"/>
                <w:b w:val="0"/>
                <w:bCs w:val="0"/>
                <w:sz w:val="21"/>
                <w:szCs w:val="21"/>
                <w:lang w:eastAsia="zh-CN"/>
              </w:rPr>
              <w:t>（包括但不限于结合本项目实际情况，从物业管理的角度提出创新性的管理或服务建议等）</w:t>
            </w:r>
            <w:r>
              <w:rPr>
                <w:rFonts w:hint="eastAsia" w:ascii="宋体" w:hAnsi="宋体" w:eastAsia="宋体" w:cs="宋体"/>
                <w:b w:val="0"/>
                <w:bCs w:val="0"/>
                <w:sz w:val="21"/>
                <w:szCs w:val="21"/>
                <w:lang w:eastAsia="zh-CN"/>
              </w:rPr>
              <w:t>进行评审：</w:t>
            </w:r>
          </w:p>
          <w:p>
            <w:pPr>
              <w:pStyle w:val="2"/>
              <w:numPr>
                <w:ilvl w:val="0"/>
                <w:numId w:val="81"/>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方案全面、详细、具体，可操作性高，得2分；</w:t>
            </w:r>
          </w:p>
          <w:p>
            <w:pPr>
              <w:pStyle w:val="2"/>
              <w:numPr>
                <w:ilvl w:val="0"/>
                <w:numId w:val="81"/>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方案较为全面、较详细，可操作性</w:t>
            </w:r>
            <w:r>
              <w:rPr>
                <w:rFonts w:hint="eastAsia" w:hAnsi="宋体" w:cs="宋体"/>
                <w:b w:val="0"/>
                <w:bCs w:val="0"/>
                <w:sz w:val="21"/>
                <w:szCs w:val="21"/>
                <w:lang w:eastAsia="zh-CN"/>
              </w:rPr>
              <w:t>一般</w:t>
            </w:r>
            <w:r>
              <w:rPr>
                <w:rFonts w:hint="eastAsia" w:ascii="宋体" w:hAnsi="宋体" w:eastAsia="宋体" w:cs="宋体"/>
                <w:b w:val="0"/>
                <w:bCs w:val="0"/>
                <w:sz w:val="21"/>
                <w:szCs w:val="21"/>
                <w:lang w:eastAsia="zh-CN"/>
              </w:rPr>
              <w:t>，得1分；</w:t>
            </w:r>
          </w:p>
          <w:p>
            <w:pPr>
              <w:pStyle w:val="2"/>
              <w:numPr>
                <w:ilvl w:val="0"/>
                <w:numId w:val="81"/>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方案不全面、简单，可操作性</w:t>
            </w:r>
            <w:r>
              <w:rPr>
                <w:rFonts w:hint="eastAsia" w:hAnsi="宋体" w:cs="宋体"/>
                <w:b w:val="0"/>
                <w:bCs w:val="0"/>
                <w:sz w:val="21"/>
                <w:szCs w:val="21"/>
                <w:lang w:eastAsia="zh-CN"/>
              </w:rPr>
              <w:t>较差</w:t>
            </w:r>
            <w:r>
              <w:rPr>
                <w:rFonts w:hint="eastAsia" w:ascii="宋体" w:hAnsi="宋体" w:eastAsia="宋体" w:cs="宋体"/>
                <w:b w:val="0"/>
                <w:bCs w:val="0"/>
                <w:sz w:val="21"/>
                <w:szCs w:val="21"/>
                <w:lang w:eastAsia="zh-CN"/>
              </w:rPr>
              <w:t>，得0.5分；</w:t>
            </w:r>
          </w:p>
          <w:p>
            <w:pPr>
              <w:pStyle w:val="2"/>
              <w:numPr>
                <w:ilvl w:val="0"/>
                <w:numId w:val="81"/>
              </w:numPr>
              <w:ind w:left="425" w:leftChars="0" w:hanging="425" w:firstLine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不提供</w:t>
            </w:r>
            <w:r>
              <w:rPr>
                <w:rFonts w:hint="eastAsia" w:hAnsi="宋体" w:cs="宋体"/>
                <w:b w:val="0"/>
                <w:bCs w:val="0"/>
                <w:sz w:val="21"/>
                <w:szCs w:val="21"/>
                <w:lang w:eastAsia="zh-CN"/>
              </w:rPr>
              <w:t>方案</w:t>
            </w:r>
            <w:r>
              <w:rPr>
                <w:rFonts w:hint="eastAsia" w:ascii="宋体" w:hAnsi="宋体" w:eastAsia="宋体" w:cs="宋体"/>
                <w:b w:val="0"/>
                <w:bCs w:val="0"/>
                <w:sz w:val="21"/>
                <w:szCs w:val="21"/>
                <w:lang w:eastAsia="zh-CN"/>
              </w:rPr>
              <w:t>不得分。</w:t>
            </w:r>
          </w:p>
          <w:p>
            <w:pPr>
              <w:pStyle w:val="2"/>
              <w:rPr>
                <w:rFonts w:hint="eastAsia" w:asciiTheme="minorEastAsia" w:hAnsiTheme="minorEastAsia" w:eastAsiaTheme="minorEastAsia" w:cstheme="minorEastAsia"/>
                <w:color w:val="auto"/>
                <w:kern w:val="0"/>
                <w:sz w:val="21"/>
                <w:szCs w:val="21"/>
                <w:highlight w:val="none"/>
                <w:lang w:val="en-US" w:eastAsia="zh-CN"/>
              </w:rPr>
            </w:pPr>
            <w:r>
              <w:rPr>
                <w:rFonts w:hint="eastAsia" w:ascii="宋体" w:hAnsi="宋体" w:eastAsia="宋体" w:cs="宋体"/>
                <w:b w:val="0"/>
                <w:bCs w:val="0"/>
                <w:sz w:val="21"/>
                <w:szCs w:val="21"/>
                <w:lang w:eastAsia="zh-CN"/>
              </w:rPr>
              <w:t>（须提供相关证明材料，不提供不得分）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0" w:hRule="atLeast"/>
          <w:jc w:val="center"/>
        </w:trPr>
        <w:tc>
          <w:tcPr>
            <w:tcW w:w="838" w:type="dxa"/>
            <w:vAlign w:val="center"/>
          </w:tcPr>
          <w:p>
            <w:pPr>
              <w:widowControl/>
              <w:numPr>
                <w:ilvl w:val="0"/>
                <w:numId w:val="80"/>
              </w:numPr>
              <w:tabs>
                <w:tab w:val="left" w:pos="210"/>
              </w:tabs>
              <w:spacing w:line="240" w:lineRule="auto"/>
              <w:ind w:left="425" w:leftChars="0" w:hanging="425" w:firstLineChars="0"/>
              <w:jc w:val="center"/>
              <w:rPr>
                <w:rFonts w:hint="eastAsia" w:asciiTheme="minorEastAsia" w:hAnsiTheme="minorEastAsia" w:eastAsiaTheme="minorEastAsia" w:cstheme="minorEastAsia"/>
                <w:color w:val="auto"/>
                <w:sz w:val="21"/>
                <w:szCs w:val="21"/>
                <w:highlight w:val="none"/>
              </w:rPr>
            </w:pPr>
          </w:p>
        </w:tc>
        <w:tc>
          <w:tcPr>
            <w:tcW w:w="1712" w:type="dxa"/>
            <w:vAlign w:val="center"/>
          </w:tcPr>
          <w:p>
            <w:pPr>
              <w:widowControl/>
              <w:spacing w:line="240" w:lineRule="auto"/>
              <w:jc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rPr>
              <w:t>管理体系</w:t>
            </w:r>
          </w:p>
        </w:tc>
        <w:tc>
          <w:tcPr>
            <w:tcW w:w="960" w:type="dxa"/>
            <w:vAlign w:val="center"/>
          </w:tcPr>
          <w:p>
            <w:pPr>
              <w:widowControl/>
              <w:spacing w:line="240" w:lineRule="auto"/>
              <w:jc w:val="center"/>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sz w:val="21"/>
                <w:szCs w:val="21"/>
                <w:highlight w:val="none"/>
                <w:lang w:val="en-US" w:eastAsia="zh-CN"/>
              </w:rPr>
              <w:t>3</w:t>
            </w:r>
          </w:p>
        </w:tc>
        <w:tc>
          <w:tcPr>
            <w:tcW w:w="5816" w:type="dxa"/>
            <w:vAlign w:val="center"/>
          </w:tcPr>
          <w:p>
            <w:pPr>
              <w:widowControl/>
              <w:numPr>
                <w:ilvl w:val="-1"/>
                <w:numId w:val="0"/>
              </w:numPr>
              <w:spacing w:line="240" w:lineRule="auto"/>
              <w:ind w:left="0" w:leftChars="0" w:firstLine="0"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投标人具有</w:t>
            </w:r>
            <w:r>
              <w:rPr>
                <w:rFonts w:hint="eastAsia" w:asciiTheme="minorEastAsia" w:hAnsiTheme="minorEastAsia" w:eastAsiaTheme="minorEastAsia" w:cstheme="minorEastAsia"/>
                <w:color w:val="auto"/>
                <w:kern w:val="0"/>
                <w:sz w:val="21"/>
                <w:szCs w:val="21"/>
                <w:highlight w:val="none"/>
                <w:lang w:val="en-US" w:eastAsia="zh-CN"/>
              </w:rPr>
              <w:t>有效的</w:t>
            </w:r>
            <w:r>
              <w:rPr>
                <w:rFonts w:hint="eastAsia" w:asciiTheme="minorEastAsia" w:hAnsiTheme="minorEastAsia" w:eastAsiaTheme="minorEastAsia" w:cstheme="minorEastAsia"/>
                <w:color w:val="auto"/>
                <w:kern w:val="0"/>
                <w:sz w:val="21"/>
                <w:szCs w:val="21"/>
                <w:highlight w:val="none"/>
                <w:lang w:eastAsia="zh-CN"/>
              </w:rPr>
              <w:t>：</w:t>
            </w:r>
          </w:p>
          <w:p>
            <w:pPr>
              <w:widowControl/>
              <w:numPr>
                <w:ilvl w:val="0"/>
                <w:numId w:val="82"/>
              </w:numPr>
              <w:spacing w:line="240" w:lineRule="auto"/>
              <w:ind w:left="425" w:leftChars="0" w:hanging="425"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质量管理体系认证证书</w:t>
            </w:r>
            <w:r>
              <w:rPr>
                <w:rFonts w:hint="eastAsia" w:asciiTheme="minorEastAsia" w:hAnsiTheme="minorEastAsia" w:eastAsiaTheme="minorEastAsia" w:cstheme="minorEastAsia"/>
                <w:color w:val="auto"/>
                <w:kern w:val="0"/>
                <w:sz w:val="21"/>
                <w:szCs w:val="21"/>
                <w:highlight w:val="none"/>
                <w:lang w:val="en-US" w:eastAsia="zh-CN"/>
              </w:rPr>
              <w:t>的</w:t>
            </w:r>
            <w:r>
              <w:rPr>
                <w:rFonts w:hint="eastAsia" w:asciiTheme="minorEastAsia" w:hAnsiTheme="minorEastAsia" w:eastAsiaTheme="minorEastAsia" w:cstheme="minorEastAsia"/>
                <w:color w:val="auto"/>
                <w:kern w:val="0"/>
                <w:sz w:val="21"/>
                <w:szCs w:val="21"/>
                <w:highlight w:val="none"/>
              </w:rPr>
              <w:t>，得1分；</w:t>
            </w:r>
          </w:p>
          <w:p>
            <w:pPr>
              <w:widowControl/>
              <w:numPr>
                <w:ilvl w:val="0"/>
                <w:numId w:val="82"/>
              </w:numPr>
              <w:spacing w:line="240" w:lineRule="auto"/>
              <w:ind w:left="425" w:leftChars="0" w:hanging="425"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环境管理体系认证证书的，得1分；</w:t>
            </w:r>
          </w:p>
          <w:p>
            <w:pPr>
              <w:widowControl/>
              <w:numPr>
                <w:ilvl w:val="0"/>
                <w:numId w:val="82"/>
              </w:numPr>
              <w:spacing w:line="240" w:lineRule="auto"/>
              <w:ind w:left="425" w:leftChars="0" w:hanging="425"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职业健康安全管理体系认证证书的，得1分。</w:t>
            </w:r>
          </w:p>
          <w:p>
            <w:pPr>
              <w:widowControl/>
              <w:spacing w:line="240" w:lineRule="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rPr>
              <w:t>注：</w:t>
            </w:r>
            <w:r>
              <w:rPr>
                <w:rFonts w:hint="eastAsia" w:ascii="宋体" w:hAnsi="宋体" w:cs="宋体"/>
                <w:color w:val="auto"/>
                <w:kern w:val="0"/>
                <w:sz w:val="21"/>
                <w:szCs w:val="21"/>
                <w:highlight w:val="none"/>
                <w:lang w:val="en-US" w:eastAsia="zh-CN"/>
              </w:rPr>
              <w:t>本项最高得3分。</w:t>
            </w:r>
            <w:r>
              <w:rPr>
                <w:rFonts w:hint="eastAsia" w:asciiTheme="minorEastAsia" w:hAnsiTheme="minorEastAsia" w:eastAsiaTheme="minorEastAsia" w:cstheme="minorEastAsia"/>
                <w:i w:val="0"/>
                <w:color w:val="auto"/>
                <w:kern w:val="0"/>
                <w:sz w:val="21"/>
                <w:szCs w:val="21"/>
                <w:highlight w:val="none"/>
                <w:u w:val="none"/>
                <w:lang w:val="en-US" w:eastAsia="zh-CN" w:bidi="ar"/>
              </w:rPr>
              <w:t>须同时提供有效的证书复印件及在全国认证认可信息公共服务平台（www.cnca.cn）对体系证书的信息查询“有效”截图作为评审依据，已失效或撤销或暂停或不提供不得分</w:t>
            </w:r>
            <w:r>
              <w:rPr>
                <w:rFonts w:hint="eastAsia" w:asciiTheme="minorEastAsia" w:hAnsiTheme="minorEastAsia" w:eastAsiaTheme="minorEastAsia" w:cstheme="minorEastAsia"/>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jc w:val="center"/>
        </w:trPr>
        <w:tc>
          <w:tcPr>
            <w:tcW w:w="838" w:type="dxa"/>
            <w:vAlign w:val="center"/>
          </w:tcPr>
          <w:p>
            <w:pPr>
              <w:widowControl/>
              <w:numPr>
                <w:ilvl w:val="0"/>
                <w:numId w:val="80"/>
              </w:numPr>
              <w:tabs>
                <w:tab w:val="left" w:pos="210"/>
              </w:tabs>
              <w:spacing w:line="240" w:lineRule="auto"/>
              <w:ind w:left="425" w:leftChars="0" w:hanging="425" w:firstLineChars="0"/>
              <w:jc w:val="center"/>
              <w:rPr>
                <w:rFonts w:hint="eastAsia" w:asciiTheme="minorEastAsia" w:hAnsiTheme="minorEastAsia" w:eastAsiaTheme="minorEastAsia" w:cstheme="minorEastAsia"/>
                <w:color w:val="auto"/>
                <w:sz w:val="21"/>
                <w:szCs w:val="21"/>
                <w:highlight w:val="none"/>
              </w:rPr>
            </w:pPr>
          </w:p>
        </w:tc>
        <w:tc>
          <w:tcPr>
            <w:tcW w:w="1712" w:type="dxa"/>
            <w:vAlign w:val="center"/>
          </w:tcPr>
          <w:p>
            <w:pPr>
              <w:widowControl/>
              <w:spacing w:line="24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同类项目</w:t>
            </w:r>
            <w:r>
              <w:rPr>
                <w:rFonts w:hint="eastAsia" w:asciiTheme="minorEastAsia" w:hAnsiTheme="minorEastAsia" w:eastAsiaTheme="minorEastAsia" w:cstheme="minorEastAsia"/>
                <w:color w:val="auto"/>
                <w:kern w:val="0"/>
                <w:sz w:val="21"/>
                <w:szCs w:val="21"/>
                <w:highlight w:val="none"/>
                <w:lang w:val="en-US" w:eastAsia="zh-CN"/>
              </w:rPr>
              <w:t>业绩</w:t>
            </w:r>
          </w:p>
        </w:tc>
        <w:tc>
          <w:tcPr>
            <w:tcW w:w="960" w:type="dxa"/>
            <w:vAlign w:val="center"/>
          </w:tcPr>
          <w:p>
            <w:pPr>
              <w:keepNext w:val="0"/>
              <w:keepLines w:val="0"/>
              <w:widowControl w:val="0"/>
              <w:suppressLineNumbers w:val="0"/>
              <w:spacing w:before="0" w:beforeAutospacing="0" w:after="0" w:afterAutospacing="0" w:line="240" w:lineRule="auto"/>
              <w:ind w:left="0" w:leftChars="0" w:right="0" w:rightChars="0"/>
              <w:jc w:val="center"/>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kern w:val="0"/>
                <w:sz w:val="21"/>
                <w:szCs w:val="21"/>
                <w:highlight w:val="none"/>
                <w:lang w:val="en-US" w:eastAsia="zh-CN" w:bidi="ar"/>
              </w:rPr>
              <w:t>11</w:t>
            </w:r>
          </w:p>
        </w:tc>
        <w:tc>
          <w:tcPr>
            <w:tcW w:w="5816" w:type="dxa"/>
            <w:vAlign w:val="center"/>
          </w:tcPr>
          <w:p>
            <w:pPr>
              <w:widowControl/>
              <w:numPr>
                <w:ilvl w:val="0"/>
                <w:numId w:val="83"/>
              </w:numPr>
              <w:spacing w:line="240" w:lineRule="auto"/>
              <w:ind w:left="425" w:leftChars="0" w:hanging="425"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投标人2018</w:t>
            </w:r>
            <w:r>
              <w:rPr>
                <w:rFonts w:hint="eastAsia" w:asciiTheme="minorEastAsia" w:hAnsiTheme="minorEastAsia" w:eastAsiaTheme="minorEastAsia" w:cstheme="minorEastAsia"/>
                <w:color w:val="auto"/>
                <w:kern w:val="0"/>
                <w:sz w:val="21"/>
                <w:szCs w:val="21"/>
                <w:highlight w:val="none"/>
                <w:lang w:val="en-US" w:eastAsia="zh-Hans"/>
              </w:rPr>
              <w:t>年</w:t>
            </w:r>
            <w:r>
              <w:rPr>
                <w:rFonts w:hint="eastAsia" w:asciiTheme="minorEastAsia" w:hAnsiTheme="minorEastAsia" w:eastAsiaTheme="minorEastAsia" w:cstheme="minorEastAsia"/>
                <w:color w:val="auto"/>
                <w:kern w:val="0"/>
                <w:sz w:val="21"/>
                <w:szCs w:val="21"/>
                <w:highlight w:val="none"/>
                <w:lang w:val="en-US" w:eastAsia="zh-CN"/>
              </w:rPr>
              <w:t>1月1日</w:t>
            </w:r>
            <w:r>
              <w:rPr>
                <w:rFonts w:hint="eastAsia" w:asciiTheme="minorEastAsia" w:hAnsiTheme="minorEastAsia" w:eastAsiaTheme="minorEastAsia" w:cstheme="minorEastAsia"/>
                <w:color w:val="auto"/>
                <w:kern w:val="0"/>
                <w:sz w:val="21"/>
                <w:szCs w:val="21"/>
                <w:highlight w:val="none"/>
                <w:lang w:val="en-US" w:eastAsia="zh-Hans"/>
              </w:rPr>
              <w:t>至</w:t>
            </w:r>
            <w:r>
              <w:rPr>
                <w:rFonts w:hint="eastAsia" w:asciiTheme="minorEastAsia" w:hAnsiTheme="minorEastAsia" w:eastAsiaTheme="minorEastAsia" w:cstheme="minorEastAsia"/>
                <w:color w:val="auto"/>
                <w:kern w:val="0"/>
                <w:sz w:val="21"/>
                <w:szCs w:val="21"/>
                <w:highlight w:val="none"/>
                <w:lang w:val="en-US" w:eastAsia="zh-CN"/>
              </w:rPr>
              <w:t>今（以合同签订时间为准）</w:t>
            </w:r>
            <w:r>
              <w:rPr>
                <w:rFonts w:hint="eastAsia" w:asciiTheme="minorEastAsia" w:hAnsiTheme="minorEastAsia" w:eastAsiaTheme="minorEastAsia" w:cstheme="minorEastAsia"/>
                <w:color w:val="auto"/>
                <w:kern w:val="0"/>
                <w:sz w:val="21"/>
                <w:szCs w:val="21"/>
                <w:highlight w:val="none"/>
                <w:lang w:val="en-US" w:eastAsia="zh-Hans"/>
              </w:rPr>
              <w:t>曾</w:t>
            </w:r>
            <w:r>
              <w:rPr>
                <w:rFonts w:hint="eastAsia" w:asciiTheme="minorEastAsia" w:hAnsiTheme="minorEastAsia" w:eastAsiaTheme="minorEastAsia" w:cstheme="minorEastAsia"/>
                <w:color w:val="auto"/>
                <w:kern w:val="0"/>
                <w:sz w:val="21"/>
                <w:szCs w:val="21"/>
                <w:highlight w:val="none"/>
              </w:rPr>
              <w:t>承接</w:t>
            </w:r>
            <w:r>
              <w:rPr>
                <w:rFonts w:hint="eastAsia" w:asciiTheme="minorEastAsia" w:hAnsiTheme="minorEastAsia" w:eastAsiaTheme="minorEastAsia" w:cstheme="minorEastAsia"/>
                <w:color w:val="auto"/>
                <w:kern w:val="0"/>
                <w:sz w:val="21"/>
                <w:szCs w:val="21"/>
                <w:highlight w:val="none"/>
                <w:lang w:val="en-US" w:eastAsia="zh-CN"/>
              </w:rPr>
              <w:t>产业园类业绩的，每提供一个得2分，本子项最高得6分；</w:t>
            </w:r>
          </w:p>
          <w:p>
            <w:pPr>
              <w:widowControl/>
              <w:numPr>
                <w:ilvl w:val="0"/>
                <w:numId w:val="83"/>
              </w:numPr>
              <w:spacing w:line="240" w:lineRule="auto"/>
              <w:ind w:left="425" w:leftChars="0" w:hanging="425" w:firstLineChars="0"/>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以上业绩属于金融类、基金类特色</w:t>
            </w:r>
            <w:r>
              <w:rPr>
                <w:rFonts w:hint="eastAsia" w:asciiTheme="minorEastAsia" w:hAnsiTheme="minorEastAsia" w:eastAsiaTheme="minorEastAsia" w:cstheme="minorEastAsia"/>
                <w:color w:val="auto"/>
                <w:kern w:val="0"/>
                <w:sz w:val="21"/>
                <w:szCs w:val="21"/>
                <w:highlight w:val="none"/>
              </w:rPr>
              <w:t>小镇物业管理项目的</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每提供一个得</w:t>
            </w:r>
            <w:r>
              <w:rPr>
                <w:rFonts w:hint="eastAsia" w:asciiTheme="minorEastAsia" w:hAnsiTheme="minorEastAsia" w:eastAsiaTheme="minorEastAsia" w:cstheme="minorEastAsia"/>
                <w:color w:val="auto"/>
                <w:kern w:val="0"/>
                <w:sz w:val="21"/>
                <w:szCs w:val="21"/>
                <w:highlight w:val="none"/>
              </w:rPr>
              <w:t>5分</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本子项最高得5分。</w:t>
            </w:r>
          </w:p>
          <w:p>
            <w:pPr>
              <w:widowControl/>
              <w:spacing w:line="24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kern w:val="0"/>
                <w:sz w:val="21"/>
                <w:szCs w:val="21"/>
                <w:highlight w:val="none"/>
                <w:lang w:val="en-US" w:eastAsia="zh-CN"/>
              </w:rPr>
              <w:t>注</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本项最高得11分。</w:t>
            </w:r>
            <w:r>
              <w:rPr>
                <w:rFonts w:hint="eastAsia" w:ascii="宋体" w:hAnsi="宋体" w:eastAsia="宋体" w:cs="宋体"/>
                <w:color w:val="auto"/>
                <w:kern w:val="0"/>
                <w:sz w:val="21"/>
                <w:szCs w:val="21"/>
                <w:highlight w:val="none"/>
                <w:lang w:val="en-US" w:eastAsia="zh-CN"/>
              </w:rPr>
              <w:t>（1）</w:t>
            </w:r>
            <w:r>
              <w:rPr>
                <w:rFonts w:hint="eastAsia" w:asciiTheme="minorEastAsia" w:hAnsiTheme="minorEastAsia" w:eastAsiaTheme="minorEastAsia" w:cstheme="minorEastAsia"/>
                <w:color w:val="auto"/>
                <w:kern w:val="0"/>
                <w:sz w:val="21"/>
                <w:szCs w:val="21"/>
                <w:highlight w:val="none"/>
              </w:rPr>
              <w:t>须提供项目物业服务合同</w:t>
            </w:r>
            <w:r>
              <w:rPr>
                <w:rFonts w:hint="eastAsia" w:asciiTheme="minorEastAsia" w:hAnsiTheme="minorEastAsia" w:eastAsiaTheme="minorEastAsia" w:cstheme="minorEastAsia"/>
                <w:color w:val="auto"/>
                <w:kern w:val="0"/>
                <w:sz w:val="21"/>
                <w:szCs w:val="21"/>
                <w:highlight w:val="none"/>
                <w:lang w:val="en-US" w:eastAsia="zh-CN"/>
              </w:rPr>
              <w:t>复印件作为证明材料。</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w:t>
            </w:r>
            <w:r>
              <w:rPr>
                <w:rFonts w:hint="default" w:ascii="Calibri" w:hAnsi="Calibri" w:cs="Calibri" w:eastAsiaTheme="minorEastAsia"/>
                <w:color w:val="auto"/>
                <w:kern w:val="0"/>
                <w:sz w:val="21"/>
                <w:szCs w:val="21"/>
                <w:highlight w:val="none"/>
                <w:lang w:val="en-US" w:eastAsia="zh-CN"/>
              </w:rPr>
              <w:t>属于</w:t>
            </w:r>
            <w:r>
              <w:rPr>
                <w:rFonts w:hint="eastAsia" w:asciiTheme="minorEastAsia" w:hAnsiTheme="minorEastAsia" w:eastAsiaTheme="minorEastAsia" w:cstheme="minorEastAsia"/>
                <w:color w:val="auto"/>
                <w:kern w:val="0"/>
                <w:sz w:val="21"/>
                <w:szCs w:val="21"/>
                <w:highlight w:val="none"/>
                <w:lang w:val="en-US" w:eastAsia="zh-CN"/>
              </w:rPr>
              <w:t>金融类、基金类</w:t>
            </w:r>
            <w:r>
              <w:rPr>
                <w:rFonts w:hint="default" w:ascii="Calibri" w:hAnsi="Calibri" w:cs="Calibri" w:eastAsiaTheme="minorEastAsia"/>
                <w:color w:val="auto"/>
                <w:kern w:val="0"/>
                <w:sz w:val="21"/>
                <w:szCs w:val="21"/>
                <w:highlight w:val="none"/>
                <w:lang w:val="en-US" w:eastAsia="zh-CN"/>
              </w:rPr>
              <w:t>特色小镇的管理项目，除按上述要求提供项目物业服务合同证明材料外，还需提供①小镇相关介绍资料及省级（或以上）媒体与小镇相关的报道资料</w:t>
            </w:r>
            <w:r>
              <w:rPr>
                <w:rFonts w:hint="eastAsia" w:cs="Calibri" w:eastAsiaTheme="minorEastAsia"/>
                <w:color w:val="auto"/>
                <w:kern w:val="0"/>
                <w:sz w:val="21"/>
                <w:szCs w:val="21"/>
                <w:highlight w:val="none"/>
                <w:lang w:val="en-US" w:eastAsia="zh-CN"/>
              </w:rPr>
              <w:t>；</w:t>
            </w:r>
            <w:r>
              <w:rPr>
                <w:rFonts w:hint="default" w:ascii="Calibri" w:hAnsi="Calibri" w:cs="Calibri" w:eastAsiaTheme="minorEastAsia"/>
                <w:color w:val="auto"/>
                <w:kern w:val="0"/>
                <w:sz w:val="21"/>
                <w:szCs w:val="21"/>
                <w:highlight w:val="none"/>
                <w:lang w:val="en-US" w:eastAsia="zh-CN"/>
              </w:rPr>
              <w:t>②关于承接</w:t>
            </w:r>
            <w:r>
              <w:rPr>
                <w:rFonts w:hint="eastAsia" w:cs="Calibri" w:eastAsiaTheme="minorEastAsia"/>
                <w:color w:val="auto"/>
                <w:kern w:val="0"/>
                <w:sz w:val="21"/>
                <w:szCs w:val="21"/>
                <w:highlight w:val="none"/>
                <w:lang w:val="en-US" w:eastAsia="zh-CN"/>
              </w:rPr>
              <w:t>物业管理</w:t>
            </w:r>
            <w:r>
              <w:rPr>
                <w:rFonts w:hint="default" w:ascii="Calibri" w:hAnsi="Calibri" w:cs="Calibri" w:eastAsiaTheme="minorEastAsia"/>
                <w:color w:val="auto"/>
                <w:kern w:val="0"/>
                <w:sz w:val="21"/>
                <w:szCs w:val="21"/>
                <w:highlight w:val="none"/>
                <w:lang w:val="en-US" w:eastAsia="zh-CN"/>
              </w:rPr>
              <w:t>项目的证明文件</w:t>
            </w:r>
            <w:r>
              <w:rPr>
                <w:rFonts w:hint="eastAsia" w:cs="Calibri" w:eastAsiaTheme="minorEastAsia"/>
                <w:color w:val="auto"/>
                <w:kern w:val="0"/>
                <w:sz w:val="21"/>
                <w:szCs w:val="21"/>
                <w:highlight w:val="none"/>
                <w:lang w:val="en-US" w:eastAsia="zh-CN"/>
              </w:rPr>
              <w:t>（加盖</w:t>
            </w:r>
            <w:r>
              <w:rPr>
                <w:rFonts w:hint="default" w:ascii="Calibri" w:hAnsi="Calibri" w:cs="Calibri" w:eastAsiaTheme="minorEastAsia"/>
                <w:color w:val="auto"/>
                <w:kern w:val="0"/>
                <w:sz w:val="21"/>
                <w:szCs w:val="21"/>
                <w:highlight w:val="none"/>
                <w:lang w:val="en-US" w:eastAsia="zh-CN"/>
              </w:rPr>
              <w:t>小镇载体的物业经营方或小镇管委会或小镇相关政府管理机构</w:t>
            </w:r>
            <w:r>
              <w:rPr>
                <w:rFonts w:hint="eastAsia" w:cs="Calibri" w:eastAsiaTheme="minorEastAsia"/>
                <w:color w:val="auto"/>
                <w:kern w:val="0"/>
                <w:sz w:val="21"/>
                <w:szCs w:val="21"/>
                <w:highlight w:val="none"/>
                <w:lang w:val="en-US" w:eastAsia="zh-CN"/>
              </w:rPr>
              <w:t>公章）。</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w:t>
            </w:r>
            <w:r>
              <w:rPr>
                <w:rFonts w:hint="eastAsia" w:asciiTheme="minorEastAsia" w:hAnsiTheme="minorEastAsia" w:eastAsiaTheme="minorEastAsia" w:cstheme="minorEastAsia"/>
                <w:b/>
                <w:bCs/>
                <w:color w:val="auto"/>
                <w:kern w:val="0"/>
                <w:sz w:val="21"/>
                <w:szCs w:val="21"/>
                <w:highlight w:val="none"/>
                <w:lang w:val="en-US" w:eastAsia="zh-CN"/>
              </w:rPr>
              <w:t>合同及证明文件</w:t>
            </w:r>
            <w:r>
              <w:rPr>
                <w:rFonts w:hint="eastAsia" w:asciiTheme="minorEastAsia" w:hAnsiTheme="minorEastAsia" w:eastAsiaTheme="minorEastAsia" w:cstheme="minorEastAsia"/>
                <w:b/>
                <w:bCs/>
                <w:color w:val="auto"/>
                <w:kern w:val="0"/>
                <w:sz w:val="21"/>
                <w:szCs w:val="21"/>
                <w:highlight w:val="none"/>
              </w:rPr>
              <w:t>原件核查</w:t>
            </w:r>
            <w:r>
              <w:rPr>
                <w:rFonts w:hint="eastAsia" w:asciiTheme="minorEastAsia" w:hAnsiTheme="minorEastAsia" w:eastAsiaTheme="minorEastAsia" w:cstheme="minorEastAsia"/>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dxa"/>
            <w:vAlign w:val="center"/>
          </w:tcPr>
          <w:p>
            <w:pPr>
              <w:widowControl/>
              <w:numPr>
                <w:ilvl w:val="0"/>
                <w:numId w:val="80"/>
              </w:numPr>
              <w:tabs>
                <w:tab w:val="left" w:pos="210"/>
              </w:tabs>
              <w:spacing w:line="240" w:lineRule="auto"/>
              <w:ind w:left="425" w:leftChars="0" w:hanging="425" w:firstLineChars="0"/>
              <w:jc w:val="center"/>
              <w:rPr>
                <w:rFonts w:hint="eastAsia" w:asciiTheme="minorEastAsia" w:hAnsiTheme="minorEastAsia" w:eastAsiaTheme="minorEastAsia" w:cstheme="minorEastAsia"/>
                <w:color w:val="auto"/>
                <w:sz w:val="21"/>
                <w:szCs w:val="21"/>
                <w:highlight w:val="none"/>
              </w:rPr>
            </w:pPr>
          </w:p>
        </w:tc>
        <w:tc>
          <w:tcPr>
            <w:tcW w:w="1712" w:type="dxa"/>
            <w:vAlign w:val="center"/>
          </w:tcPr>
          <w:p>
            <w:pPr>
              <w:widowControl/>
              <w:spacing w:line="240" w:lineRule="auto"/>
              <w:jc w:val="center"/>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企业信用信息管理</w:t>
            </w:r>
          </w:p>
        </w:tc>
        <w:tc>
          <w:tcPr>
            <w:tcW w:w="960" w:type="dxa"/>
            <w:vAlign w:val="center"/>
          </w:tcPr>
          <w:p>
            <w:pPr>
              <w:keepNext w:val="0"/>
              <w:keepLines w:val="0"/>
              <w:pageBreakBefore w:val="0"/>
              <w:kinsoku/>
              <w:wordWrap w:val="0"/>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21"/>
                <w:szCs w:val="21"/>
                <w:highlight w:val="none"/>
                <w:lang w:val="en-US"/>
              </w:rPr>
            </w:pPr>
            <w:r>
              <w:rPr>
                <w:rFonts w:hint="eastAsia" w:asciiTheme="minorEastAsia" w:hAnsiTheme="minorEastAsia" w:eastAsiaTheme="minorEastAsia" w:cstheme="minorEastAsia"/>
                <w:b w:val="0"/>
                <w:bCs w:val="0"/>
                <w:color w:val="auto"/>
                <w:sz w:val="21"/>
                <w:szCs w:val="21"/>
                <w:highlight w:val="none"/>
                <w:lang w:val="en-US" w:eastAsia="zh-CN"/>
              </w:rPr>
              <w:t>9</w:t>
            </w:r>
          </w:p>
        </w:tc>
        <w:tc>
          <w:tcPr>
            <w:tcW w:w="5816" w:type="dxa"/>
            <w:vAlign w:val="center"/>
          </w:tcPr>
          <w:p>
            <w:pPr>
              <w:keepNext w:val="0"/>
              <w:keepLines w:val="0"/>
              <w:pageBreakBefore w:val="0"/>
              <w:widowControl/>
              <w:kinsoku/>
              <w:wordWrap w:val="0"/>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rPr>
              <w:t>投标人</w:t>
            </w:r>
            <w:r>
              <w:rPr>
                <w:rFonts w:hint="eastAsia" w:asciiTheme="minorEastAsia" w:hAnsiTheme="minorEastAsia" w:eastAsiaTheme="minorEastAsia" w:cstheme="minorEastAsia"/>
                <w:b w:val="0"/>
                <w:bCs w:val="0"/>
                <w:color w:val="auto"/>
                <w:kern w:val="0"/>
                <w:sz w:val="21"/>
                <w:szCs w:val="21"/>
                <w:highlight w:val="none"/>
                <w:lang w:val="en-US" w:eastAsia="zh-Hans"/>
              </w:rPr>
              <w:t>在“佛山市房地产行业信用信息管理平台</w:t>
            </w:r>
            <w:r>
              <w:rPr>
                <w:rFonts w:hint="eastAsia" w:asciiTheme="minorEastAsia" w:hAnsiTheme="minorEastAsia" w:eastAsiaTheme="minorEastAsia" w:cstheme="minorEastAsia"/>
                <w:b w:val="0"/>
                <w:bCs w:val="0"/>
                <w:color w:val="auto"/>
                <w:kern w:val="0"/>
                <w:sz w:val="21"/>
                <w:szCs w:val="21"/>
                <w:highlight w:val="none"/>
              </w:rPr>
              <w:t>”信用积分</w:t>
            </w:r>
            <w:r>
              <w:rPr>
                <w:rFonts w:hint="eastAsia" w:asciiTheme="minorEastAsia" w:hAnsiTheme="minorEastAsia" w:eastAsiaTheme="minorEastAsia" w:cstheme="minorEastAsia"/>
                <w:b w:val="0"/>
                <w:bCs w:val="0"/>
                <w:color w:val="auto"/>
                <w:sz w:val="21"/>
                <w:szCs w:val="21"/>
                <w:highlight w:val="none"/>
                <w:lang w:eastAsia="zh-CN"/>
              </w:rPr>
              <w:t>（</w:t>
            </w:r>
            <w:r>
              <w:rPr>
                <w:rFonts w:hint="eastAsia" w:asciiTheme="minorEastAsia" w:hAnsiTheme="minorEastAsia" w:eastAsiaTheme="minorEastAsia" w:cstheme="minorEastAsia"/>
                <w:b w:val="0"/>
                <w:bCs w:val="0"/>
                <w:color w:val="auto"/>
                <w:sz w:val="21"/>
                <w:szCs w:val="21"/>
                <w:highlight w:val="none"/>
                <w:lang w:val="en-US" w:eastAsia="zh-CN"/>
              </w:rPr>
              <w:t>企业类型为物业公司）情况：</w:t>
            </w:r>
          </w:p>
          <w:p>
            <w:pPr>
              <w:keepNext w:val="0"/>
              <w:keepLines w:val="0"/>
              <w:pageBreakBefore w:val="0"/>
              <w:widowControl/>
              <w:numPr>
                <w:ilvl w:val="0"/>
                <w:numId w:val="84"/>
              </w:numPr>
              <w:kinsoku/>
              <w:wordWrap w:val="0"/>
              <w:overflowPunct/>
              <w:topLinePunct w:val="0"/>
              <w:autoSpaceDE/>
              <w:autoSpaceDN/>
              <w:bidi w:val="0"/>
              <w:adjustRightInd/>
              <w:snapToGrid/>
              <w:spacing w:line="240" w:lineRule="auto"/>
              <w:ind w:left="425" w:leftChars="0" w:hanging="425" w:firstLineChars="0"/>
              <w:textAlignment w:val="auto"/>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信用积分≥130的</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rPr>
              <w:t>得</w:t>
            </w:r>
            <w:r>
              <w:rPr>
                <w:rFonts w:hint="eastAsia" w:asciiTheme="minorEastAsia" w:hAnsiTheme="minorEastAsia" w:eastAsiaTheme="minorEastAsia" w:cstheme="minorEastAsia"/>
                <w:b w:val="0"/>
                <w:bCs w:val="0"/>
                <w:color w:val="auto"/>
                <w:kern w:val="0"/>
                <w:sz w:val="21"/>
                <w:szCs w:val="21"/>
                <w:highlight w:val="none"/>
                <w:lang w:val="en-US" w:eastAsia="zh-CN"/>
              </w:rPr>
              <w:t>9</w:t>
            </w:r>
            <w:r>
              <w:rPr>
                <w:rFonts w:hint="eastAsia" w:asciiTheme="minorEastAsia" w:hAnsiTheme="minorEastAsia" w:eastAsiaTheme="minorEastAsia" w:cstheme="minorEastAsia"/>
                <w:b w:val="0"/>
                <w:bCs w:val="0"/>
                <w:color w:val="auto"/>
                <w:kern w:val="0"/>
                <w:sz w:val="21"/>
                <w:szCs w:val="21"/>
                <w:highlight w:val="none"/>
              </w:rPr>
              <w:t>分；</w:t>
            </w:r>
          </w:p>
          <w:p>
            <w:pPr>
              <w:keepNext w:val="0"/>
              <w:keepLines w:val="0"/>
              <w:pageBreakBefore w:val="0"/>
              <w:widowControl/>
              <w:numPr>
                <w:ilvl w:val="0"/>
                <w:numId w:val="84"/>
              </w:numPr>
              <w:kinsoku/>
              <w:wordWrap w:val="0"/>
              <w:overflowPunct/>
              <w:topLinePunct w:val="0"/>
              <w:autoSpaceDE/>
              <w:autoSpaceDN/>
              <w:bidi w:val="0"/>
              <w:adjustRightInd/>
              <w:snapToGrid/>
              <w:spacing w:line="240" w:lineRule="auto"/>
              <w:ind w:left="425" w:leftChars="0" w:hanging="425" w:firstLineChars="0"/>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120</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rPr>
              <w:t>信用积分</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lang w:val="en-US" w:eastAsia="zh-CN"/>
              </w:rPr>
              <w:t>130</w:t>
            </w:r>
            <w:r>
              <w:rPr>
                <w:rFonts w:hint="eastAsia" w:asciiTheme="minorEastAsia" w:hAnsiTheme="minorEastAsia" w:eastAsiaTheme="minorEastAsia" w:cstheme="minorEastAsia"/>
                <w:b w:val="0"/>
                <w:bCs w:val="0"/>
                <w:color w:val="auto"/>
                <w:kern w:val="0"/>
                <w:sz w:val="21"/>
                <w:szCs w:val="21"/>
                <w:highlight w:val="none"/>
              </w:rPr>
              <w:t>的</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rPr>
              <w:t>得</w:t>
            </w:r>
            <w:r>
              <w:rPr>
                <w:rFonts w:hint="eastAsia" w:asciiTheme="minorEastAsia" w:hAnsiTheme="minorEastAsia" w:eastAsiaTheme="minorEastAsia" w:cstheme="minorEastAsia"/>
                <w:b w:val="0"/>
                <w:bCs w:val="0"/>
                <w:color w:val="auto"/>
                <w:kern w:val="0"/>
                <w:sz w:val="21"/>
                <w:szCs w:val="21"/>
                <w:highlight w:val="none"/>
                <w:lang w:val="en-US" w:eastAsia="zh-CN"/>
              </w:rPr>
              <w:t>6</w:t>
            </w:r>
            <w:r>
              <w:rPr>
                <w:rFonts w:hint="eastAsia" w:asciiTheme="minorEastAsia" w:hAnsiTheme="minorEastAsia" w:eastAsiaTheme="minorEastAsia" w:cstheme="minorEastAsia"/>
                <w:b w:val="0"/>
                <w:bCs w:val="0"/>
                <w:color w:val="auto"/>
                <w:kern w:val="0"/>
                <w:sz w:val="21"/>
                <w:szCs w:val="21"/>
                <w:highlight w:val="none"/>
              </w:rPr>
              <w:t>分</w:t>
            </w:r>
            <w:r>
              <w:rPr>
                <w:rFonts w:hint="eastAsia" w:asciiTheme="minorEastAsia" w:hAnsiTheme="minorEastAsia" w:eastAsiaTheme="minorEastAsia" w:cstheme="minorEastAsia"/>
                <w:b w:val="0"/>
                <w:bCs w:val="0"/>
                <w:color w:val="auto"/>
                <w:kern w:val="0"/>
                <w:sz w:val="21"/>
                <w:szCs w:val="21"/>
                <w:highlight w:val="none"/>
                <w:lang w:eastAsia="zh-CN"/>
              </w:rPr>
              <w:t>；</w:t>
            </w:r>
          </w:p>
          <w:p>
            <w:pPr>
              <w:pStyle w:val="30"/>
              <w:keepNext w:val="0"/>
              <w:keepLines w:val="0"/>
              <w:pageBreakBefore w:val="0"/>
              <w:numPr>
                <w:ilvl w:val="0"/>
                <w:numId w:val="84"/>
              </w:numPr>
              <w:kinsoku/>
              <w:wordWrap w:val="0"/>
              <w:overflowPunct/>
              <w:topLinePunct w:val="0"/>
              <w:autoSpaceDE/>
              <w:autoSpaceDN/>
              <w:bidi w:val="0"/>
              <w:adjustRightInd/>
              <w:snapToGrid/>
              <w:ind w:left="425" w:leftChars="0" w:hanging="425" w:firstLineChars="0"/>
              <w:textAlignment w:val="auto"/>
              <w:rPr>
                <w:rFonts w:hint="eastAsia" w:asciiTheme="minorEastAsia" w:hAnsiTheme="minorEastAsia" w:eastAsiaTheme="minorEastAsia" w:cstheme="minorEastAsia"/>
                <w:b w:val="0"/>
                <w:bCs w:val="0"/>
                <w:color w:val="auto"/>
                <w:kern w:val="0"/>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110</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rPr>
              <w:t>信用积分</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lang w:val="en-US" w:eastAsia="zh-CN"/>
              </w:rPr>
              <w:t>120</w:t>
            </w:r>
            <w:r>
              <w:rPr>
                <w:rFonts w:hint="eastAsia" w:asciiTheme="minorEastAsia" w:hAnsiTheme="minorEastAsia" w:eastAsiaTheme="minorEastAsia" w:cstheme="minorEastAsia"/>
                <w:b w:val="0"/>
                <w:bCs w:val="0"/>
                <w:color w:val="auto"/>
                <w:kern w:val="0"/>
                <w:sz w:val="21"/>
                <w:szCs w:val="21"/>
                <w:highlight w:val="none"/>
              </w:rPr>
              <w:t>的</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rPr>
              <w:t>得</w:t>
            </w:r>
            <w:r>
              <w:rPr>
                <w:rFonts w:hint="eastAsia" w:asciiTheme="minorEastAsia" w:hAnsiTheme="minorEastAsia" w:eastAsiaTheme="minorEastAsia" w:cstheme="minorEastAsia"/>
                <w:b w:val="0"/>
                <w:bCs w:val="0"/>
                <w:color w:val="auto"/>
                <w:kern w:val="0"/>
                <w:sz w:val="21"/>
                <w:szCs w:val="21"/>
                <w:highlight w:val="none"/>
                <w:lang w:val="en-US" w:eastAsia="zh-CN"/>
              </w:rPr>
              <w:t>3</w:t>
            </w:r>
            <w:r>
              <w:rPr>
                <w:rFonts w:hint="eastAsia" w:asciiTheme="minorEastAsia" w:hAnsiTheme="minorEastAsia" w:eastAsiaTheme="minorEastAsia" w:cstheme="minorEastAsia"/>
                <w:b w:val="0"/>
                <w:bCs w:val="0"/>
                <w:color w:val="auto"/>
                <w:kern w:val="0"/>
                <w:sz w:val="21"/>
                <w:szCs w:val="21"/>
                <w:highlight w:val="none"/>
              </w:rPr>
              <w:t>分</w:t>
            </w:r>
            <w:r>
              <w:rPr>
                <w:rFonts w:hint="eastAsia" w:asciiTheme="minorEastAsia" w:hAnsiTheme="minorEastAsia" w:eastAsiaTheme="minorEastAsia" w:cstheme="minorEastAsia"/>
                <w:b w:val="0"/>
                <w:bCs w:val="0"/>
                <w:color w:val="auto"/>
                <w:kern w:val="0"/>
                <w:sz w:val="21"/>
                <w:szCs w:val="21"/>
                <w:highlight w:val="none"/>
                <w:lang w:eastAsia="zh-CN"/>
              </w:rPr>
              <w:t>；</w:t>
            </w:r>
          </w:p>
          <w:p>
            <w:pPr>
              <w:pStyle w:val="30"/>
              <w:keepNext w:val="0"/>
              <w:keepLines w:val="0"/>
              <w:pageBreakBefore w:val="0"/>
              <w:numPr>
                <w:ilvl w:val="0"/>
                <w:numId w:val="84"/>
              </w:numPr>
              <w:kinsoku/>
              <w:wordWrap w:val="0"/>
              <w:overflowPunct/>
              <w:topLinePunct w:val="0"/>
              <w:autoSpaceDE/>
              <w:autoSpaceDN/>
              <w:bidi w:val="0"/>
              <w:adjustRightInd/>
              <w:snapToGrid/>
              <w:ind w:left="425" w:leftChars="0" w:hanging="425" w:firstLineChars="0"/>
              <w:textAlignment w:val="auto"/>
              <w:rPr>
                <w:rFonts w:hint="eastAsia" w:asciiTheme="minorEastAsia" w:hAnsiTheme="minorEastAsia" w:eastAsiaTheme="minorEastAsia" w:cstheme="minorEastAsia"/>
                <w:b w:val="0"/>
                <w:bCs w:val="0"/>
                <w:color w:val="auto"/>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100</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rPr>
              <w:t>信用积分</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lang w:val="en-US" w:eastAsia="zh-CN"/>
              </w:rPr>
              <w:t>110</w:t>
            </w:r>
            <w:r>
              <w:rPr>
                <w:rFonts w:hint="eastAsia" w:asciiTheme="minorEastAsia" w:hAnsiTheme="minorEastAsia" w:eastAsiaTheme="minorEastAsia" w:cstheme="minorEastAsia"/>
                <w:b w:val="0"/>
                <w:bCs w:val="0"/>
                <w:color w:val="auto"/>
                <w:kern w:val="0"/>
                <w:sz w:val="21"/>
                <w:szCs w:val="21"/>
                <w:highlight w:val="none"/>
              </w:rPr>
              <w:t>的</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rPr>
              <w:t>得</w:t>
            </w:r>
            <w:r>
              <w:rPr>
                <w:rFonts w:hint="eastAsia" w:asciiTheme="minorEastAsia" w:hAnsiTheme="minorEastAsia" w:eastAsiaTheme="minorEastAsia" w:cstheme="minorEastAsia"/>
                <w:b w:val="0"/>
                <w:bCs w:val="0"/>
                <w:color w:val="auto"/>
                <w:kern w:val="0"/>
                <w:sz w:val="21"/>
                <w:szCs w:val="21"/>
                <w:highlight w:val="none"/>
                <w:lang w:val="en-US" w:eastAsia="zh-CN"/>
              </w:rPr>
              <w:t>0.5</w:t>
            </w:r>
            <w:r>
              <w:rPr>
                <w:rFonts w:hint="eastAsia" w:asciiTheme="minorEastAsia" w:hAnsiTheme="minorEastAsia" w:eastAsiaTheme="minorEastAsia" w:cstheme="minorEastAsia"/>
                <w:b w:val="0"/>
                <w:bCs w:val="0"/>
                <w:color w:val="auto"/>
                <w:kern w:val="0"/>
                <w:sz w:val="21"/>
                <w:szCs w:val="21"/>
                <w:highlight w:val="none"/>
              </w:rPr>
              <w:t>分</w:t>
            </w:r>
            <w:r>
              <w:rPr>
                <w:rFonts w:hint="eastAsia" w:asciiTheme="minorEastAsia" w:hAnsiTheme="minorEastAsia" w:eastAsiaTheme="minorEastAsia" w:cstheme="minorEastAsia"/>
                <w:b w:val="0"/>
                <w:bCs w:val="0"/>
                <w:color w:val="auto"/>
                <w:kern w:val="0"/>
                <w:sz w:val="21"/>
                <w:szCs w:val="21"/>
                <w:highlight w:val="none"/>
                <w:lang w:eastAsia="zh-CN"/>
              </w:rPr>
              <w:t>。</w:t>
            </w:r>
          </w:p>
          <w:p>
            <w:pPr>
              <w:keepNext w:val="0"/>
              <w:keepLines w:val="0"/>
              <w:pageBreakBefore w:val="0"/>
              <w:widowControl/>
              <w:kinsoku/>
              <w:wordWrap w:val="0"/>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kern w:val="0"/>
                <w:sz w:val="21"/>
                <w:szCs w:val="21"/>
                <w:highlight w:val="none"/>
                <w:lang w:val="en-US" w:eastAsia="zh-CN"/>
              </w:rPr>
              <w:t>注：</w:t>
            </w:r>
            <w:r>
              <w:rPr>
                <w:rFonts w:hint="eastAsia" w:ascii="宋体" w:hAnsi="宋体" w:cs="宋体"/>
                <w:color w:val="auto"/>
                <w:kern w:val="0"/>
                <w:sz w:val="21"/>
                <w:szCs w:val="21"/>
                <w:highlight w:val="none"/>
                <w:lang w:val="en-US" w:eastAsia="zh-CN"/>
              </w:rPr>
              <w:t>本项最高得9分。</w:t>
            </w:r>
            <w:r>
              <w:rPr>
                <w:rFonts w:hint="eastAsia" w:asciiTheme="minorEastAsia" w:hAnsiTheme="minorEastAsia" w:eastAsiaTheme="minorEastAsia" w:cstheme="minorEastAsia"/>
                <w:b w:val="0"/>
                <w:bCs w:val="0"/>
                <w:color w:val="auto"/>
                <w:kern w:val="0"/>
                <w:sz w:val="21"/>
                <w:szCs w:val="21"/>
                <w:highlight w:val="none"/>
              </w:rPr>
              <w:t>须提供</w:t>
            </w:r>
            <w:r>
              <w:rPr>
                <w:rFonts w:hint="eastAsia" w:asciiTheme="minorEastAsia" w:hAnsiTheme="minorEastAsia" w:eastAsiaTheme="minorEastAsia" w:cstheme="minorEastAsia"/>
                <w:b w:val="0"/>
                <w:bCs w:val="0"/>
                <w:color w:val="auto"/>
                <w:kern w:val="0"/>
                <w:sz w:val="21"/>
                <w:szCs w:val="21"/>
                <w:highlight w:val="none"/>
                <w:lang w:val="en-US" w:eastAsia="zh-CN"/>
              </w:rPr>
              <w:t>官方</w:t>
            </w:r>
            <w:r>
              <w:rPr>
                <w:rFonts w:hint="eastAsia" w:asciiTheme="minorEastAsia" w:hAnsiTheme="minorEastAsia" w:eastAsiaTheme="minorEastAsia" w:cstheme="minorEastAsia"/>
                <w:b w:val="0"/>
                <w:bCs w:val="0"/>
                <w:color w:val="auto"/>
                <w:kern w:val="0"/>
                <w:sz w:val="21"/>
                <w:szCs w:val="21"/>
                <w:highlight w:val="none"/>
              </w:rPr>
              <w:t>网页</w:t>
            </w:r>
            <w:r>
              <w:rPr>
                <w:rFonts w:hint="eastAsia" w:asciiTheme="minorEastAsia" w:hAnsiTheme="minorEastAsia" w:eastAsiaTheme="minorEastAsia" w:cstheme="minorEastAsia"/>
                <w:b w:val="0"/>
                <w:bCs w:val="0"/>
                <w:color w:val="auto"/>
                <w:kern w:val="0"/>
                <w:sz w:val="21"/>
                <w:szCs w:val="21"/>
                <w:highlight w:val="none"/>
                <w:lang w:eastAsia="zh-CN"/>
              </w:rPr>
              <w:t>（https://fwjy.fszj.foshan.gov.cn/foshan/home/#/）</w:t>
            </w:r>
            <w:r>
              <w:rPr>
                <w:rFonts w:hint="eastAsia" w:asciiTheme="minorEastAsia" w:hAnsiTheme="minorEastAsia" w:eastAsiaTheme="minorEastAsia" w:cstheme="minorEastAsia"/>
                <w:b w:val="0"/>
                <w:bCs w:val="0"/>
                <w:color w:val="auto"/>
                <w:kern w:val="0"/>
                <w:sz w:val="21"/>
                <w:szCs w:val="21"/>
                <w:highlight w:val="none"/>
              </w:rPr>
              <w:t>查询结果</w:t>
            </w:r>
            <w:r>
              <w:rPr>
                <w:rFonts w:hint="eastAsia" w:asciiTheme="minorEastAsia" w:hAnsiTheme="minorEastAsia" w:eastAsiaTheme="minorEastAsia" w:cstheme="minorEastAsia"/>
                <w:b w:val="0"/>
                <w:bCs w:val="0"/>
                <w:color w:val="auto"/>
                <w:kern w:val="0"/>
                <w:sz w:val="21"/>
                <w:szCs w:val="21"/>
                <w:highlight w:val="none"/>
                <w:lang w:val="en-US" w:eastAsia="zh-CN"/>
              </w:rPr>
              <w:t>截图作为证明材料</w:t>
            </w:r>
            <w:r>
              <w:rPr>
                <w:rFonts w:hint="eastAsia" w:asciiTheme="minorEastAsia" w:hAnsiTheme="minorEastAsia" w:eastAsiaTheme="minorEastAsia" w:cstheme="minorEastAsia"/>
                <w:b w:val="0"/>
                <w:bCs w:val="0"/>
                <w:color w:val="auto"/>
                <w:kern w:val="0"/>
                <w:sz w:val="21"/>
                <w:szCs w:val="21"/>
                <w:highlight w:val="none"/>
              </w:rPr>
              <w:t>，</w:t>
            </w:r>
            <w:r>
              <w:rPr>
                <w:rFonts w:hint="eastAsia" w:ascii="宋体" w:hAnsi="宋体" w:eastAsia="宋体" w:cs="宋体"/>
                <w:color w:val="auto"/>
                <w:sz w:val="21"/>
                <w:szCs w:val="21"/>
                <w:highlight w:val="none"/>
              </w:rPr>
              <w:t>最终以代理机构投标截止日当天通过相关系统核查的结论为准</w:t>
            </w:r>
            <w:r>
              <w:rPr>
                <w:rFonts w:hint="eastAsia" w:asciiTheme="minorEastAsia" w:hAnsiTheme="minorEastAsia" w:eastAsiaTheme="minorEastAsia" w:cstheme="minorEastAsia"/>
                <w:b w:val="0"/>
                <w:bCs w:val="0"/>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 w:hRule="atLeast"/>
          <w:jc w:val="center"/>
        </w:trPr>
        <w:tc>
          <w:tcPr>
            <w:tcW w:w="838" w:type="dxa"/>
            <w:vMerge w:val="restart"/>
            <w:vAlign w:val="center"/>
          </w:tcPr>
          <w:p>
            <w:pPr>
              <w:widowControl/>
              <w:numPr>
                <w:ilvl w:val="0"/>
                <w:numId w:val="80"/>
              </w:numPr>
              <w:spacing w:line="240" w:lineRule="auto"/>
              <w:ind w:left="425" w:leftChars="0" w:hanging="425" w:firstLineChars="0"/>
              <w:jc w:val="center"/>
              <w:rPr>
                <w:rFonts w:hint="eastAsia" w:asciiTheme="minorEastAsia" w:hAnsiTheme="minorEastAsia" w:eastAsiaTheme="minorEastAsia" w:cstheme="minorEastAsia"/>
                <w:color w:val="auto"/>
                <w:sz w:val="21"/>
                <w:szCs w:val="21"/>
                <w:highlight w:val="none"/>
              </w:rPr>
            </w:pPr>
          </w:p>
        </w:tc>
        <w:tc>
          <w:tcPr>
            <w:tcW w:w="1712" w:type="dxa"/>
            <w:vMerge w:val="restart"/>
            <w:vAlign w:val="center"/>
          </w:tcPr>
          <w:p>
            <w:pPr>
              <w:widowControl/>
              <w:spacing w:line="240" w:lineRule="auto"/>
              <w:jc w:val="center"/>
              <w:rPr>
                <w:rFonts w:hint="eastAsia" w:asciiTheme="minorEastAsia" w:hAnsiTheme="minorEastAsia" w:eastAsiaTheme="minorEastAsia" w:cstheme="minorEastAsia"/>
                <w:b w:val="0"/>
                <w:bCs w:val="0"/>
                <w:color w:val="auto"/>
                <w:sz w:val="21"/>
                <w:szCs w:val="21"/>
                <w:highlight w:val="none"/>
                <w:lang w:eastAsia="zh-CN"/>
              </w:rPr>
            </w:pPr>
            <w:r>
              <w:rPr>
                <w:rFonts w:hint="eastAsia" w:asciiTheme="minorEastAsia" w:hAnsiTheme="minorEastAsia" w:eastAsiaTheme="minorEastAsia" w:cstheme="minorEastAsia"/>
                <w:b w:val="0"/>
                <w:bCs w:val="0"/>
                <w:color w:val="auto"/>
                <w:kern w:val="0"/>
                <w:sz w:val="21"/>
                <w:szCs w:val="21"/>
                <w:highlight w:val="none"/>
              </w:rPr>
              <w:t>企业荣誉</w:t>
            </w:r>
          </w:p>
        </w:tc>
        <w:tc>
          <w:tcPr>
            <w:tcW w:w="960" w:type="dxa"/>
            <w:vAlign w:val="center"/>
          </w:tcPr>
          <w:p>
            <w:pPr>
              <w:widowControl/>
              <w:spacing w:line="240" w:lineRule="auto"/>
              <w:jc w:val="center"/>
              <w:rPr>
                <w:rFonts w:hint="eastAsia"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9</w:t>
            </w:r>
          </w:p>
        </w:tc>
        <w:tc>
          <w:tcPr>
            <w:tcW w:w="5816" w:type="dxa"/>
            <w:vAlign w:val="center"/>
          </w:tcPr>
          <w:p>
            <w:pPr>
              <w:widowControl/>
              <w:spacing w:line="240" w:lineRule="auto"/>
              <w:rPr>
                <w:rFonts w:hint="eastAsia"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rPr>
              <w:t>投标人管理</w:t>
            </w:r>
            <w:r>
              <w:rPr>
                <w:rFonts w:hint="eastAsia" w:asciiTheme="minorEastAsia" w:hAnsiTheme="minorEastAsia" w:eastAsiaTheme="minorEastAsia" w:cstheme="minorEastAsia"/>
                <w:b w:val="0"/>
                <w:bCs w:val="0"/>
                <w:color w:val="auto"/>
                <w:kern w:val="0"/>
                <w:sz w:val="21"/>
                <w:szCs w:val="21"/>
                <w:highlight w:val="none"/>
                <w:lang w:eastAsia="zh-Hans"/>
              </w:rPr>
              <w:t>的</w:t>
            </w:r>
            <w:r>
              <w:rPr>
                <w:rFonts w:hint="eastAsia" w:asciiTheme="minorEastAsia" w:hAnsiTheme="minorEastAsia" w:eastAsiaTheme="minorEastAsia" w:cstheme="minorEastAsia"/>
                <w:b w:val="0"/>
                <w:bCs w:val="0"/>
                <w:color w:val="auto"/>
                <w:kern w:val="0"/>
                <w:sz w:val="21"/>
                <w:szCs w:val="21"/>
                <w:highlight w:val="none"/>
              </w:rPr>
              <w:t>物业</w:t>
            </w:r>
            <w:r>
              <w:rPr>
                <w:rFonts w:hint="eastAsia" w:asciiTheme="minorEastAsia" w:hAnsiTheme="minorEastAsia" w:eastAsiaTheme="minorEastAsia" w:cstheme="minorEastAsia"/>
                <w:b w:val="0"/>
                <w:bCs w:val="0"/>
                <w:color w:val="auto"/>
                <w:kern w:val="0"/>
                <w:sz w:val="21"/>
                <w:szCs w:val="21"/>
                <w:highlight w:val="none"/>
                <w:lang w:eastAsia="zh-Hans"/>
              </w:rPr>
              <w:t>管理</w:t>
            </w:r>
            <w:r>
              <w:rPr>
                <w:rFonts w:hint="eastAsia" w:asciiTheme="minorEastAsia" w:hAnsiTheme="minorEastAsia" w:eastAsiaTheme="minorEastAsia" w:cstheme="minorEastAsia"/>
                <w:b w:val="0"/>
                <w:bCs w:val="0"/>
                <w:color w:val="auto"/>
                <w:kern w:val="0"/>
                <w:sz w:val="21"/>
                <w:szCs w:val="21"/>
                <w:highlight w:val="none"/>
              </w:rPr>
              <w:t>项目</w:t>
            </w:r>
            <w:r>
              <w:rPr>
                <w:rFonts w:hint="eastAsia" w:asciiTheme="minorEastAsia" w:hAnsiTheme="minorEastAsia" w:eastAsiaTheme="minorEastAsia" w:cstheme="minorEastAsia"/>
                <w:b w:val="0"/>
                <w:bCs w:val="0"/>
                <w:color w:val="auto"/>
                <w:kern w:val="0"/>
                <w:sz w:val="21"/>
                <w:szCs w:val="21"/>
                <w:highlight w:val="none"/>
                <w:lang w:val="en-US" w:eastAsia="zh-CN"/>
              </w:rPr>
              <w:t>获奖情况：</w:t>
            </w:r>
          </w:p>
          <w:p>
            <w:pPr>
              <w:widowControl/>
              <w:numPr>
                <w:ilvl w:val="0"/>
                <w:numId w:val="85"/>
              </w:numPr>
              <w:spacing w:line="240" w:lineRule="auto"/>
              <w:ind w:left="425" w:leftChars="0" w:hanging="425" w:firstLineChars="0"/>
              <w:rPr>
                <w:rFonts w:hint="eastAsia" w:asciiTheme="minorEastAsia" w:hAnsiTheme="minorEastAsia" w:eastAsiaTheme="minorEastAsia" w:cstheme="minorEastAsia"/>
                <w:b w:val="0"/>
                <w:bCs w:val="0"/>
                <w:color w:val="auto"/>
                <w:kern w:val="0"/>
                <w:sz w:val="21"/>
                <w:szCs w:val="21"/>
                <w:highlight w:val="none"/>
                <w:lang w:val="en-US" w:eastAsia="zh-CN"/>
              </w:rPr>
            </w:pPr>
            <w:r>
              <w:rPr>
                <w:rFonts w:hint="eastAsia" w:asciiTheme="minorEastAsia" w:hAnsiTheme="minorEastAsia" w:eastAsiaTheme="minorEastAsia" w:cstheme="minorEastAsia"/>
                <w:b w:val="0"/>
                <w:bCs w:val="0"/>
                <w:color w:val="auto"/>
                <w:kern w:val="0"/>
                <w:sz w:val="21"/>
                <w:szCs w:val="21"/>
                <w:highlight w:val="none"/>
              </w:rPr>
              <w:t>曾获得市级荣誉，</w:t>
            </w:r>
            <w:r>
              <w:rPr>
                <w:rFonts w:hint="eastAsia" w:asciiTheme="minorEastAsia" w:hAnsiTheme="minorEastAsia" w:eastAsiaTheme="minorEastAsia" w:cstheme="minorEastAsia"/>
                <w:b w:val="0"/>
                <w:bCs w:val="0"/>
                <w:color w:val="auto"/>
                <w:kern w:val="0"/>
                <w:sz w:val="21"/>
                <w:szCs w:val="21"/>
                <w:highlight w:val="none"/>
                <w:lang w:val="en-US" w:eastAsia="zh-CN"/>
              </w:rPr>
              <w:t>每</w:t>
            </w:r>
            <w:r>
              <w:rPr>
                <w:rFonts w:hint="eastAsia" w:asciiTheme="minorEastAsia" w:hAnsiTheme="minorEastAsia" w:eastAsiaTheme="minorEastAsia" w:cstheme="minorEastAsia"/>
                <w:b w:val="0"/>
                <w:bCs w:val="0"/>
                <w:color w:val="auto"/>
                <w:kern w:val="0"/>
                <w:sz w:val="21"/>
                <w:szCs w:val="21"/>
                <w:highlight w:val="none"/>
              </w:rPr>
              <w:t>提供</w:t>
            </w:r>
            <w:r>
              <w:rPr>
                <w:rFonts w:hint="eastAsia" w:asciiTheme="minorEastAsia" w:hAnsiTheme="minorEastAsia" w:eastAsiaTheme="minorEastAsia" w:cstheme="minorEastAsia"/>
                <w:b w:val="0"/>
                <w:bCs w:val="0"/>
                <w:color w:val="auto"/>
                <w:kern w:val="0"/>
                <w:sz w:val="21"/>
                <w:szCs w:val="21"/>
                <w:highlight w:val="none"/>
                <w:lang w:val="en-US" w:eastAsia="zh-CN"/>
              </w:rPr>
              <w:t>1</w:t>
            </w:r>
            <w:r>
              <w:rPr>
                <w:rFonts w:hint="eastAsia" w:asciiTheme="minorEastAsia" w:hAnsiTheme="minorEastAsia" w:eastAsiaTheme="minorEastAsia" w:cstheme="minorEastAsia"/>
                <w:b w:val="0"/>
                <w:bCs w:val="0"/>
                <w:color w:val="auto"/>
                <w:kern w:val="0"/>
                <w:sz w:val="21"/>
                <w:szCs w:val="21"/>
                <w:highlight w:val="none"/>
              </w:rPr>
              <w:t>个得</w:t>
            </w:r>
            <w:r>
              <w:rPr>
                <w:rFonts w:hint="eastAsia" w:asciiTheme="minorEastAsia" w:hAnsiTheme="minorEastAsia" w:eastAsiaTheme="minorEastAsia" w:cstheme="minorEastAsia"/>
                <w:b w:val="0"/>
                <w:bCs w:val="0"/>
                <w:color w:val="auto"/>
                <w:kern w:val="0"/>
                <w:sz w:val="21"/>
                <w:szCs w:val="21"/>
                <w:highlight w:val="none"/>
                <w:lang w:val="en-US" w:eastAsia="zh-CN"/>
              </w:rPr>
              <w:t>1</w:t>
            </w:r>
            <w:r>
              <w:rPr>
                <w:rFonts w:hint="eastAsia" w:asciiTheme="minorEastAsia" w:hAnsiTheme="minorEastAsia" w:eastAsiaTheme="minorEastAsia" w:cstheme="minorEastAsia"/>
                <w:b w:val="0"/>
                <w:bCs w:val="0"/>
                <w:color w:val="auto"/>
                <w:kern w:val="0"/>
                <w:sz w:val="21"/>
                <w:szCs w:val="21"/>
                <w:highlight w:val="none"/>
              </w:rPr>
              <w:t>分</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lang w:val="en-US" w:eastAsia="zh-CN"/>
              </w:rPr>
              <w:t>本子项最高得3分；</w:t>
            </w:r>
          </w:p>
          <w:p>
            <w:pPr>
              <w:widowControl/>
              <w:numPr>
                <w:ilvl w:val="0"/>
                <w:numId w:val="85"/>
              </w:numPr>
              <w:spacing w:line="240" w:lineRule="auto"/>
              <w:ind w:left="425" w:leftChars="0" w:hanging="425" w:firstLineChars="0"/>
              <w:rPr>
                <w:rFonts w:hint="eastAsia" w:asciiTheme="minorEastAsia" w:hAnsiTheme="minorEastAsia" w:eastAsiaTheme="minorEastAsia" w:cstheme="minorEastAsia"/>
                <w:b w:val="0"/>
                <w:bCs w:val="0"/>
                <w:color w:val="auto"/>
                <w:kern w:val="0"/>
                <w:sz w:val="21"/>
                <w:szCs w:val="21"/>
                <w:highlight w:val="none"/>
              </w:rPr>
            </w:pPr>
            <w:r>
              <w:rPr>
                <w:rFonts w:hint="eastAsia" w:asciiTheme="minorEastAsia" w:hAnsiTheme="minorEastAsia" w:eastAsiaTheme="minorEastAsia" w:cstheme="minorEastAsia"/>
                <w:b w:val="0"/>
                <w:bCs w:val="0"/>
                <w:color w:val="auto"/>
                <w:kern w:val="0"/>
                <w:sz w:val="21"/>
                <w:szCs w:val="21"/>
                <w:highlight w:val="none"/>
              </w:rPr>
              <w:t>曾获得</w:t>
            </w:r>
            <w:r>
              <w:rPr>
                <w:rFonts w:hint="eastAsia" w:asciiTheme="minorEastAsia" w:hAnsiTheme="minorEastAsia" w:eastAsiaTheme="minorEastAsia" w:cstheme="minorEastAsia"/>
                <w:b w:val="0"/>
                <w:bCs w:val="0"/>
                <w:color w:val="auto"/>
                <w:kern w:val="0"/>
                <w:sz w:val="21"/>
                <w:szCs w:val="21"/>
                <w:highlight w:val="none"/>
                <w:lang w:val="en-US" w:eastAsia="zh-CN"/>
              </w:rPr>
              <w:t>省</w:t>
            </w:r>
            <w:r>
              <w:rPr>
                <w:rFonts w:hint="eastAsia" w:asciiTheme="minorEastAsia" w:hAnsiTheme="minorEastAsia" w:eastAsiaTheme="minorEastAsia" w:cstheme="minorEastAsia"/>
                <w:b w:val="0"/>
                <w:bCs w:val="0"/>
                <w:color w:val="auto"/>
                <w:kern w:val="0"/>
                <w:sz w:val="21"/>
                <w:szCs w:val="21"/>
                <w:highlight w:val="none"/>
              </w:rPr>
              <w:t>级</w:t>
            </w:r>
            <w:r>
              <w:rPr>
                <w:rFonts w:hint="eastAsia" w:asciiTheme="minorEastAsia" w:hAnsiTheme="minorEastAsia" w:eastAsiaTheme="minorEastAsia" w:cstheme="minorEastAsia"/>
                <w:b w:val="0"/>
                <w:bCs w:val="0"/>
                <w:color w:val="auto"/>
                <w:kern w:val="0"/>
                <w:sz w:val="21"/>
                <w:szCs w:val="21"/>
                <w:highlight w:val="none"/>
                <w:lang w:val="en-US" w:eastAsia="zh-CN"/>
              </w:rPr>
              <w:t>或以上</w:t>
            </w:r>
            <w:r>
              <w:rPr>
                <w:rFonts w:hint="eastAsia" w:asciiTheme="minorEastAsia" w:hAnsiTheme="minorEastAsia" w:eastAsiaTheme="minorEastAsia" w:cstheme="minorEastAsia"/>
                <w:b w:val="0"/>
                <w:bCs w:val="0"/>
                <w:color w:val="auto"/>
                <w:kern w:val="0"/>
                <w:sz w:val="21"/>
                <w:szCs w:val="21"/>
                <w:highlight w:val="none"/>
              </w:rPr>
              <w:t>荣誉</w:t>
            </w:r>
            <w:r>
              <w:rPr>
                <w:rFonts w:hint="eastAsia" w:asciiTheme="minorEastAsia" w:hAnsiTheme="minorEastAsia" w:eastAsiaTheme="minorEastAsia" w:cstheme="minorEastAsia"/>
                <w:b w:val="0"/>
                <w:bCs w:val="0"/>
                <w:color w:val="auto"/>
                <w:kern w:val="0"/>
                <w:sz w:val="21"/>
                <w:szCs w:val="21"/>
                <w:highlight w:val="none"/>
                <w:lang w:val="en-US" w:eastAsia="zh-CN"/>
              </w:rPr>
              <w:t>的</w:t>
            </w:r>
            <w:r>
              <w:rPr>
                <w:rFonts w:hint="eastAsia" w:asciiTheme="minorEastAsia" w:hAnsiTheme="minorEastAsia" w:eastAsiaTheme="minorEastAsia" w:cstheme="minorEastAsia"/>
                <w:b w:val="0"/>
                <w:bCs w:val="0"/>
                <w:color w:val="auto"/>
                <w:kern w:val="0"/>
                <w:sz w:val="21"/>
                <w:szCs w:val="21"/>
                <w:highlight w:val="none"/>
              </w:rPr>
              <w:t>，</w:t>
            </w:r>
            <w:r>
              <w:rPr>
                <w:rFonts w:hint="eastAsia" w:asciiTheme="minorEastAsia" w:hAnsiTheme="minorEastAsia" w:eastAsiaTheme="minorEastAsia" w:cstheme="minorEastAsia"/>
                <w:b w:val="0"/>
                <w:bCs w:val="0"/>
                <w:color w:val="auto"/>
                <w:kern w:val="0"/>
                <w:sz w:val="21"/>
                <w:szCs w:val="21"/>
                <w:highlight w:val="none"/>
                <w:lang w:val="en-US" w:eastAsia="zh-CN"/>
              </w:rPr>
              <w:t>每</w:t>
            </w:r>
            <w:r>
              <w:rPr>
                <w:rFonts w:hint="eastAsia" w:asciiTheme="minorEastAsia" w:hAnsiTheme="minorEastAsia" w:eastAsiaTheme="minorEastAsia" w:cstheme="minorEastAsia"/>
                <w:b w:val="0"/>
                <w:bCs w:val="0"/>
                <w:color w:val="auto"/>
                <w:kern w:val="0"/>
                <w:sz w:val="21"/>
                <w:szCs w:val="21"/>
                <w:highlight w:val="none"/>
              </w:rPr>
              <w:t>提供</w:t>
            </w:r>
            <w:r>
              <w:rPr>
                <w:rFonts w:hint="eastAsia" w:asciiTheme="minorEastAsia" w:hAnsiTheme="minorEastAsia" w:eastAsiaTheme="minorEastAsia" w:cstheme="minorEastAsia"/>
                <w:b w:val="0"/>
                <w:bCs w:val="0"/>
                <w:color w:val="auto"/>
                <w:kern w:val="0"/>
                <w:sz w:val="21"/>
                <w:szCs w:val="21"/>
                <w:highlight w:val="none"/>
                <w:lang w:val="en-US" w:eastAsia="zh-CN"/>
              </w:rPr>
              <w:t>1</w:t>
            </w:r>
            <w:r>
              <w:rPr>
                <w:rFonts w:hint="eastAsia" w:asciiTheme="minorEastAsia" w:hAnsiTheme="minorEastAsia" w:eastAsiaTheme="minorEastAsia" w:cstheme="minorEastAsia"/>
                <w:b w:val="0"/>
                <w:bCs w:val="0"/>
                <w:color w:val="auto"/>
                <w:kern w:val="0"/>
                <w:sz w:val="21"/>
                <w:szCs w:val="21"/>
                <w:highlight w:val="none"/>
              </w:rPr>
              <w:t>个得</w:t>
            </w:r>
            <w:r>
              <w:rPr>
                <w:rFonts w:hint="eastAsia" w:asciiTheme="minorEastAsia" w:hAnsiTheme="minorEastAsia" w:eastAsiaTheme="minorEastAsia" w:cstheme="minorEastAsia"/>
                <w:b w:val="0"/>
                <w:bCs w:val="0"/>
                <w:color w:val="auto"/>
                <w:kern w:val="0"/>
                <w:sz w:val="21"/>
                <w:szCs w:val="21"/>
                <w:highlight w:val="none"/>
                <w:lang w:val="en-US" w:eastAsia="zh-CN"/>
              </w:rPr>
              <w:t>2</w:t>
            </w:r>
            <w:r>
              <w:rPr>
                <w:rFonts w:hint="eastAsia" w:asciiTheme="minorEastAsia" w:hAnsiTheme="minorEastAsia" w:eastAsiaTheme="minorEastAsia" w:cstheme="minorEastAsia"/>
                <w:b w:val="0"/>
                <w:bCs w:val="0"/>
                <w:color w:val="auto"/>
                <w:kern w:val="0"/>
                <w:sz w:val="21"/>
                <w:szCs w:val="21"/>
                <w:highlight w:val="none"/>
              </w:rPr>
              <w:t>分</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val="0"/>
                <w:bCs w:val="0"/>
                <w:color w:val="auto"/>
                <w:kern w:val="0"/>
                <w:sz w:val="21"/>
                <w:szCs w:val="21"/>
                <w:highlight w:val="none"/>
                <w:lang w:val="en-US" w:eastAsia="zh-CN"/>
              </w:rPr>
              <w:t>本子项最高得6分。</w:t>
            </w:r>
          </w:p>
          <w:p>
            <w:pPr>
              <w:widowControl/>
              <w:spacing w:line="240" w:lineRule="auto"/>
              <w:rPr>
                <w:rFonts w:hint="eastAsia" w:asciiTheme="minorEastAsia" w:hAnsiTheme="minorEastAsia" w:eastAsiaTheme="minorEastAsia" w:cstheme="minorEastAsia"/>
                <w:b w:val="0"/>
                <w:bCs w:val="0"/>
                <w:color w:val="auto"/>
                <w:sz w:val="21"/>
                <w:szCs w:val="21"/>
                <w:highlight w:val="none"/>
                <w:lang w:val="zh-CN" w:eastAsia="zh-CN"/>
              </w:rPr>
            </w:pPr>
            <w:r>
              <w:rPr>
                <w:rFonts w:hint="eastAsia" w:asciiTheme="minorEastAsia" w:hAnsiTheme="minorEastAsia" w:eastAsiaTheme="minorEastAsia" w:cstheme="minorEastAsia"/>
                <w:b w:val="0"/>
                <w:bCs w:val="0"/>
                <w:color w:val="auto"/>
                <w:kern w:val="0"/>
                <w:sz w:val="21"/>
                <w:szCs w:val="21"/>
                <w:highlight w:val="none"/>
                <w:lang w:val="en-US" w:eastAsia="zh-CN"/>
              </w:rPr>
              <w:t>注：</w:t>
            </w:r>
            <w:r>
              <w:rPr>
                <w:rFonts w:hint="eastAsia" w:asciiTheme="minorEastAsia" w:hAnsiTheme="minorEastAsia" w:eastAsiaTheme="minorEastAsia" w:cstheme="minorEastAsia"/>
                <w:b w:val="0"/>
                <w:bCs w:val="0"/>
                <w:color w:val="auto"/>
                <w:sz w:val="21"/>
                <w:szCs w:val="21"/>
                <w:highlight w:val="none"/>
                <w:lang w:val="en-US" w:eastAsia="zh-CN"/>
              </w:rPr>
              <w:t>本项最高得9分。</w:t>
            </w:r>
            <w:r>
              <w:rPr>
                <w:rFonts w:hint="eastAsia" w:ascii="宋体" w:hAnsi="宋体" w:eastAsia="宋体" w:cs="宋体"/>
                <w:color w:val="auto"/>
                <w:kern w:val="0"/>
                <w:sz w:val="21"/>
                <w:szCs w:val="21"/>
                <w:highlight w:val="none"/>
                <w:lang w:val="en-US" w:eastAsia="zh-CN"/>
              </w:rPr>
              <w:t>（1）</w:t>
            </w:r>
            <w:r>
              <w:rPr>
                <w:rFonts w:hint="eastAsia" w:asciiTheme="minorEastAsia" w:hAnsiTheme="minorEastAsia" w:eastAsiaTheme="minorEastAsia" w:cstheme="minorEastAsia"/>
                <w:b w:val="0"/>
                <w:bCs w:val="0"/>
                <w:color w:val="auto"/>
                <w:sz w:val="21"/>
                <w:szCs w:val="21"/>
                <w:highlight w:val="none"/>
                <w:lang w:val="en-US" w:eastAsia="zh-CN"/>
              </w:rPr>
              <w:t>同一项目按最高级别计算得分，不重复得分。</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w:t>
            </w:r>
            <w:r>
              <w:rPr>
                <w:rFonts w:hint="eastAsia" w:asciiTheme="minorEastAsia" w:hAnsiTheme="minorEastAsia" w:eastAsiaTheme="minorEastAsia" w:cstheme="minorEastAsia"/>
                <w:b w:val="0"/>
                <w:bCs w:val="0"/>
                <w:color w:val="auto"/>
                <w:kern w:val="0"/>
                <w:sz w:val="21"/>
                <w:szCs w:val="21"/>
                <w:highlight w:val="none"/>
              </w:rPr>
              <w:t>须提供证书</w:t>
            </w:r>
            <w:r>
              <w:rPr>
                <w:rFonts w:hint="eastAsia" w:asciiTheme="minorEastAsia" w:hAnsiTheme="minorEastAsia" w:eastAsiaTheme="minorEastAsia" w:cstheme="minorEastAsia"/>
                <w:b w:val="0"/>
                <w:bCs w:val="0"/>
                <w:color w:val="auto"/>
                <w:kern w:val="0"/>
                <w:sz w:val="21"/>
                <w:szCs w:val="21"/>
                <w:highlight w:val="none"/>
                <w:lang w:val="en-US" w:eastAsia="zh-CN"/>
              </w:rPr>
              <w:t>复印件作为证明材料</w:t>
            </w:r>
            <w:r>
              <w:rPr>
                <w:rFonts w:hint="eastAsia" w:asciiTheme="minorEastAsia" w:hAnsiTheme="minorEastAsia" w:eastAsiaTheme="minorEastAsia" w:cstheme="minorEastAsia"/>
                <w:b w:val="0"/>
                <w:bCs w:val="0"/>
                <w:color w:val="auto"/>
                <w:kern w:val="0"/>
                <w:sz w:val="21"/>
                <w:szCs w:val="21"/>
                <w:highlight w:val="none"/>
              </w:rPr>
              <w:t>，</w:t>
            </w:r>
            <w:r>
              <w:rPr>
                <w:rFonts w:hint="eastAsia" w:asciiTheme="minorEastAsia" w:hAnsiTheme="minorEastAsia" w:eastAsiaTheme="minorEastAsia" w:cstheme="minorEastAsia"/>
                <w:b w:val="0"/>
                <w:bCs w:val="0"/>
                <w:color w:val="auto"/>
                <w:kern w:val="0"/>
                <w:sz w:val="21"/>
                <w:szCs w:val="21"/>
                <w:highlight w:val="none"/>
                <w:lang w:val="en-US" w:eastAsia="zh-CN"/>
              </w:rPr>
              <w:t>不</w:t>
            </w:r>
            <w:r>
              <w:rPr>
                <w:rFonts w:hint="eastAsia" w:asciiTheme="minorEastAsia" w:hAnsiTheme="minorEastAsia" w:eastAsiaTheme="minorEastAsia" w:cstheme="minorEastAsia"/>
                <w:b w:val="0"/>
                <w:bCs w:val="0"/>
                <w:color w:val="auto"/>
                <w:kern w:val="0"/>
                <w:sz w:val="21"/>
                <w:szCs w:val="21"/>
                <w:highlight w:val="none"/>
              </w:rPr>
              <w:t>提供不得分</w:t>
            </w:r>
            <w:r>
              <w:rPr>
                <w:rFonts w:hint="eastAsia" w:asciiTheme="minorEastAsia" w:hAnsiTheme="minorEastAsia" w:eastAsiaTheme="minorEastAsia" w:cstheme="minorEastAsia"/>
                <w:b w:val="0"/>
                <w:bCs w:val="0"/>
                <w:color w:val="auto"/>
                <w:kern w:val="0"/>
                <w:sz w:val="21"/>
                <w:szCs w:val="21"/>
                <w:highlight w:val="none"/>
                <w:lang w:eastAsia="zh-CN"/>
              </w:rPr>
              <w:t>。</w:t>
            </w:r>
            <w:r>
              <w:rPr>
                <w:rFonts w:hint="eastAsia" w:asciiTheme="minorEastAsia" w:hAnsiTheme="minorEastAsia" w:eastAsiaTheme="minorEastAsia" w:cstheme="minorEastAsia"/>
                <w:b/>
                <w:bCs/>
                <w:color w:val="auto"/>
                <w:kern w:val="0"/>
                <w:sz w:val="21"/>
                <w:szCs w:val="21"/>
                <w:highlight w:val="none"/>
                <w:lang w:val="en-US" w:eastAsia="zh-CN"/>
              </w:rPr>
              <w:t>证书</w:t>
            </w:r>
            <w:r>
              <w:rPr>
                <w:rFonts w:hint="eastAsia" w:asciiTheme="minorEastAsia" w:hAnsiTheme="minorEastAsia" w:eastAsiaTheme="minorEastAsia" w:cstheme="minorEastAsia"/>
                <w:b/>
                <w:bCs/>
                <w:color w:val="auto"/>
                <w:kern w:val="0"/>
                <w:sz w:val="21"/>
                <w:szCs w:val="21"/>
                <w:highlight w:val="none"/>
              </w:rPr>
              <w:t>原件核查</w:t>
            </w:r>
            <w:r>
              <w:rPr>
                <w:rFonts w:hint="eastAsia" w:asciiTheme="minorEastAsia" w:hAnsiTheme="minorEastAsia" w:eastAsiaTheme="minorEastAsia" w:cstheme="minorEastAsia"/>
                <w:b/>
                <w:bCs/>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838" w:type="dxa"/>
            <w:vMerge w:val="continue"/>
            <w:vAlign w:val="center"/>
          </w:tcPr>
          <w:p>
            <w:pPr>
              <w:widowControl/>
              <w:tabs>
                <w:tab w:val="left" w:pos="420"/>
              </w:tabs>
              <w:spacing w:line="240" w:lineRule="auto"/>
              <w:ind w:left="425" w:leftChars="0" w:hanging="425" w:firstLineChars="0"/>
              <w:jc w:val="center"/>
              <w:rPr>
                <w:rFonts w:hint="eastAsia" w:asciiTheme="minorEastAsia" w:hAnsiTheme="minorEastAsia" w:eastAsiaTheme="minorEastAsia" w:cstheme="minorEastAsia"/>
                <w:color w:val="auto"/>
                <w:sz w:val="21"/>
                <w:szCs w:val="21"/>
                <w:highlight w:val="none"/>
              </w:rPr>
            </w:pPr>
          </w:p>
        </w:tc>
        <w:tc>
          <w:tcPr>
            <w:tcW w:w="1712" w:type="dxa"/>
            <w:vMerge w:val="continue"/>
            <w:vAlign w:val="center"/>
          </w:tcPr>
          <w:p>
            <w:pPr>
              <w:widowControl/>
              <w:spacing w:line="240" w:lineRule="auto"/>
              <w:jc w:val="center"/>
              <w:rPr>
                <w:rFonts w:hint="eastAsia" w:asciiTheme="minorEastAsia" w:hAnsiTheme="minorEastAsia" w:eastAsiaTheme="minorEastAsia" w:cstheme="minorEastAsia"/>
                <w:b w:val="0"/>
                <w:bCs w:val="0"/>
                <w:color w:val="auto"/>
                <w:kern w:val="0"/>
                <w:sz w:val="21"/>
                <w:szCs w:val="21"/>
                <w:highlight w:val="none"/>
              </w:rPr>
            </w:pPr>
          </w:p>
        </w:tc>
        <w:tc>
          <w:tcPr>
            <w:tcW w:w="960" w:type="dxa"/>
            <w:vAlign w:val="center"/>
          </w:tcPr>
          <w:p>
            <w:pPr>
              <w:widowControl/>
              <w:spacing w:line="240" w:lineRule="auto"/>
              <w:jc w:val="center"/>
              <w:rPr>
                <w:rFonts w:hint="default" w:asciiTheme="minorEastAsia" w:hAnsiTheme="minorEastAsia" w:eastAsiaTheme="minorEastAsia" w:cstheme="minorEastAsia"/>
                <w:b w:val="0"/>
                <w:bCs w:val="0"/>
                <w:color w:val="auto"/>
                <w:sz w:val="21"/>
                <w:szCs w:val="21"/>
                <w:highlight w:val="none"/>
                <w:lang w:val="en-US" w:eastAsia="zh-CN"/>
              </w:rPr>
            </w:pPr>
            <w:r>
              <w:rPr>
                <w:rFonts w:hint="eastAsia" w:asciiTheme="minorEastAsia" w:hAnsiTheme="minorEastAsia" w:eastAsiaTheme="minorEastAsia" w:cstheme="minorEastAsia"/>
                <w:b w:val="0"/>
                <w:bCs w:val="0"/>
                <w:color w:val="auto"/>
                <w:sz w:val="21"/>
                <w:szCs w:val="21"/>
                <w:highlight w:val="none"/>
                <w:lang w:val="en-US" w:eastAsia="zh-CN"/>
              </w:rPr>
              <w:t>1</w:t>
            </w:r>
          </w:p>
        </w:tc>
        <w:tc>
          <w:tcPr>
            <w:tcW w:w="5816" w:type="dxa"/>
            <w:vAlign w:val="center"/>
          </w:tcPr>
          <w:p>
            <w:pPr>
              <w:pStyle w:val="3"/>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投标人曾获得质量服务信誉类AAA级或以上示范企业，得1分。</w:t>
            </w:r>
          </w:p>
          <w:p>
            <w:pPr>
              <w:rPr>
                <w:rFonts w:hint="eastAsia"/>
                <w:color w:val="auto"/>
                <w:highlight w:val="none"/>
                <w:lang w:val="en-US" w:eastAsia="zh-CN"/>
              </w:rPr>
            </w:pPr>
            <w:r>
              <w:rPr>
                <w:rFonts w:hint="eastAsia" w:ascii="宋体" w:hAnsi="宋体" w:eastAsia="宋体" w:cs="宋体"/>
                <w:b w:val="0"/>
                <w:bCs w:val="0"/>
                <w:color w:val="auto"/>
                <w:kern w:val="0"/>
                <w:sz w:val="21"/>
                <w:szCs w:val="21"/>
                <w:highlight w:val="none"/>
                <w:lang w:eastAsia="zh-CN"/>
              </w:rPr>
              <w:t>注：</w:t>
            </w:r>
            <w:r>
              <w:rPr>
                <w:rFonts w:hint="eastAsia" w:ascii="宋体" w:hAnsi="宋体" w:eastAsia="宋体" w:cs="宋体"/>
                <w:b w:val="0"/>
                <w:bCs w:val="0"/>
                <w:color w:val="auto"/>
                <w:kern w:val="0"/>
                <w:sz w:val="21"/>
                <w:szCs w:val="21"/>
                <w:highlight w:val="none"/>
              </w:rPr>
              <w:t>须提供证书</w:t>
            </w:r>
            <w:r>
              <w:rPr>
                <w:rFonts w:hint="eastAsia" w:ascii="宋体" w:hAnsi="宋体" w:eastAsia="宋体" w:cs="宋体"/>
                <w:b w:val="0"/>
                <w:bCs w:val="0"/>
                <w:color w:val="auto"/>
                <w:kern w:val="0"/>
                <w:sz w:val="21"/>
                <w:szCs w:val="21"/>
                <w:highlight w:val="none"/>
                <w:lang w:val="en-US" w:eastAsia="zh-CN"/>
              </w:rPr>
              <w:t>复印件作为证明材料</w:t>
            </w:r>
            <w:r>
              <w:rPr>
                <w:rFonts w:hint="eastAsia" w:ascii="宋体" w:hAnsi="宋体" w:eastAsia="宋体" w:cs="宋体"/>
                <w:b w:val="0"/>
                <w:bCs w:val="0"/>
                <w:color w:val="auto"/>
                <w:kern w:val="0"/>
                <w:sz w:val="21"/>
                <w:szCs w:val="21"/>
                <w:highlight w:val="none"/>
              </w:rPr>
              <w:t>，</w:t>
            </w:r>
            <w:r>
              <w:rPr>
                <w:rFonts w:hint="eastAsia" w:ascii="宋体" w:hAnsi="宋体" w:eastAsia="宋体" w:cs="宋体"/>
                <w:b w:val="0"/>
                <w:bCs w:val="0"/>
                <w:color w:val="auto"/>
                <w:kern w:val="0"/>
                <w:sz w:val="21"/>
                <w:szCs w:val="21"/>
                <w:highlight w:val="none"/>
                <w:lang w:val="en-US" w:eastAsia="zh-CN"/>
              </w:rPr>
              <w:t>不</w:t>
            </w:r>
            <w:r>
              <w:rPr>
                <w:rFonts w:hint="eastAsia" w:ascii="宋体" w:hAnsi="宋体" w:eastAsia="宋体" w:cs="宋体"/>
                <w:b w:val="0"/>
                <w:bCs w:val="0"/>
                <w:color w:val="auto"/>
                <w:kern w:val="0"/>
                <w:sz w:val="21"/>
                <w:szCs w:val="21"/>
                <w:highlight w:val="none"/>
              </w:rPr>
              <w:t>提供不得分</w:t>
            </w:r>
            <w:r>
              <w:rPr>
                <w:rFonts w:hint="eastAsia" w:ascii="宋体" w:hAnsi="宋体" w:eastAsia="宋体" w:cs="宋体"/>
                <w:b w:val="0"/>
                <w:bCs w:val="0"/>
                <w:color w:val="auto"/>
                <w:kern w:val="0"/>
                <w:sz w:val="21"/>
                <w:szCs w:val="21"/>
                <w:highlight w:val="none"/>
                <w:lang w:eastAsia="zh-CN"/>
              </w:rPr>
              <w:t>。</w:t>
            </w:r>
            <w:r>
              <w:rPr>
                <w:rFonts w:hint="eastAsia" w:asciiTheme="minorEastAsia" w:hAnsiTheme="minorEastAsia" w:eastAsiaTheme="minorEastAsia" w:cstheme="minorEastAsia"/>
                <w:b/>
                <w:bCs/>
                <w:color w:val="auto"/>
                <w:kern w:val="0"/>
                <w:sz w:val="21"/>
                <w:szCs w:val="21"/>
                <w:highlight w:val="none"/>
                <w:lang w:val="en-US" w:eastAsia="zh-CN"/>
              </w:rPr>
              <w:t>证书</w:t>
            </w:r>
            <w:r>
              <w:rPr>
                <w:rFonts w:hint="eastAsia" w:asciiTheme="minorEastAsia" w:hAnsiTheme="minorEastAsia" w:eastAsiaTheme="minorEastAsia" w:cstheme="minorEastAsia"/>
                <w:b/>
                <w:bCs/>
                <w:color w:val="auto"/>
                <w:kern w:val="0"/>
                <w:sz w:val="21"/>
                <w:szCs w:val="21"/>
                <w:highlight w:val="none"/>
              </w:rPr>
              <w:t>原件核查</w:t>
            </w:r>
            <w:r>
              <w:rPr>
                <w:rFonts w:hint="eastAsia" w:asciiTheme="minorEastAsia" w:hAnsiTheme="minorEastAsia" w:eastAsiaTheme="minorEastAsia" w:cstheme="minorEastAsia"/>
                <w:b/>
                <w:bCs/>
                <w:color w:val="auto"/>
                <w:kern w:val="0"/>
                <w:sz w:val="21"/>
                <w:szCs w:val="21"/>
                <w:highlight w:val="none"/>
                <w:lang w:eastAsia="zh-CN"/>
              </w:rPr>
              <w:t>。</w:t>
            </w:r>
          </w:p>
        </w:tc>
      </w:tr>
    </w:tbl>
    <w:p>
      <w:pPr>
        <w:snapToGrid w:val="0"/>
        <w:spacing w:line="360" w:lineRule="auto"/>
        <w:ind w:left="210" w:leftChars="1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p>
      <w:pPr>
        <w:numPr>
          <w:ilvl w:val="0"/>
          <w:numId w:val="86"/>
        </w:num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招标文件要求提交的与评价指标体系相关的各类有效资料，投标人如未按要求提交的，该项评分为零分。</w:t>
      </w:r>
    </w:p>
    <w:p>
      <w:pPr>
        <w:numPr>
          <w:ilvl w:val="0"/>
          <w:numId w:val="86"/>
        </w:num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商务评分：所有评委评分分值的算术平均值（四舍五入后，</w:t>
      </w:r>
      <w:r>
        <w:rPr>
          <w:rFonts w:hint="eastAsia" w:ascii="宋体" w:hAnsi="宋体" w:eastAsia="宋体" w:cs="宋体"/>
          <w:color w:val="auto"/>
          <w:sz w:val="21"/>
          <w:szCs w:val="21"/>
          <w:highlight w:val="none"/>
        </w:rPr>
        <w:t>小数点后保留两位有效数</w:t>
      </w:r>
      <w:r>
        <w:rPr>
          <w:rFonts w:hint="eastAsia" w:ascii="宋体" w:hAnsi="宋体" w:eastAsia="宋体" w:cs="宋体"/>
          <w:bCs/>
          <w:color w:val="auto"/>
          <w:sz w:val="21"/>
          <w:szCs w:val="21"/>
          <w:highlight w:val="none"/>
        </w:rPr>
        <w:t>）。</w:t>
      </w:r>
    </w:p>
    <w:p>
      <w:pPr>
        <w:numPr>
          <w:ilvl w:val="0"/>
          <w:numId w:val="86"/>
        </w:numPr>
        <w:snapToGrid w:val="0"/>
        <w:spacing w:line="360" w:lineRule="auto"/>
        <w:rPr>
          <w:rFonts w:hint="eastAsia" w:ascii="宋体" w:hAnsi="宋体" w:eastAsia="宋体" w:cs="宋体"/>
          <w:bCs/>
          <w:color w:val="auto"/>
          <w:sz w:val="21"/>
          <w:szCs w:val="21"/>
          <w:highlight w:val="none"/>
        </w:rPr>
      </w:pPr>
      <w:r>
        <w:rPr>
          <w:rFonts w:hint="eastAsia" w:ascii="宋体" w:hAnsi="宋体"/>
          <w:bCs/>
          <w:color w:val="auto"/>
          <w:highlight w:val="none"/>
        </w:rPr>
        <w:t>评审内容中所要求提交“原件”的应独立封装，并内附“资料原件提交清单”（详见第七章投标文件格式），评标结束当日退回，如未提供原件的，该项评分为0分。“资料原件提交清单”请按要求提交，如因未提交产生的不利影响，由投标人自行承担</w:t>
      </w:r>
      <w:r>
        <w:rPr>
          <w:rFonts w:hint="eastAsia" w:ascii="宋体" w:hAnsi="宋体"/>
          <w:bCs/>
          <w:color w:val="auto"/>
          <w:highlight w:val="none"/>
          <w:lang w:eastAsia="zh-CN"/>
        </w:rPr>
        <w:t>。</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adjustRightInd w:val="0"/>
        <w:snapToGrid w:val="0"/>
        <w:spacing w:before="156" w:beforeLines="50" w:after="156" w:afterLines="50" w:line="360" w:lineRule="auto"/>
        <w:jc w:val="center"/>
        <w:rPr>
          <w:rFonts w:hint="eastAsia" w:ascii="黑体" w:hAnsi="宋体" w:eastAsia="黑体" w:cs="宋体"/>
          <w:color w:val="auto"/>
          <w:sz w:val="28"/>
          <w:szCs w:val="28"/>
          <w:highlight w:val="none"/>
        </w:rPr>
      </w:pPr>
      <w:r>
        <w:rPr>
          <w:rFonts w:hint="eastAsia" w:ascii="黑体" w:hAnsi="宋体" w:eastAsia="黑体" w:cs="宋体"/>
          <w:color w:val="auto"/>
          <w:sz w:val="28"/>
          <w:szCs w:val="28"/>
          <w:highlight w:val="none"/>
        </w:rPr>
        <w:t>价 格 评 分 表</w:t>
      </w:r>
    </w:p>
    <w:p>
      <w:pPr>
        <w:adjustRightInd w:val="0"/>
        <w:snapToGrid w:val="0"/>
        <w:spacing w:before="156" w:beforeLines="50" w:after="156" w:afterLines="50" w:line="360" w:lineRule="auto"/>
        <w:jc w:val="center"/>
        <w:rPr>
          <w:rFonts w:hint="eastAsia" w:ascii="黑体" w:hAnsi="宋体" w:eastAsia="黑体" w:cs="宋体"/>
          <w:color w:val="auto"/>
          <w:sz w:val="28"/>
          <w:szCs w:val="28"/>
          <w:highlight w:val="none"/>
        </w:rPr>
      </w:pPr>
      <w:r>
        <w:rPr>
          <w:rFonts w:hint="eastAsia" w:ascii="黑体" w:hAnsi="宋体" w:eastAsia="黑体" w:cs="宋体"/>
          <w:color w:val="auto"/>
          <w:sz w:val="28"/>
          <w:szCs w:val="28"/>
          <w:highlight w:val="none"/>
        </w:rPr>
        <w:t>（</w:t>
      </w:r>
      <w:r>
        <w:rPr>
          <w:rFonts w:hint="eastAsia" w:ascii="黑体" w:hAnsi="宋体" w:eastAsia="黑体" w:cs="宋体"/>
          <w:color w:val="auto"/>
          <w:sz w:val="28"/>
          <w:szCs w:val="28"/>
          <w:highlight w:val="none"/>
          <w:lang w:val="en-US" w:eastAsia="zh-CN"/>
        </w:rPr>
        <w:t>10</w:t>
      </w:r>
      <w:r>
        <w:rPr>
          <w:rFonts w:hint="eastAsia" w:ascii="黑体" w:hAnsi="宋体" w:eastAsia="黑体" w:cs="宋体"/>
          <w:color w:val="auto"/>
          <w:sz w:val="28"/>
          <w:szCs w:val="28"/>
          <w:highlight w:val="none"/>
        </w:rPr>
        <w:t>分）</w:t>
      </w:r>
    </w:p>
    <w:p>
      <w:pPr>
        <w:numPr>
          <w:ilvl w:val="0"/>
          <w:numId w:val="87"/>
        </w:num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价格核准：评标委员会详细分析、核准价格表，检查其是否存在计算上或累加上的算术错误，修正错误的原则详见第五章第</w:t>
      </w:r>
      <w:r>
        <w:rPr>
          <w:rFonts w:hint="eastAsia" w:ascii="宋体" w:hAnsi="宋体" w:eastAsia="宋体" w:cs="宋体"/>
          <w:bCs/>
          <w:color w:val="auto"/>
          <w:sz w:val="21"/>
          <w:szCs w:val="21"/>
          <w:highlight w:val="none"/>
          <w:lang w:val="en-US" w:eastAsia="zh-CN"/>
        </w:rPr>
        <w:t>26.1</w:t>
      </w:r>
      <w:r>
        <w:rPr>
          <w:rFonts w:hint="eastAsia" w:ascii="宋体" w:hAnsi="宋体" w:eastAsia="宋体" w:cs="宋体"/>
          <w:bCs/>
          <w:color w:val="auto"/>
          <w:sz w:val="21"/>
          <w:szCs w:val="21"/>
          <w:highlight w:val="none"/>
        </w:rPr>
        <w:t>条相关条款。</w:t>
      </w:r>
    </w:p>
    <w:p>
      <w:pPr>
        <w:numPr>
          <w:ilvl w:val="0"/>
          <w:numId w:val="87"/>
        </w:numPr>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综合评分法中的价格分统一采用低价优先法计算，即满足招标文件要求（通过资格性、符合性审查）且投标价格最低的有效投标报价（指修正后报价，下同）为评标基准价，其价格分为满分。其他投标人的价格分统一按照下列公式计算：</w:t>
      </w:r>
    </w:p>
    <w:p>
      <w:pPr>
        <w:snapToGrid w:val="0"/>
        <w:spacing w:line="360" w:lineRule="auto"/>
        <w:ind w:firstLine="413" w:firstLineChars="196"/>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投标报价得分=(评标基准价/投标报价)×价格权值×100</w:t>
      </w:r>
    </w:p>
    <w:p>
      <w:pPr>
        <w:spacing w:line="360" w:lineRule="auto"/>
        <w:ind w:left="588"/>
        <w:rPr>
          <w:rFonts w:hint="eastAsia" w:ascii="宋体" w:hAnsi="宋体" w:eastAsia="宋体" w:cs="宋体"/>
          <w:b/>
          <w:color w:val="auto"/>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napToGrid w:val="0"/>
        <w:spacing w:line="360" w:lineRule="auto"/>
        <w:jc w:val="center"/>
        <w:outlineLvl w:val="0"/>
        <w:rPr>
          <w:rFonts w:hint="eastAsia" w:ascii="宋体" w:hAnsi="宋体" w:eastAsia="宋体" w:cs="宋体"/>
          <w:b/>
          <w:bCs/>
          <w:color w:val="auto"/>
          <w:sz w:val="21"/>
          <w:szCs w:val="21"/>
          <w:highlight w:val="none"/>
        </w:rPr>
      </w:pPr>
      <w:bookmarkStart w:id="4" w:name="_Toc355879665"/>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pStyle w:val="3"/>
        <w:rPr>
          <w:rFonts w:hint="eastAsia" w:ascii="宋体" w:hAnsi="宋体" w:eastAsia="宋体" w:cs="宋体"/>
          <w:b/>
          <w:bCs/>
          <w:color w:val="auto"/>
          <w:sz w:val="21"/>
          <w:szCs w:val="21"/>
          <w:highlight w:val="none"/>
        </w:rPr>
      </w:pPr>
    </w:p>
    <w:p>
      <w:pPr>
        <w:rPr>
          <w:rFonts w:hint="eastAsia" w:ascii="宋体" w:hAnsi="宋体" w:eastAsia="宋体" w:cs="宋体"/>
          <w:b/>
          <w:bCs/>
          <w:color w:val="auto"/>
          <w:sz w:val="21"/>
          <w:szCs w:val="21"/>
          <w:highlight w:val="none"/>
        </w:rPr>
      </w:pPr>
    </w:p>
    <w:p>
      <w:pPr>
        <w:pStyle w:val="3"/>
        <w:rPr>
          <w:rFonts w:hint="eastAsia" w:ascii="宋体" w:hAnsi="宋体" w:eastAsia="宋体" w:cs="宋体"/>
          <w:b/>
          <w:bCs/>
          <w:color w:val="auto"/>
          <w:sz w:val="21"/>
          <w:szCs w:val="21"/>
          <w:highlight w:val="none"/>
        </w:rPr>
      </w:pPr>
    </w:p>
    <w:p>
      <w:pPr>
        <w:rPr>
          <w:rFonts w:hint="eastAsia" w:ascii="宋体" w:hAnsi="宋体" w:eastAsia="宋体" w:cs="宋体"/>
          <w:b/>
          <w:bCs/>
          <w:color w:val="auto"/>
          <w:sz w:val="21"/>
          <w:szCs w:val="21"/>
          <w:highlight w:val="none"/>
        </w:rPr>
      </w:pPr>
    </w:p>
    <w:p>
      <w:pPr>
        <w:pStyle w:val="3"/>
        <w:rPr>
          <w:rFonts w:hint="eastAsia" w:ascii="宋体" w:hAnsi="宋体" w:eastAsia="宋体" w:cs="宋体"/>
          <w:b/>
          <w:bCs/>
          <w:color w:val="auto"/>
          <w:sz w:val="21"/>
          <w:szCs w:val="21"/>
          <w:highlight w:val="none"/>
        </w:rPr>
      </w:pPr>
    </w:p>
    <w:p>
      <w:pPr>
        <w:rPr>
          <w:rFonts w:hint="eastAsia" w:ascii="宋体" w:hAnsi="宋体" w:eastAsia="宋体" w:cs="宋体"/>
          <w:b/>
          <w:bCs/>
          <w:color w:val="auto"/>
          <w:sz w:val="21"/>
          <w:szCs w:val="21"/>
          <w:highlight w:val="none"/>
        </w:rPr>
      </w:pPr>
    </w:p>
    <w:p>
      <w:pPr>
        <w:pStyle w:val="3"/>
        <w:rPr>
          <w:rFonts w:hint="eastAsia" w:ascii="宋体" w:hAnsi="宋体" w:eastAsia="宋体" w:cs="宋体"/>
          <w:b/>
          <w:bCs/>
          <w:color w:val="auto"/>
          <w:sz w:val="21"/>
          <w:szCs w:val="21"/>
          <w:highlight w:val="none"/>
        </w:rPr>
      </w:pPr>
    </w:p>
    <w:p>
      <w:pPr>
        <w:rPr>
          <w:rFonts w:hint="eastAsia"/>
          <w:color w:val="auto"/>
          <w:highlight w:val="none"/>
        </w:rPr>
      </w:pPr>
    </w:p>
    <w:p>
      <w:pPr>
        <w:snapToGrid w:val="0"/>
        <w:spacing w:line="360" w:lineRule="auto"/>
        <w:jc w:val="center"/>
        <w:outlineLvl w:val="0"/>
        <w:rPr>
          <w:rFonts w:hint="eastAsia" w:ascii="Times New Roman" w:hAnsi="Times New Roman" w:eastAsia="宋体"/>
          <w:b/>
          <w:bCs/>
          <w:color w:val="auto"/>
          <w:sz w:val="44"/>
          <w:szCs w:val="44"/>
          <w:highlight w:val="none"/>
        </w:rPr>
      </w:pPr>
    </w:p>
    <w:p>
      <w:pPr>
        <w:snapToGrid w:val="0"/>
        <w:spacing w:line="360" w:lineRule="auto"/>
        <w:jc w:val="center"/>
        <w:outlineLvl w:val="0"/>
        <w:rPr>
          <w:rFonts w:hint="eastAsia" w:ascii="Times New Roman" w:hAnsi="Times New Roman" w:eastAsia="宋体"/>
          <w:b/>
          <w:bCs/>
          <w:color w:val="auto"/>
          <w:sz w:val="44"/>
          <w:szCs w:val="44"/>
          <w:highlight w:val="none"/>
        </w:rPr>
      </w:pPr>
      <w:bookmarkStart w:id="5" w:name="_Toc15031"/>
      <w:r>
        <w:rPr>
          <w:rFonts w:hint="eastAsia" w:ascii="Times New Roman" w:hAnsi="Times New Roman" w:eastAsia="宋体"/>
          <w:b/>
          <w:bCs/>
          <w:color w:val="auto"/>
          <w:sz w:val="44"/>
          <w:szCs w:val="44"/>
          <w:highlight w:val="none"/>
        </w:rPr>
        <w:t>第五章</w:t>
      </w:r>
      <w:bookmarkEnd w:id="4"/>
      <w:bookmarkEnd w:id="5"/>
    </w:p>
    <w:p>
      <w:pPr>
        <w:snapToGrid w:val="0"/>
        <w:spacing w:line="360" w:lineRule="auto"/>
        <w:jc w:val="center"/>
        <w:outlineLvl w:val="0"/>
        <w:rPr>
          <w:rFonts w:hint="eastAsia" w:ascii="Times New Roman" w:hAnsi="Times New Roman" w:eastAsia="宋体"/>
          <w:b/>
          <w:bCs/>
          <w:color w:val="auto"/>
          <w:sz w:val="44"/>
          <w:szCs w:val="44"/>
          <w:highlight w:val="none"/>
        </w:rPr>
      </w:pPr>
      <w:bookmarkStart w:id="6" w:name="_Toc355879666"/>
      <w:bookmarkStart w:id="7" w:name="_Toc9564"/>
      <w:bookmarkStart w:id="8" w:name="_Toc5615"/>
      <w:r>
        <w:rPr>
          <w:rFonts w:hint="eastAsia" w:ascii="Times New Roman" w:hAnsi="Times New Roman" w:eastAsia="宋体"/>
          <w:b/>
          <w:bCs/>
          <w:color w:val="auto"/>
          <w:sz w:val="44"/>
          <w:szCs w:val="44"/>
          <w:highlight w:val="none"/>
        </w:rPr>
        <w:t>投 标 人 须 知</w:t>
      </w:r>
      <w:bookmarkEnd w:id="6"/>
      <w:bookmarkEnd w:id="7"/>
      <w:bookmarkEnd w:id="8"/>
    </w:p>
    <w:p>
      <w:pPr>
        <w:numPr>
          <w:ilvl w:val="0"/>
          <w:numId w:val="88"/>
        </w:numPr>
        <w:snapToGrid w:val="0"/>
        <w:spacing w:line="360" w:lineRule="auto"/>
        <w:ind w:left="0" w:leftChars="0" w:firstLine="420" w:firstLineChars="0"/>
        <w:jc w:val="center"/>
        <w:outlineLvl w:val="0"/>
        <w:rPr>
          <w:rFonts w:hint="eastAsia" w:ascii="宋体" w:hAnsi="宋体" w:eastAsia="宋体" w:cs="宋体"/>
          <w:b/>
          <w:color w:val="auto"/>
          <w:sz w:val="21"/>
          <w:szCs w:val="21"/>
          <w:highlight w:val="none"/>
        </w:rPr>
      </w:pPr>
      <w:r>
        <w:rPr>
          <w:rFonts w:hint="eastAsia" w:ascii="Times New Roman" w:hAnsi="Times New Roman" w:eastAsia="宋体"/>
          <w:b/>
          <w:bCs/>
          <w:color w:val="auto"/>
          <w:sz w:val="44"/>
          <w:szCs w:val="44"/>
          <w:highlight w:val="none"/>
        </w:rPr>
        <w:br w:type="page"/>
      </w:r>
      <w:bookmarkStart w:id="9" w:name="_Toc2872"/>
      <w:bookmarkStart w:id="10" w:name="_Toc355879667"/>
      <w:bookmarkStart w:id="11" w:name="_Toc24513"/>
      <w:bookmarkStart w:id="12" w:name="_Toc410722638"/>
      <w:bookmarkStart w:id="13" w:name="_Toc32312722"/>
      <w:r>
        <w:rPr>
          <w:rFonts w:hint="eastAsia" w:ascii="宋体" w:hAnsi="宋体" w:eastAsia="宋体"/>
          <w:b/>
          <w:color w:val="auto"/>
          <w:sz w:val="28"/>
          <w:szCs w:val="28"/>
          <w:highlight w:val="none"/>
          <w:lang w:eastAsia="zh-TW"/>
        </w:rPr>
        <w:t>说 明</w:t>
      </w:r>
      <w:bookmarkEnd w:id="9"/>
      <w:bookmarkEnd w:id="10"/>
      <w:bookmarkEnd w:id="11"/>
      <w:bookmarkEnd w:id="12"/>
      <w:bookmarkStart w:id="14" w:name="_Toc292267791"/>
      <w:r>
        <w:rPr>
          <w:rFonts w:hint="eastAsia" w:ascii="宋体" w:hAnsi="宋体" w:eastAsia="宋体"/>
          <w:b/>
          <w:color w:val="auto"/>
          <w:sz w:val="28"/>
          <w:szCs w:val="28"/>
          <w:highlight w:val="none"/>
          <w:lang w:val="en-US" w:eastAsia="zh-CN"/>
        </w:rPr>
        <w:t xml:space="preserve"> </w:t>
      </w:r>
    </w:p>
    <w:bookmarkEnd w:id="14"/>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15" w:name="_Toc356482703"/>
      <w:bookmarkStart w:id="16" w:name="_Toc27109"/>
      <w:bookmarkStart w:id="17" w:name="_Toc355879707"/>
      <w:bookmarkStart w:id="18" w:name="_Toc22165"/>
      <w:bookmarkStart w:id="19" w:name="_Toc410722677"/>
      <w:bookmarkStart w:id="20" w:name="_Toc7997"/>
      <w:r>
        <w:rPr>
          <w:rFonts w:hint="eastAsia" w:ascii="宋体" w:hAnsi="宋体" w:eastAsia="宋体" w:cs="宋体"/>
          <w:b/>
          <w:bCs/>
          <w:color w:val="auto"/>
          <w:sz w:val="21"/>
          <w:szCs w:val="21"/>
          <w:highlight w:val="none"/>
        </w:rPr>
        <w:t>适用范围</w:t>
      </w:r>
      <w:bookmarkEnd w:id="15"/>
      <w:bookmarkEnd w:id="16"/>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本招标文件适用于本投标邀请中所述项目的招标采购。</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21" w:name="_Toc11230"/>
      <w:bookmarkStart w:id="22" w:name="_Toc356482704"/>
      <w:r>
        <w:rPr>
          <w:rFonts w:hint="eastAsia" w:ascii="宋体" w:hAnsi="宋体" w:eastAsia="宋体" w:cs="宋体"/>
          <w:b/>
          <w:bCs/>
          <w:color w:val="auto"/>
          <w:sz w:val="21"/>
          <w:szCs w:val="21"/>
          <w:highlight w:val="none"/>
        </w:rPr>
        <w:t>招标采购单位</w:t>
      </w:r>
      <w:bookmarkEnd w:id="21"/>
      <w:bookmarkEnd w:id="22"/>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招标采购单位指招标人及招标代理机构。</w:t>
      </w:r>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CN"/>
        </w:rPr>
        <w:t>招标代理机构</w:t>
      </w:r>
      <w:r>
        <w:rPr>
          <w:rFonts w:hint="eastAsia" w:ascii="宋体" w:hAnsi="宋体" w:eastAsia="宋体" w:cs="宋体"/>
          <w:color w:val="auto"/>
          <w:sz w:val="21"/>
          <w:szCs w:val="21"/>
          <w:highlight w:val="none"/>
        </w:rPr>
        <w:t>是指依法取得招标资格、从事招标代理业务并提供相关服务的专门机构</w:t>
      </w:r>
      <w:r>
        <w:rPr>
          <w:rFonts w:hint="eastAsia" w:ascii="宋体" w:hAnsi="宋体" w:eastAsia="宋体" w:cs="宋体"/>
          <w:color w:val="auto"/>
          <w:sz w:val="21"/>
          <w:szCs w:val="21"/>
          <w:highlight w:val="none"/>
          <w:lang w:eastAsia="zh-TW"/>
        </w:rPr>
        <w:t>。</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23" w:name="_Toc356482705"/>
      <w:bookmarkStart w:id="24" w:name="_Toc13075"/>
      <w:r>
        <w:rPr>
          <w:rFonts w:hint="eastAsia" w:ascii="宋体" w:hAnsi="宋体" w:eastAsia="宋体" w:cs="宋体"/>
          <w:b/>
          <w:bCs/>
          <w:color w:val="auto"/>
          <w:sz w:val="21"/>
          <w:szCs w:val="21"/>
          <w:highlight w:val="none"/>
        </w:rPr>
        <w:t>合格的投标人</w:t>
      </w:r>
      <w:bookmarkEnd w:id="23"/>
      <w:bookmarkEnd w:id="24"/>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rPr>
        <w:t>投标人是响应招标并且符合招标文件规定资格条件和参加投标竞争的法人。</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合格的投标人</w:t>
      </w:r>
    </w:p>
    <w:p>
      <w:pPr>
        <w:numPr>
          <w:ilvl w:val="2"/>
          <w:numId w:val="89"/>
        </w:numPr>
        <w:snapToGrid w:val="0"/>
        <w:spacing w:line="360" w:lineRule="auto"/>
        <w:ind w:left="851" w:leftChars="0" w:hanging="2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pPr>
        <w:numPr>
          <w:ilvl w:val="2"/>
          <w:numId w:val="89"/>
        </w:numPr>
        <w:snapToGrid w:val="0"/>
        <w:spacing w:line="360" w:lineRule="auto"/>
        <w:ind w:left="851" w:leftChars="0" w:hanging="2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pPr>
        <w:numPr>
          <w:ilvl w:val="2"/>
          <w:numId w:val="89"/>
        </w:numPr>
        <w:snapToGrid w:val="0"/>
        <w:spacing w:line="360" w:lineRule="auto"/>
        <w:ind w:left="851" w:leftChars="0" w:hanging="2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pPr>
        <w:numPr>
          <w:ilvl w:val="2"/>
          <w:numId w:val="89"/>
        </w:numPr>
        <w:snapToGrid w:val="0"/>
        <w:spacing w:line="360" w:lineRule="auto"/>
        <w:ind w:left="851" w:leftChars="0" w:hanging="2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pPr>
        <w:numPr>
          <w:ilvl w:val="2"/>
          <w:numId w:val="89"/>
        </w:numPr>
        <w:snapToGrid w:val="0"/>
        <w:spacing w:line="360" w:lineRule="auto"/>
        <w:ind w:left="851" w:leftChars="0" w:hanging="2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w:t>
      </w:r>
      <w:r>
        <w:rPr>
          <w:rFonts w:hint="eastAsia" w:ascii="宋体" w:hAnsi="宋体" w:cs="宋体"/>
          <w:color w:val="auto"/>
          <w:sz w:val="21"/>
          <w:szCs w:val="21"/>
          <w:highlight w:val="none"/>
          <w:lang w:eastAsia="zh-CN"/>
        </w:rPr>
        <w:t>本项目采购</w:t>
      </w:r>
      <w:r>
        <w:rPr>
          <w:rFonts w:hint="eastAsia" w:ascii="宋体" w:hAnsi="宋体" w:eastAsia="宋体" w:cs="宋体"/>
          <w:color w:val="auto"/>
          <w:sz w:val="21"/>
          <w:szCs w:val="21"/>
          <w:highlight w:val="none"/>
        </w:rPr>
        <w:t>活动前三年内，在经营活动中没有重大违法记录。</w:t>
      </w:r>
    </w:p>
    <w:p>
      <w:pPr>
        <w:numPr>
          <w:ilvl w:val="2"/>
          <w:numId w:val="89"/>
        </w:numPr>
        <w:snapToGrid w:val="0"/>
        <w:spacing w:line="360" w:lineRule="auto"/>
        <w:ind w:left="851" w:leftChars="0" w:hanging="2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pPr>
        <w:numPr>
          <w:ilvl w:val="2"/>
          <w:numId w:val="89"/>
        </w:numPr>
        <w:tabs>
          <w:tab w:val="clear" w:pos="851"/>
        </w:tabs>
        <w:snapToGrid w:val="0"/>
        <w:spacing w:line="360" w:lineRule="auto"/>
        <w:ind w:left="1251" w:leftChars="0" w:hanging="6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只有在法律上和财务上独立、合法运作并独立于招标人和招标代理机构的供货商才能参加投标。</w:t>
      </w:r>
    </w:p>
    <w:p>
      <w:pPr>
        <w:numPr>
          <w:ilvl w:val="2"/>
          <w:numId w:val="89"/>
        </w:numPr>
        <w:snapToGrid w:val="0"/>
        <w:spacing w:line="360" w:lineRule="auto"/>
        <w:ind w:left="851" w:leftChars="0" w:hanging="2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w:t>
      </w:r>
      <w:r>
        <w:rPr>
          <w:rFonts w:hint="eastAsia" w:ascii="宋体" w:hAnsi="宋体" w:eastAsia="宋体" w:cs="宋体"/>
          <w:color w:val="auto"/>
          <w:sz w:val="21"/>
          <w:szCs w:val="21"/>
          <w:highlight w:val="none"/>
          <w:lang w:eastAsia="zh-CN"/>
        </w:rPr>
        <w:t>一</w:t>
      </w:r>
      <w:r>
        <w:rPr>
          <w:rFonts w:hint="eastAsia" w:ascii="宋体" w:hAnsi="宋体" w:eastAsia="宋体" w:cs="宋体"/>
          <w:color w:val="auto"/>
          <w:sz w:val="21"/>
          <w:szCs w:val="21"/>
          <w:highlight w:val="none"/>
        </w:rPr>
        <w:t>章投标邀请“投标人资格”的特殊条款。</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中标人是指经法定程序确定并授予合同的投标人。</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25" w:name="_Toc356482706"/>
      <w:bookmarkStart w:id="26" w:name="_Toc3840"/>
      <w:r>
        <w:rPr>
          <w:rFonts w:hint="eastAsia" w:ascii="宋体" w:hAnsi="宋体" w:eastAsia="宋体" w:cs="宋体"/>
          <w:b/>
          <w:bCs/>
          <w:color w:val="auto"/>
          <w:sz w:val="21"/>
          <w:szCs w:val="21"/>
          <w:highlight w:val="none"/>
        </w:rPr>
        <w:t>合格的货物和服务</w:t>
      </w:r>
      <w:bookmarkEnd w:id="25"/>
      <w:bookmarkEnd w:id="26"/>
    </w:p>
    <w:p>
      <w:pPr>
        <w:numPr>
          <w:ilvl w:val="1"/>
          <w:numId w:val="89"/>
        </w:numPr>
        <w:snapToGrid w:val="0"/>
        <w:spacing w:line="360" w:lineRule="auto"/>
        <w:jc w:val="both"/>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货物”是指投标人制造或组织符合招标文件要求的货物等。投标的货物必须是其合法生产、合法来源的符合国家有关标准要求的货物，并满足招标文件规定的规格、参数、质量、价格、有效期、售后服务等要求。</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“服务”是指投标人须承担的运输、安装、技术支持、培训以及招标文件规定的其它伴随服务。</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27" w:name="_Toc356482707"/>
      <w:bookmarkStart w:id="28" w:name="_Toc23495"/>
      <w:r>
        <w:rPr>
          <w:rFonts w:hint="eastAsia" w:ascii="宋体" w:hAnsi="宋体" w:eastAsia="宋体" w:cs="宋体"/>
          <w:b/>
          <w:bCs/>
          <w:color w:val="auto"/>
          <w:sz w:val="21"/>
          <w:szCs w:val="21"/>
          <w:highlight w:val="none"/>
        </w:rPr>
        <w:t>投标费用</w:t>
      </w:r>
      <w:bookmarkEnd w:id="27"/>
      <w:bookmarkEnd w:id="28"/>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投标人应承担所有与准备和参加投标有关的费用。不论投标的结果如何</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招标采购单位均无义务和责任承担这些费用</w:t>
      </w:r>
      <w:r>
        <w:rPr>
          <w:rFonts w:hint="eastAsia" w:ascii="宋体" w:hAnsi="宋体" w:eastAsia="宋体" w:cs="宋体"/>
          <w:color w:val="auto"/>
          <w:sz w:val="21"/>
          <w:szCs w:val="21"/>
          <w:highlight w:val="none"/>
        </w:rPr>
        <w:t>。</w:t>
      </w:r>
    </w:p>
    <w:p>
      <w:pPr>
        <w:snapToGrid w:val="0"/>
        <w:spacing w:line="360" w:lineRule="auto"/>
        <w:ind w:left="372" w:hanging="371" w:hangingChars="177"/>
        <w:rPr>
          <w:rFonts w:hint="eastAsia" w:ascii="宋体" w:hAnsi="宋体" w:eastAsia="宋体" w:cs="宋体"/>
          <w:color w:val="auto"/>
          <w:sz w:val="21"/>
          <w:szCs w:val="21"/>
          <w:highlight w:val="none"/>
        </w:rPr>
      </w:pPr>
    </w:p>
    <w:p>
      <w:pPr>
        <w:numPr>
          <w:ilvl w:val="0"/>
          <w:numId w:val="88"/>
        </w:numPr>
        <w:snapToGrid w:val="0"/>
        <w:spacing w:line="360" w:lineRule="auto"/>
        <w:ind w:left="0" w:leftChars="0" w:firstLine="420" w:firstLineChars="0"/>
        <w:jc w:val="center"/>
        <w:outlineLvl w:val="0"/>
        <w:rPr>
          <w:rFonts w:hint="eastAsia" w:ascii="宋体" w:hAnsi="宋体" w:eastAsia="宋体" w:cs="Times New Roman"/>
          <w:b/>
          <w:color w:val="auto"/>
          <w:sz w:val="28"/>
          <w:szCs w:val="28"/>
          <w:highlight w:val="none"/>
          <w:lang w:eastAsia="zh-TW"/>
        </w:rPr>
      </w:pPr>
      <w:bookmarkStart w:id="29" w:name="_Toc29753"/>
      <w:bookmarkStart w:id="30" w:name="_Toc356482708"/>
      <w:r>
        <w:rPr>
          <w:rFonts w:hint="eastAsia" w:ascii="宋体" w:hAnsi="宋体" w:eastAsia="宋体" w:cs="Times New Roman"/>
          <w:b/>
          <w:color w:val="auto"/>
          <w:sz w:val="28"/>
          <w:szCs w:val="28"/>
          <w:highlight w:val="none"/>
          <w:lang w:eastAsia="zh-TW"/>
        </w:rPr>
        <w:t>招标文件</w:t>
      </w:r>
      <w:bookmarkEnd w:id="29"/>
      <w:bookmarkEnd w:id="30"/>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31" w:name="_Toc356482709"/>
      <w:bookmarkStart w:id="32" w:name="_Toc3388"/>
      <w:r>
        <w:rPr>
          <w:rFonts w:hint="eastAsia" w:ascii="宋体" w:hAnsi="宋体" w:eastAsia="宋体" w:cs="宋体"/>
          <w:b/>
          <w:bCs/>
          <w:color w:val="auto"/>
          <w:sz w:val="21"/>
          <w:szCs w:val="21"/>
          <w:highlight w:val="none"/>
        </w:rPr>
        <w:t>招标文件的编制与构成</w:t>
      </w:r>
      <w:bookmarkEnd w:id="31"/>
      <w:bookmarkEnd w:id="32"/>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本招标文件的编制参照《中华人民共和国政府采购法》。</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要求提供的货物、</w:t>
      </w:r>
      <w:r>
        <w:rPr>
          <w:rFonts w:hint="eastAsia" w:ascii="宋体" w:hAnsi="宋体" w:eastAsia="宋体" w:cs="宋体"/>
          <w:color w:val="auto"/>
          <w:sz w:val="21"/>
          <w:szCs w:val="21"/>
          <w:highlight w:val="none"/>
        </w:rPr>
        <w:t>采购</w:t>
      </w:r>
      <w:r>
        <w:rPr>
          <w:rFonts w:hint="eastAsia" w:ascii="宋体" w:hAnsi="宋体" w:eastAsia="宋体" w:cs="宋体"/>
          <w:color w:val="auto"/>
          <w:sz w:val="21"/>
          <w:szCs w:val="21"/>
          <w:highlight w:val="none"/>
          <w:lang w:eastAsia="zh-TW"/>
        </w:rPr>
        <w:t>过程和合同条件在招标文件中均有说明。招标文件以中文文字编写。</w:t>
      </w:r>
    </w:p>
    <w:p>
      <w:pPr>
        <w:snapToGrid w:val="0"/>
        <w:spacing w:line="360" w:lineRule="auto"/>
        <w:ind w:left="571" w:leftChars="27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招标文件共</w:t>
      </w:r>
      <w:r>
        <w:rPr>
          <w:rFonts w:hint="eastAsia" w:ascii="宋体" w:hAnsi="宋体" w:eastAsia="宋体" w:cs="宋体"/>
          <w:color w:val="auto"/>
          <w:sz w:val="21"/>
          <w:szCs w:val="21"/>
          <w:highlight w:val="none"/>
        </w:rPr>
        <w:t>七</w:t>
      </w:r>
      <w:r>
        <w:rPr>
          <w:rFonts w:hint="eastAsia" w:ascii="宋体" w:hAnsi="宋体" w:eastAsia="宋体" w:cs="宋体"/>
          <w:color w:val="auto"/>
          <w:sz w:val="21"/>
          <w:szCs w:val="21"/>
          <w:highlight w:val="none"/>
          <w:lang w:eastAsia="zh-TW"/>
        </w:rPr>
        <w:t>章</w:t>
      </w:r>
      <w:r>
        <w:rPr>
          <w:rFonts w:hint="eastAsia" w:ascii="宋体" w:hAnsi="宋体" w:eastAsia="宋体" w:cs="宋体"/>
          <w:color w:val="auto"/>
          <w:sz w:val="21"/>
          <w:szCs w:val="21"/>
          <w:highlight w:val="none"/>
        </w:rPr>
        <w:t>，由下列文件以及在招标过程中发出的澄清、修改和补充文件组成，</w:t>
      </w:r>
      <w:r>
        <w:rPr>
          <w:rFonts w:hint="eastAsia" w:ascii="宋体" w:hAnsi="宋体" w:eastAsia="宋体" w:cs="宋体"/>
          <w:color w:val="auto"/>
          <w:sz w:val="21"/>
          <w:szCs w:val="21"/>
          <w:highlight w:val="none"/>
          <w:lang w:eastAsia="zh-TW"/>
        </w:rPr>
        <w:t>内容如下</w:t>
      </w:r>
      <w:r>
        <w:rPr>
          <w:rFonts w:hint="eastAsia" w:ascii="宋体" w:hAnsi="宋体" w:eastAsia="宋体" w:cs="宋体"/>
          <w:color w:val="auto"/>
          <w:sz w:val="21"/>
          <w:szCs w:val="21"/>
          <w:highlight w:val="none"/>
        </w:rPr>
        <w:t>：</w:t>
      </w:r>
    </w:p>
    <w:p>
      <w:pPr>
        <w:snapToGrid w:val="0"/>
        <w:spacing w:line="360" w:lineRule="auto"/>
        <w:ind w:left="445" w:leftChars="212" w:firstLine="14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第一章</w:t>
      </w: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TW"/>
        </w:rPr>
        <w:t>投标邀请</w:t>
      </w:r>
    </w:p>
    <w:p>
      <w:pPr>
        <w:snapToGrid w:val="0"/>
        <w:spacing w:line="360" w:lineRule="auto"/>
        <w:ind w:left="688" w:leftChars="270" w:hanging="1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第二章</w:t>
      </w: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TW"/>
        </w:rPr>
        <w:t>投标资料表</w:t>
      </w:r>
    </w:p>
    <w:p>
      <w:pPr>
        <w:snapToGrid w:val="0"/>
        <w:spacing w:line="360" w:lineRule="auto"/>
        <w:ind w:left="688" w:leftChars="270" w:hanging="1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第</w:t>
      </w: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eastAsia="zh-TW"/>
        </w:rPr>
        <w:t>章</w:t>
      </w: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TW"/>
        </w:rPr>
        <w:t>用户需求书</w:t>
      </w:r>
    </w:p>
    <w:p>
      <w:pPr>
        <w:snapToGrid w:val="0"/>
        <w:spacing w:line="360" w:lineRule="auto"/>
        <w:ind w:left="688" w:leftChars="270" w:hanging="1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第</w:t>
      </w:r>
      <w:r>
        <w:rPr>
          <w:rFonts w:hint="eastAsia" w:ascii="宋体" w:hAnsi="宋体" w:eastAsia="宋体" w:cs="宋体"/>
          <w:color w:val="auto"/>
          <w:sz w:val="21"/>
          <w:szCs w:val="21"/>
          <w:highlight w:val="none"/>
        </w:rPr>
        <w:t>四</w:t>
      </w:r>
      <w:r>
        <w:rPr>
          <w:rFonts w:hint="eastAsia" w:ascii="宋体" w:hAnsi="宋体" w:eastAsia="宋体" w:cs="宋体"/>
          <w:color w:val="auto"/>
          <w:sz w:val="21"/>
          <w:szCs w:val="21"/>
          <w:highlight w:val="none"/>
          <w:lang w:eastAsia="zh-TW"/>
        </w:rPr>
        <w:t>章</w:t>
      </w: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TW"/>
        </w:rPr>
        <w:t>评分</w:t>
      </w:r>
      <w:r>
        <w:rPr>
          <w:rFonts w:hint="eastAsia" w:ascii="宋体" w:hAnsi="宋体" w:eastAsia="宋体" w:cs="宋体"/>
          <w:color w:val="auto"/>
          <w:sz w:val="21"/>
          <w:szCs w:val="21"/>
          <w:highlight w:val="none"/>
        </w:rPr>
        <w:t>体系</w:t>
      </w:r>
      <w:r>
        <w:rPr>
          <w:rFonts w:hint="eastAsia" w:ascii="宋体" w:hAnsi="宋体" w:eastAsia="宋体" w:cs="宋体"/>
          <w:color w:val="auto"/>
          <w:sz w:val="21"/>
          <w:szCs w:val="21"/>
          <w:highlight w:val="none"/>
          <w:lang w:eastAsia="zh-TW"/>
        </w:rPr>
        <w:t>和标准</w:t>
      </w:r>
    </w:p>
    <w:p>
      <w:pPr>
        <w:snapToGrid w:val="0"/>
        <w:spacing w:line="360" w:lineRule="auto"/>
        <w:ind w:left="688" w:leftChars="270" w:hanging="1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第</w:t>
      </w:r>
      <w:r>
        <w:rPr>
          <w:rFonts w:hint="eastAsia" w:ascii="宋体" w:hAnsi="宋体" w:eastAsia="宋体" w:cs="宋体"/>
          <w:color w:val="auto"/>
          <w:sz w:val="21"/>
          <w:szCs w:val="21"/>
          <w:highlight w:val="none"/>
        </w:rPr>
        <w:t>五</w:t>
      </w:r>
      <w:r>
        <w:rPr>
          <w:rFonts w:hint="eastAsia" w:ascii="宋体" w:hAnsi="宋体" w:eastAsia="宋体" w:cs="宋体"/>
          <w:color w:val="auto"/>
          <w:sz w:val="21"/>
          <w:szCs w:val="21"/>
          <w:highlight w:val="none"/>
          <w:lang w:eastAsia="zh-TW"/>
        </w:rPr>
        <w:t>章</w:t>
      </w: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TW"/>
        </w:rPr>
        <w:t>投标人须知</w:t>
      </w:r>
    </w:p>
    <w:p>
      <w:pPr>
        <w:snapToGrid w:val="0"/>
        <w:spacing w:line="360" w:lineRule="auto"/>
        <w:ind w:left="688" w:leftChars="270" w:hanging="1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第</w:t>
      </w:r>
      <w:r>
        <w:rPr>
          <w:rFonts w:hint="eastAsia" w:ascii="宋体" w:hAnsi="宋体" w:eastAsia="宋体" w:cs="宋体"/>
          <w:color w:val="auto"/>
          <w:sz w:val="21"/>
          <w:szCs w:val="21"/>
          <w:highlight w:val="none"/>
        </w:rPr>
        <w:t>六</w:t>
      </w:r>
      <w:r>
        <w:rPr>
          <w:rFonts w:hint="eastAsia" w:ascii="宋体" w:hAnsi="宋体" w:eastAsia="宋体" w:cs="宋体"/>
          <w:color w:val="auto"/>
          <w:sz w:val="21"/>
          <w:szCs w:val="21"/>
          <w:highlight w:val="none"/>
          <w:lang w:eastAsia="zh-TW"/>
        </w:rPr>
        <w:t>章</w:t>
      </w:r>
      <w:r>
        <w:rPr>
          <w:rFonts w:hint="eastAsia" w:ascii="宋体" w:hAnsi="宋体" w:eastAsia="宋体" w:cs="宋体"/>
          <w:color w:val="auto"/>
          <w:sz w:val="21"/>
          <w:szCs w:val="21"/>
          <w:highlight w:val="none"/>
        </w:rPr>
        <w:t>　</w:t>
      </w:r>
      <w:r>
        <w:rPr>
          <w:rFonts w:hint="eastAsia" w:ascii="宋体" w:hAnsi="宋体" w:eastAsia="宋体" w:cs="宋体"/>
          <w:color w:val="auto"/>
          <w:sz w:val="21"/>
          <w:szCs w:val="21"/>
          <w:highlight w:val="none"/>
          <w:lang w:eastAsia="zh-TW"/>
        </w:rPr>
        <w:t>合同条款</w:t>
      </w:r>
    </w:p>
    <w:p>
      <w:pPr>
        <w:snapToGrid w:val="0"/>
        <w:spacing w:line="360" w:lineRule="auto"/>
        <w:ind w:left="688" w:leftChars="270" w:hanging="12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第七章　投标文件格式</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投标人应认真阅读、并充分理解招标文件的全部内容（包括所有的补充、修改内容重要事项、格式、条款和技术规范、参数及要求等）。投标人没有按照招标文件要求提交全部资料，或者投标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TW"/>
        </w:rPr>
        <w:t>没有对招标文件在各方面都作出实质性响应是投标人的风险，有可能导致其投标被拒绝，或被认定为无效投标或被确定为投标无效。</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rPr>
        <w:t>本</w:t>
      </w:r>
      <w:r>
        <w:rPr>
          <w:rFonts w:hint="eastAsia" w:ascii="宋体" w:hAnsi="宋体" w:eastAsia="宋体" w:cs="宋体"/>
          <w:color w:val="auto"/>
          <w:sz w:val="21"/>
          <w:szCs w:val="21"/>
          <w:highlight w:val="none"/>
          <w:lang w:eastAsia="zh-TW"/>
        </w:rPr>
        <w:t>招标文件的解释权归“广东</w:t>
      </w:r>
      <w:r>
        <w:rPr>
          <w:rFonts w:hint="eastAsia" w:ascii="宋体" w:hAnsi="宋体" w:eastAsia="宋体" w:cs="宋体"/>
          <w:color w:val="auto"/>
          <w:sz w:val="21"/>
          <w:szCs w:val="21"/>
          <w:highlight w:val="none"/>
          <w:lang w:eastAsia="zh-CN"/>
        </w:rPr>
        <w:t>中采</w:t>
      </w:r>
      <w:r>
        <w:rPr>
          <w:rFonts w:hint="eastAsia" w:ascii="宋体" w:hAnsi="宋体" w:eastAsia="宋体" w:cs="宋体"/>
          <w:color w:val="auto"/>
          <w:sz w:val="21"/>
          <w:szCs w:val="21"/>
          <w:highlight w:val="none"/>
          <w:lang w:eastAsia="zh-TW"/>
        </w:rPr>
        <w:t>招标有限公司”所有。</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33" w:name="_Toc16155"/>
      <w:bookmarkStart w:id="34" w:name="_Toc356482710"/>
      <w:r>
        <w:rPr>
          <w:rFonts w:hint="eastAsia" w:ascii="宋体" w:hAnsi="宋体" w:eastAsia="宋体" w:cs="宋体"/>
          <w:b/>
          <w:bCs/>
          <w:color w:val="auto"/>
          <w:sz w:val="21"/>
          <w:szCs w:val="21"/>
          <w:highlight w:val="none"/>
        </w:rPr>
        <w:t>招标文件的澄清</w:t>
      </w:r>
      <w:bookmarkEnd w:id="33"/>
      <w:bookmarkEnd w:id="34"/>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任何要求对招标文件进行澄清的投标人，均应以书面形式在投标截止时间十五日以前通知招标采购单位。招标代理机构将组织招标人对投标人所要求澄清的内容均以书面形式予以答复。必要时，招标采购单位将召开答疑会，并将会议内容以书面形式发给每个购买招标文件的潜在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答复中不包括问题的来源。</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投标人在规定的时间内未对招标文件提出澄清或疑问的，招标采购单位将视其为无异议。对招标文件中描述有歧意或前后不一致的地方，评标委员会有权进行评判，但对同一条款的评判应适用于每个投标人。</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除非依本须知第7.1规定的有</w:t>
      </w:r>
      <w:r>
        <w:rPr>
          <w:rFonts w:hint="eastAsia" w:ascii="宋体" w:hAnsi="宋体" w:eastAsia="宋体" w:cs="宋体"/>
          <w:color w:val="auto"/>
          <w:sz w:val="21"/>
          <w:szCs w:val="21"/>
          <w:highlight w:val="none"/>
          <w:lang w:eastAsia="zh-TW"/>
        </w:rPr>
        <w:t>必要时</w:t>
      </w:r>
      <w:r>
        <w:rPr>
          <w:rFonts w:hint="eastAsia" w:ascii="宋体" w:hAnsi="宋体" w:eastAsia="宋体" w:cs="宋体"/>
          <w:color w:val="auto"/>
          <w:sz w:val="21"/>
          <w:szCs w:val="21"/>
          <w:highlight w:val="none"/>
        </w:rPr>
        <w:t>或</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rPr>
        <w:t>中另有规定，不举行项目集中答疑会或现场考察，如果</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rPr>
        <w:t>中规定举行集中答疑会或现场考察，则包含下列规定：</w:t>
      </w:r>
    </w:p>
    <w:p>
      <w:pPr>
        <w:numPr>
          <w:ilvl w:val="2"/>
          <w:numId w:val="89"/>
        </w:numPr>
        <w:snapToGrid w:val="0"/>
        <w:spacing w:line="360" w:lineRule="auto"/>
        <w:ind w:left="851" w:leftChars="0" w:hanging="2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在</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rPr>
        <w:t>中规定的日期、时间和地点组织公开答疑会或现场考察；</w:t>
      </w:r>
    </w:p>
    <w:p>
      <w:pPr>
        <w:numPr>
          <w:ilvl w:val="2"/>
          <w:numId w:val="89"/>
        </w:numPr>
        <w:tabs>
          <w:tab w:val="left" w:pos="1260"/>
          <w:tab w:val="clear" w:pos="851"/>
        </w:tabs>
        <w:snapToGrid w:val="0"/>
        <w:spacing w:line="360" w:lineRule="auto"/>
        <w:ind w:left="1251" w:leftChars="0" w:hanging="611" w:firstLineChars="0"/>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潜在投标人对本项目提出的疑问，需在答疑会或现场考察召开日前至少一个工作日将问题清单传真或以书面（加盖公章）形式提交至招标代理机构，潜在投标人代表于上述的时间和地点出席答疑会或现场考察。</w:t>
      </w:r>
    </w:p>
    <w:p>
      <w:pPr>
        <w:numPr>
          <w:ilvl w:val="2"/>
          <w:numId w:val="89"/>
        </w:numPr>
        <w:tabs>
          <w:tab w:val="left" w:pos="1260"/>
          <w:tab w:val="clear" w:pos="851"/>
        </w:tabs>
        <w:snapToGrid w:val="0"/>
        <w:spacing w:line="360" w:lineRule="auto"/>
        <w:ind w:left="1251" w:leftChars="0" w:hanging="611"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已购买招标文件的投标人如不出席答疑会或现场考察视为对招标文件所有内容无任何异议。</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35" w:name="_Toc356482711"/>
      <w:bookmarkStart w:id="36" w:name="_Toc1783"/>
      <w:r>
        <w:rPr>
          <w:rFonts w:hint="eastAsia" w:ascii="宋体" w:hAnsi="宋体" w:eastAsia="宋体" w:cs="宋体"/>
          <w:b/>
          <w:bCs/>
          <w:color w:val="auto"/>
          <w:sz w:val="21"/>
          <w:szCs w:val="21"/>
          <w:highlight w:val="none"/>
        </w:rPr>
        <w:t>招标文件的修改</w:t>
      </w:r>
      <w:bookmarkEnd w:id="35"/>
      <w:bookmarkEnd w:id="36"/>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无论出于何种原因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招标采购单位可主动地或在解答投标人提出的疑问时对招标文件进行修改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招标采购单位对已发出的招标文件进行必要修改的，应当在招标文件</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lang w:eastAsia="zh-TW"/>
        </w:rPr>
        <w:t>中所述提交投标文件截止时间十五日前，在</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eastAsia="zh-TW"/>
        </w:rPr>
        <w:t>信息发布媒体上发布更正公告</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并以书面形式通知所有招标文件收受人。</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澄清或修改时间距投标截止时间不足十五</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TW"/>
        </w:rPr>
        <w:t>的</w:t>
      </w:r>
      <w:r>
        <w:rPr>
          <w:rFonts w:hint="eastAsia" w:ascii="宋体" w:hAnsi="宋体" w:eastAsia="宋体" w:cs="宋体"/>
          <w:color w:val="auto"/>
          <w:sz w:val="21"/>
          <w:szCs w:val="21"/>
          <w:highlight w:val="none"/>
        </w:rPr>
        <w:t>，招标人</w:t>
      </w:r>
      <w:r>
        <w:rPr>
          <w:rFonts w:hint="eastAsia" w:ascii="宋体" w:hAnsi="宋体" w:eastAsia="宋体" w:cs="宋体"/>
          <w:color w:val="auto"/>
          <w:sz w:val="21"/>
          <w:szCs w:val="21"/>
          <w:highlight w:val="none"/>
          <w:lang w:eastAsia="zh-TW"/>
        </w:rPr>
        <w:t>或招标代理机构在征得已获取招标文件的</w:t>
      </w:r>
      <w:r>
        <w:rPr>
          <w:rFonts w:hint="eastAsia" w:ascii="宋体" w:hAnsi="宋体" w:eastAsia="宋体" w:cs="宋体"/>
          <w:color w:val="auto"/>
          <w:sz w:val="21"/>
          <w:szCs w:val="21"/>
          <w:highlight w:val="none"/>
        </w:rPr>
        <w:t>潜在投标人</w:t>
      </w:r>
      <w:r>
        <w:rPr>
          <w:rFonts w:hint="eastAsia" w:ascii="宋体" w:hAnsi="宋体" w:eastAsia="宋体" w:cs="宋体"/>
          <w:color w:val="auto"/>
          <w:sz w:val="21"/>
          <w:szCs w:val="21"/>
          <w:highlight w:val="none"/>
          <w:lang w:eastAsia="zh-TW"/>
        </w:rPr>
        <w:t>同意并书面确认后，可不改变投标截止时间。</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招标文件的修改内容是招标文件的组成部分，将以书面形式通知所有购买招标文件的潜在投标人，并对潜在投标人具有约束力。潜在投标人在收到上述通知后</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应立即以书面形式向招标采购单位确认。如在24小时之内无书面回函则视为同意修改内容，并有责任履行相应的义务。</w:t>
      </w:r>
    </w:p>
    <w:p>
      <w:pPr>
        <w:snapToGrid w:val="0"/>
        <w:spacing w:line="360" w:lineRule="auto"/>
        <w:jc w:val="center"/>
        <w:outlineLvl w:val="0"/>
        <w:rPr>
          <w:rFonts w:hint="eastAsia" w:ascii="宋体" w:hAnsi="宋体" w:eastAsia="宋体" w:cs="宋体"/>
          <w:color w:val="auto"/>
          <w:sz w:val="21"/>
          <w:szCs w:val="21"/>
          <w:highlight w:val="none"/>
          <w:lang w:eastAsia="zh-TW"/>
        </w:rPr>
      </w:pPr>
    </w:p>
    <w:p>
      <w:pPr>
        <w:numPr>
          <w:ilvl w:val="0"/>
          <w:numId w:val="88"/>
        </w:numPr>
        <w:snapToGrid w:val="0"/>
        <w:spacing w:line="360" w:lineRule="auto"/>
        <w:ind w:left="0" w:leftChars="0" w:firstLine="420" w:firstLineChars="0"/>
        <w:jc w:val="center"/>
        <w:outlineLvl w:val="0"/>
        <w:rPr>
          <w:rFonts w:hint="eastAsia" w:ascii="宋体" w:hAnsi="宋体" w:eastAsia="宋体" w:cs="Times New Roman"/>
          <w:b/>
          <w:color w:val="auto"/>
          <w:sz w:val="28"/>
          <w:szCs w:val="28"/>
          <w:highlight w:val="none"/>
          <w:lang w:eastAsia="zh-TW"/>
        </w:rPr>
      </w:pPr>
      <w:bookmarkStart w:id="37" w:name="_Toc23142"/>
      <w:bookmarkStart w:id="38" w:name="_Toc356482712"/>
      <w:r>
        <w:rPr>
          <w:rFonts w:hint="eastAsia" w:ascii="宋体" w:hAnsi="宋体" w:eastAsia="宋体" w:cs="Times New Roman"/>
          <w:b/>
          <w:color w:val="auto"/>
          <w:sz w:val="28"/>
          <w:szCs w:val="28"/>
          <w:highlight w:val="none"/>
          <w:lang w:eastAsia="zh-TW"/>
        </w:rPr>
        <w:t>投标文件的编制</w:t>
      </w:r>
      <w:bookmarkEnd w:id="37"/>
      <w:bookmarkEnd w:id="38"/>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39" w:name="_Toc21700"/>
      <w:bookmarkStart w:id="40" w:name="_Toc356482713"/>
      <w:r>
        <w:rPr>
          <w:rFonts w:hint="eastAsia" w:ascii="宋体" w:hAnsi="宋体" w:eastAsia="宋体" w:cs="宋体"/>
          <w:b/>
          <w:bCs/>
          <w:color w:val="auto"/>
          <w:sz w:val="21"/>
          <w:szCs w:val="21"/>
          <w:highlight w:val="none"/>
        </w:rPr>
        <w:t>投标的语言</w:t>
      </w:r>
      <w:bookmarkEnd w:id="39"/>
      <w:bookmarkEnd w:id="40"/>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投标人提交的投标文件以及投标人与招标采购单位就有关投标的所有来往函电均应使用中文书写</w:t>
      </w:r>
      <w:r>
        <w:rPr>
          <w:rFonts w:hint="eastAsia" w:ascii="宋体" w:hAnsi="宋体" w:eastAsia="宋体" w:cs="宋体"/>
          <w:color w:val="auto"/>
          <w:sz w:val="21"/>
          <w:szCs w:val="21"/>
          <w:highlight w:val="none"/>
        </w:rPr>
        <w:t>。投</w:t>
      </w:r>
      <w:r>
        <w:rPr>
          <w:rFonts w:hint="eastAsia" w:ascii="宋体" w:hAnsi="宋体" w:eastAsia="宋体" w:cs="宋体"/>
          <w:color w:val="auto"/>
          <w:sz w:val="21"/>
          <w:szCs w:val="21"/>
          <w:highlight w:val="none"/>
          <w:lang w:eastAsia="zh-TW"/>
        </w:rPr>
        <w:t>标人提交的支持资料和己印刷的文献可以用另一种语言</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但相应内容应附有中文翻译本</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在解释投标文件的修改内容时以中文翻译本为准。对中文翻译有异议的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以权威机构的译本为准。</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41" w:name="_Toc356482714"/>
      <w:bookmarkStart w:id="42" w:name="_Toc26264"/>
      <w:r>
        <w:rPr>
          <w:rFonts w:hint="eastAsia" w:ascii="宋体" w:hAnsi="宋体" w:eastAsia="宋体" w:cs="宋体"/>
          <w:b/>
          <w:bCs/>
          <w:color w:val="auto"/>
          <w:sz w:val="21"/>
          <w:szCs w:val="21"/>
          <w:highlight w:val="none"/>
        </w:rPr>
        <w:t>投标文件的构成</w:t>
      </w:r>
      <w:bookmarkEnd w:id="41"/>
      <w:bookmarkEnd w:id="42"/>
    </w:p>
    <w:p>
      <w:pPr>
        <w:numPr>
          <w:ilvl w:val="1"/>
          <w:numId w:val="89"/>
        </w:numPr>
        <w:snapToGrid w:val="0"/>
        <w:spacing w:line="420" w:lineRule="auto"/>
        <w:jc w:val="both"/>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投标人编写的投标文件应包括</w:t>
      </w:r>
      <w:r>
        <w:rPr>
          <w:rFonts w:hint="eastAsia" w:ascii="宋体" w:hAnsi="宋体" w:eastAsia="宋体" w:cs="宋体"/>
          <w:color w:val="auto"/>
          <w:sz w:val="21"/>
          <w:szCs w:val="21"/>
          <w:highlight w:val="none"/>
        </w:rPr>
        <w:t>初审文件、技术文件、商务文件</w:t>
      </w:r>
      <w:r>
        <w:rPr>
          <w:rFonts w:hint="eastAsia" w:ascii="宋体" w:hAnsi="宋体" w:eastAsia="宋体" w:cs="宋体"/>
          <w:color w:val="auto"/>
          <w:sz w:val="21"/>
          <w:szCs w:val="21"/>
          <w:highlight w:val="none"/>
          <w:lang w:eastAsia="zh-TW"/>
        </w:rPr>
        <w:t>，编排顺序参见投标文件格式</w:t>
      </w:r>
      <w:r>
        <w:rPr>
          <w:rFonts w:hint="eastAsia" w:ascii="宋体" w:hAnsi="宋体" w:eastAsia="宋体" w:cs="宋体"/>
          <w:color w:val="auto"/>
          <w:sz w:val="21"/>
          <w:szCs w:val="21"/>
          <w:highlight w:val="none"/>
        </w:rPr>
        <w:t>。</w:t>
      </w:r>
    </w:p>
    <w:p>
      <w:pPr>
        <w:numPr>
          <w:ilvl w:val="1"/>
          <w:numId w:val="89"/>
        </w:numPr>
        <w:snapToGrid w:val="0"/>
        <w:spacing w:line="360" w:lineRule="auto"/>
        <w:jc w:val="both"/>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投标文件的构成应符合法律法规及招标文件的要求。</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43" w:name="_Toc20864"/>
      <w:bookmarkStart w:id="44" w:name="_Toc356482715"/>
      <w:r>
        <w:rPr>
          <w:rFonts w:hint="eastAsia" w:ascii="宋体" w:hAnsi="宋体" w:eastAsia="宋体" w:cs="宋体"/>
          <w:b/>
          <w:bCs/>
          <w:color w:val="auto"/>
          <w:sz w:val="21"/>
          <w:szCs w:val="21"/>
          <w:highlight w:val="none"/>
        </w:rPr>
        <w:t>投标文件的编写</w:t>
      </w:r>
      <w:bookmarkEnd w:id="43"/>
      <w:bookmarkEnd w:id="44"/>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投标人应完整</w:t>
      </w:r>
      <w:r>
        <w:rPr>
          <w:rFonts w:hint="eastAsia" w:ascii="宋体" w:hAnsi="宋体" w:eastAsia="宋体" w:cs="宋体"/>
          <w:color w:val="auto"/>
          <w:sz w:val="21"/>
          <w:szCs w:val="21"/>
          <w:highlight w:val="none"/>
        </w:rPr>
        <w:t>、真实、准确</w:t>
      </w:r>
      <w:r>
        <w:rPr>
          <w:rFonts w:hint="eastAsia" w:ascii="宋体" w:hAnsi="宋体" w:eastAsia="宋体" w:cs="宋体"/>
          <w:color w:val="auto"/>
          <w:sz w:val="21"/>
          <w:szCs w:val="21"/>
          <w:highlight w:val="none"/>
          <w:lang w:eastAsia="zh-TW"/>
        </w:rPr>
        <w:t>地填写招标文件中提供的投标</w:t>
      </w:r>
      <w:r>
        <w:rPr>
          <w:rFonts w:hint="eastAsia" w:ascii="宋体" w:hAnsi="宋体" w:eastAsia="宋体" w:cs="宋体"/>
          <w:color w:val="auto"/>
          <w:sz w:val="21"/>
          <w:szCs w:val="21"/>
          <w:highlight w:val="none"/>
        </w:rPr>
        <w:t>函</w:t>
      </w:r>
      <w:r>
        <w:rPr>
          <w:rFonts w:hint="eastAsia" w:ascii="宋体" w:hAnsi="宋体" w:eastAsia="宋体" w:cs="宋体"/>
          <w:color w:val="auto"/>
          <w:sz w:val="21"/>
          <w:szCs w:val="21"/>
          <w:highlight w:val="none"/>
          <w:lang w:eastAsia="zh-TW"/>
        </w:rPr>
        <w:t>、开标</w:t>
      </w:r>
      <w:r>
        <w:rPr>
          <w:rFonts w:hint="eastAsia" w:ascii="宋体" w:hAnsi="宋体" w:eastAsia="宋体" w:cs="宋体"/>
          <w:color w:val="auto"/>
          <w:sz w:val="21"/>
          <w:szCs w:val="21"/>
          <w:highlight w:val="none"/>
          <w:lang w:eastAsia="zh-CN"/>
        </w:rPr>
        <w:t>记录</w:t>
      </w:r>
      <w:r>
        <w:rPr>
          <w:rFonts w:hint="eastAsia" w:ascii="宋体" w:hAnsi="宋体" w:eastAsia="宋体" w:cs="宋体"/>
          <w:color w:val="auto"/>
          <w:sz w:val="21"/>
          <w:szCs w:val="21"/>
          <w:highlight w:val="none"/>
          <w:lang w:eastAsia="zh-TW"/>
        </w:rPr>
        <w:t>表(报价表)、投标分项报价表（如适用）以及招标文件中规定的其它</w:t>
      </w:r>
      <w:r>
        <w:rPr>
          <w:rFonts w:hint="eastAsia" w:ascii="宋体" w:hAnsi="宋体" w:eastAsia="宋体" w:cs="宋体"/>
          <w:color w:val="auto"/>
          <w:sz w:val="21"/>
          <w:szCs w:val="21"/>
          <w:highlight w:val="none"/>
        </w:rPr>
        <w:t>所有</w:t>
      </w:r>
      <w:r>
        <w:rPr>
          <w:rFonts w:hint="eastAsia" w:ascii="宋体" w:hAnsi="宋体" w:eastAsia="宋体" w:cs="宋体"/>
          <w:color w:val="auto"/>
          <w:sz w:val="21"/>
          <w:szCs w:val="21"/>
          <w:highlight w:val="none"/>
          <w:lang w:eastAsia="zh-TW"/>
        </w:rPr>
        <w:t>内容。</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投标人对招标文件中多个包组进行投标的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其投标文件的编制</w:t>
      </w:r>
      <w:r>
        <w:rPr>
          <w:rFonts w:hint="eastAsia" w:ascii="宋体" w:hAnsi="宋体" w:eastAsia="宋体" w:cs="宋体"/>
          <w:color w:val="auto"/>
          <w:sz w:val="21"/>
          <w:szCs w:val="21"/>
          <w:highlight w:val="none"/>
        </w:rPr>
        <w:t>可按</w:t>
      </w:r>
      <w:r>
        <w:rPr>
          <w:rFonts w:hint="eastAsia" w:ascii="宋体" w:hAnsi="宋体" w:eastAsia="宋体" w:cs="宋体"/>
          <w:color w:val="auto"/>
          <w:sz w:val="21"/>
          <w:szCs w:val="21"/>
          <w:highlight w:val="none"/>
          <w:lang w:eastAsia="zh-TW"/>
        </w:rPr>
        <w:t>每个包组的要求分别装订和封装。投标人应当对投标文件进行装订，对未经装订的投标文件可能发生的文件散落或缺损，由此造成的后果</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TW"/>
        </w:rPr>
        <w:t>责任由投标人承担</w:t>
      </w:r>
      <w:r>
        <w:rPr>
          <w:rFonts w:hint="eastAsia" w:ascii="宋体" w:hAnsi="宋体" w:eastAsia="宋体" w:cs="宋体"/>
          <w:color w:val="auto"/>
          <w:sz w:val="21"/>
          <w:szCs w:val="21"/>
          <w:highlight w:val="none"/>
        </w:rPr>
        <w:t>。</w:t>
      </w:r>
    </w:p>
    <w:p>
      <w:pPr>
        <w:numPr>
          <w:ilvl w:val="1"/>
          <w:numId w:val="89"/>
        </w:numPr>
        <w:tabs>
          <w:tab w:val="left" w:pos="709"/>
        </w:tabs>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投标人必须对投标文件所提供的全部资料的真实性承担法律责任，并无条件接受招标采购单位及</w:t>
      </w:r>
      <w:r>
        <w:rPr>
          <w:rFonts w:hint="eastAsia" w:ascii="宋体" w:hAnsi="宋体" w:cs="宋体"/>
          <w:color w:val="auto"/>
          <w:sz w:val="21"/>
          <w:szCs w:val="21"/>
          <w:highlight w:val="none"/>
          <w:lang w:eastAsia="zh-CN"/>
        </w:rPr>
        <w:t>上级</w:t>
      </w:r>
      <w:r>
        <w:rPr>
          <w:rFonts w:hint="eastAsia" w:ascii="宋体" w:hAnsi="宋体" w:eastAsia="宋体" w:cs="宋体"/>
          <w:color w:val="auto"/>
          <w:sz w:val="21"/>
          <w:szCs w:val="21"/>
          <w:highlight w:val="none"/>
          <w:lang w:eastAsia="zh-TW"/>
        </w:rPr>
        <w:t>部门等对其中任何资料进行核实的要求。</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如果因为投标人</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TW"/>
        </w:rPr>
        <w:t>投标文件只填写和提供了本</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eastAsia="zh-TW"/>
        </w:rPr>
        <w:t>文件要求的部分内容和附件，或没有提供招标文件中所要求的全部资料及数据，由此造成的后果</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TW"/>
        </w:rPr>
        <w:t>责任由投标人承担</w:t>
      </w:r>
      <w:r>
        <w:rPr>
          <w:rFonts w:hint="eastAsia" w:ascii="宋体" w:hAnsi="宋体" w:eastAsia="宋体" w:cs="宋体"/>
          <w:color w:val="auto"/>
          <w:sz w:val="21"/>
          <w:szCs w:val="21"/>
          <w:highlight w:val="none"/>
        </w:rPr>
        <w:t>。</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45" w:name="_Toc356482716"/>
      <w:bookmarkStart w:id="46" w:name="_Toc1552"/>
      <w:r>
        <w:rPr>
          <w:rFonts w:hint="eastAsia" w:ascii="宋体" w:hAnsi="宋体" w:eastAsia="宋体" w:cs="宋体"/>
          <w:b/>
          <w:bCs/>
          <w:color w:val="auto"/>
          <w:sz w:val="21"/>
          <w:szCs w:val="21"/>
          <w:highlight w:val="none"/>
        </w:rPr>
        <w:t>投标报价</w:t>
      </w:r>
      <w:bookmarkEnd w:id="45"/>
      <w:bookmarkEnd w:id="46"/>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投标人应按照“第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lang w:eastAsia="zh-TW"/>
        </w:rPr>
        <w:t>章　用户需求书”</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TW"/>
        </w:rPr>
        <w:t>采购项目技术规格、参数及要求规定的内容、责任范围进行报价。并按《</w:t>
      </w:r>
      <w:r>
        <w:rPr>
          <w:rFonts w:hint="eastAsia" w:ascii="宋体" w:hAnsi="宋体" w:eastAsia="宋体" w:cs="宋体"/>
          <w:color w:val="auto"/>
          <w:sz w:val="21"/>
          <w:szCs w:val="21"/>
          <w:highlight w:val="none"/>
        </w:rPr>
        <w:t>开标</w:t>
      </w:r>
      <w:r>
        <w:rPr>
          <w:rFonts w:hint="eastAsia" w:ascii="宋体" w:hAnsi="宋体" w:eastAsia="宋体" w:cs="宋体"/>
          <w:color w:val="auto"/>
          <w:sz w:val="21"/>
          <w:szCs w:val="21"/>
          <w:highlight w:val="none"/>
          <w:lang w:eastAsia="zh-CN"/>
        </w:rPr>
        <w:t>记录</w:t>
      </w:r>
      <w:r>
        <w:rPr>
          <w:rFonts w:hint="eastAsia" w:ascii="宋体" w:hAnsi="宋体" w:eastAsia="宋体" w:cs="宋体"/>
          <w:color w:val="auto"/>
          <w:sz w:val="21"/>
          <w:szCs w:val="21"/>
          <w:highlight w:val="none"/>
        </w:rPr>
        <w:t>表（报价表）</w:t>
      </w:r>
      <w:r>
        <w:rPr>
          <w:rFonts w:hint="eastAsia" w:ascii="宋体" w:hAnsi="宋体" w:eastAsia="宋体" w:cs="宋体"/>
          <w:color w:val="auto"/>
          <w:sz w:val="21"/>
          <w:szCs w:val="21"/>
          <w:highlight w:val="none"/>
          <w:lang w:eastAsia="zh-TW"/>
        </w:rPr>
        <w:t>》</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eastAsia="zh-TW"/>
        </w:rPr>
        <w:t>《投标分项报价表》（如适用）的</w:t>
      </w:r>
      <w:r>
        <w:rPr>
          <w:rFonts w:hint="eastAsia" w:ascii="宋体" w:hAnsi="宋体" w:eastAsia="宋体" w:cs="宋体"/>
          <w:color w:val="auto"/>
          <w:sz w:val="21"/>
          <w:szCs w:val="21"/>
          <w:highlight w:val="none"/>
        </w:rPr>
        <w:t>要求</w:t>
      </w:r>
      <w:r>
        <w:rPr>
          <w:rFonts w:hint="eastAsia" w:ascii="宋体" w:hAnsi="宋体" w:eastAsia="宋体" w:cs="宋体"/>
          <w:color w:val="auto"/>
          <w:sz w:val="21"/>
          <w:szCs w:val="21"/>
          <w:highlight w:val="none"/>
          <w:lang w:eastAsia="zh-TW"/>
        </w:rPr>
        <w:t>报出总价和分项价格。投标总价中不得包含招标文件要求以外的内容，否则，在评标时不予核减。投标总价中也不得缺漏招标文件所要求的内容，否则，被视为</w:t>
      </w:r>
      <w:r>
        <w:rPr>
          <w:rFonts w:hint="eastAsia" w:ascii="宋体" w:hAnsi="宋体" w:eastAsia="宋体" w:cs="宋体"/>
          <w:color w:val="auto"/>
          <w:sz w:val="21"/>
          <w:szCs w:val="21"/>
          <w:highlight w:val="none"/>
        </w:rPr>
        <w:t>包含在投标报价中</w:t>
      </w:r>
      <w:r>
        <w:rPr>
          <w:rFonts w:hint="eastAsia" w:ascii="宋体" w:hAnsi="宋体" w:eastAsia="宋体" w:cs="宋体"/>
          <w:color w:val="auto"/>
          <w:sz w:val="21"/>
          <w:szCs w:val="21"/>
          <w:highlight w:val="none"/>
          <w:lang w:eastAsia="zh-TW"/>
        </w:rPr>
        <w:t>。</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投标分项报价表</w:t>
      </w:r>
      <w:r>
        <w:rPr>
          <w:rFonts w:hint="eastAsia" w:ascii="宋体" w:hAnsi="宋体" w:eastAsia="宋体" w:cs="宋体"/>
          <w:color w:val="auto"/>
          <w:sz w:val="21"/>
          <w:szCs w:val="21"/>
          <w:highlight w:val="none"/>
        </w:rPr>
        <w:t>内容应包含：</w:t>
      </w:r>
    </w:p>
    <w:p>
      <w:pPr>
        <w:numPr>
          <w:ilvl w:val="3"/>
          <w:numId w:val="89"/>
        </w:numPr>
        <w:snapToGrid w:val="0"/>
        <w:spacing w:line="360" w:lineRule="auto"/>
        <w:jc w:val="both"/>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投标产品</w:t>
      </w:r>
      <w:r>
        <w:rPr>
          <w:rFonts w:hint="eastAsia" w:ascii="宋体" w:hAnsi="宋体" w:eastAsia="宋体" w:cs="宋体"/>
          <w:color w:val="auto"/>
          <w:sz w:val="21"/>
          <w:szCs w:val="21"/>
          <w:highlight w:val="none"/>
        </w:rPr>
        <w:t>价</w:t>
      </w:r>
      <w:r>
        <w:rPr>
          <w:rFonts w:hint="eastAsia" w:ascii="宋体" w:hAnsi="宋体" w:eastAsia="宋体" w:cs="宋体"/>
          <w:color w:val="auto"/>
          <w:sz w:val="21"/>
          <w:szCs w:val="21"/>
          <w:highlight w:val="none"/>
          <w:lang w:eastAsia="zh-TW"/>
        </w:rPr>
        <w:t>；</w:t>
      </w:r>
    </w:p>
    <w:p>
      <w:pPr>
        <w:numPr>
          <w:ilvl w:val="3"/>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除应包括要向中华人民共和国政府缴纳的增值税和其它税，还应包括对以下①、②两项</w:t>
      </w:r>
      <w:r>
        <w:rPr>
          <w:rFonts w:hint="eastAsia" w:ascii="宋体" w:hAnsi="宋体" w:eastAsia="宋体" w:cs="宋体"/>
          <w:color w:val="auto"/>
          <w:sz w:val="21"/>
          <w:szCs w:val="21"/>
          <w:highlight w:val="none"/>
        </w:rPr>
        <w:t>已</w:t>
      </w:r>
      <w:r>
        <w:rPr>
          <w:rFonts w:hint="eastAsia" w:ascii="宋体" w:hAnsi="宋体" w:eastAsia="宋体" w:cs="宋体"/>
          <w:color w:val="auto"/>
          <w:sz w:val="21"/>
          <w:szCs w:val="21"/>
          <w:highlight w:val="none"/>
          <w:lang w:eastAsia="zh-TW"/>
        </w:rPr>
        <w:t>交纳或应交纳的全部关税、增值税和其它税</w:t>
      </w:r>
      <w:r>
        <w:rPr>
          <w:rFonts w:hint="eastAsia" w:ascii="宋体" w:hAnsi="宋体" w:eastAsia="宋体" w:cs="宋体"/>
          <w:color w:val="auto"/>
          <w:sz w:val="21"/>
          <w:szCs w:val="21"/>
          <w:highlight w:val="none"/>
        </w:rPr>
        <w:t>：</w:t>
      </w:r>
    </w:p>
    <w:p>
      <w:pPr>
        <w:tabs>
          <w:tab w:val="left" w:pos="567"/>
          <w:tab w:val="left" w:pos="676"/>
          <w:tab w:val="left" w:pos="8931"/>
        </w:tabs>
        <w:snapToGrid w:val="0"/>
        <w:spacing w:line="360" w:lineRule="auto"/>
        <w:ind w:left="881" w:leftChars="393" w:hanging="56" w:hangingChars="27"/>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①</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TW"/>
        </w:rPr>
        <w:t>报价的货物在制造或组装时使用的部件和原材料是从境外进口的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或</w:t>
      </w:r>
    </w:p>
    <w:p>
      <w:pPr>
        <w:tabs>
          <w:tab w:val="left" w:pos="567"/>
          <w:tab w:val="left" w:pos="676"/>
        </w:tabs>
        <w:snapToGrid w:val="0"/>
        <w:spacing w:line="360" w:lineRule="auto"/>
        <w:ind w:left="881" w:leftChars="393" w:hanging="56" w:hangingChars="27"/>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②</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TW"/>
        </w:rPr>
        <w:t>报货架交货价的货物是从境外进口的。</w:t>
      </w:r>
    </w:p>
    <w:p>
      <w:pPr>
        <w:numPr>
          <w:ilvl w:val="3"/>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报</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中列出的其他伴随服务的费用和标准附件价、备品备件及专用工具价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如</w:t>
      </w:r>
      <w:r>
        <w:rPr>
          <w:rFonts w:hint="eastAsia" w:ascii="宋体" w:hAnsi="宋体" w:eastAsia="宋体" w:cs="宋体"/>
          <w:color w:val="auto"/>
          <w:sz w:val="21"/>
          <w:szCs w:val="21"/>
          <w:highlight w:val="none"/>
        </w:rPr>
        <w:t>有)。</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从中华人民共和国境外提供的货物须包含：</w:t>
      </w:r>
    </w:p>
    <w:p>
      <w:pPr>
        <w:numPr>
          <w:ilvl w:val="3"/>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投标产品价；</w:t>
      </w:r>
    </w:p>
    <w:p>
      <w:pPr>
        <w:numPr>
          <w:ilvl w:val="3"/>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eastAsia="zh-TW"/>
        </w:rPr>
        <w:t>应包括要向中华人民共和国政府缴纳的增值税和其它税</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如果</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中另有规定</w:t>
      </w:r>
      <w:r>
        <w:rPr>
          <w:rFonts w:hint="eastAsia" w:ascii="宋体" w:hAnsi="宋体" w:eastAsia="宋体" w:cs="宋体"/>
          <w:color w:val="auto"/>
          <w:sz w:val="21"/>
          <w:szCs w:val="21"/>
          <w:highlight w:val="none"/>
        </w:rPr>
        <w:t>，还应包括货物从境外进口已</w:t>
      </w:r>
      <w:r>
        <w:rPr>
          <w:rFonts w:hint="eastAsia" w:ascii="宋体" w:hAnsi="宋体" w:eastAsia="宋体" w:cs="宋体"/>
          <w:color w:val="auto"/>
          <w:sz w:val="21"/>
          <w:szCs w:val="21"/>
          <w:highlight w:val="none"/>
          <w:lang w:eastAsia="zh-TW"/>
        </w:rPr>
        <w:t>交纳或应交纳的全部关税、增值税和其它税</w:t>
      </w:r>
      <w:r>
        <w:rPr>
          <w:rFonts w:hint="eastAsia" w:ascii="宋体" w:hAnsi="宋体" w:eastAsia="宋体" w:cs="宋体"/>
          <w:color w:val="auto"/>
          <w:sz w:val="21"/>
          <w:szCs w:val="21"/>
          <w:highlight w:val="none"/>
        </w:rPr>
        <w:t>；</w:t>
      </w:r>
    </w:p>
    <w:p>
      <w:pPr>
        <w:numPr>
          <w:ilvl w:val="3"/>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报货物境外离岸价格、国外运输费、国外运输保险费；</w:t>
      </w:r>
    </w:p>
    <w:p>
      <w:pPr>
        <w:numPr>
          <w:ilvl w:val="3"/>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报</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中列出的其他伴随服务费用和标准附件价、备品备件及专用工具价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如有</w:t>
      </w:r>
      <w:r>
        <w:rPr>
          <w:rFonts w:hint="eastAsia" w:ascii="宋体" w:hAnsi="宋体" w:eastAsia="宋体" w:cs="宋体"/>
          <w:color w:val="auto"/>
          <w:sz w:val="21"/>
          <w:szCs w:val="21"/>
          <w:highlight w:val="none"/>
        </w:rPr>
        <w:t>)。</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对于报价免费的</w:t>
      </w:r>
      <w:r>
        <w:rPr>
          <w:rFonts w:hint="eastAsia" w:ascii="宋体" w:hAnsi="宋体" w:eastAsia="宋体" w:cs="宋体"/>
          <w:color w:val="auto"/>
          <w:sz w:val="21"/>
          <w:szCs w:val="21"/>
          <w:highlight w:val="none"/>
        </w:rPr>
        <w:t>内容</w:t>
      </w:r>
      <w:r>
        <w:rPr>
          <w:rFonts w:hint="eastAsia" w:ascii="宋体" w:hAnsi="宋体" w:eastAsia="宋体" w:cs="宋体"/>
          <w:color w:val="auto"/>
          <w:sz w:val="21"/>
          <w:szCs w:val="21"/>
          <w:highlight w:val="none"/>
          <w:lang w:eastAsia="zh-TW"/>
        </w:rPr>
        <w:t>须标明“免费”。</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投标人根据本须知</w:t>
      </w:r>
      <w:r>
        <w:rPr>
          <w:rFonts w:hint="eastAsia" w:ascii="宋体" w:hAnsi="宋体" w:eastAsia="宋体" w:cs="宋体"/>
          <w:color w:val="auto"/>
          <w:sz w:val="21"/>
          <w:szCs w:val="21"/>
          <w:highlight w:val="none"/>
        </w:rPr>
        <w:t>第12.2条</w:t>
      </w:r>
      <w:r>
        <w:rPr>
          <w:rFonts w:hint="eastAsia" w:ascii="宋体" w:hAnsi="宋体" w:eastAsia="宋体" w:cs="宋体"/>
          <w:color w:val="auto"/>
          <w:sz w:val="21"/>
          <w:szCs w:val="21"/>
          <w:highlight w:val="none"/>
          <w:lang w:eastAsia="zh-TW"/>
        </w:rPr>
        <w:t>的规定将投标</w:t>
      </w:r>
      <w:r>
        <w:rPr>
          <w:rFonts w:hint="eastAsia" w:ascii="宋体" w:hAnsi="宋体" w:eastAsia="宋体" w:cs="宋体"/>
          <w:color w:val="auto"/>
          <w:sz w:val="21"/>
          <w:szCs w:val="21"/>
          <w:highlight w:val="none"/>
        </w:rPr>
        <w:t>报</w:t>
      </w:r>
      <w:r>
        <w:rPr>
          <w:rFonts w:hint="eastAsia" w:ascii="宋体" w:hAnsi="宋体" w:eastAsia="宋体" w:cs="宋体"/>
          <w:color w:val="auto"/>
          <w:sz w:val="21"/>
          <w:szCs w:val="21"/>
          <w:highlight w:val="none"/>
          <w:lang w:eastAsia="zh-TW"/>
        </w:rPr>
        <w:t>价分成几部分</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只是为了方便对</w:t>
      </w:r>
      <w:r>
        <w:rPr>
          <w:rFonts w:hint="eastAsia" w:ascii="宋体" w:hAnsi="宋体" w:eastAsia="宋体" w:cs="宋体"/>
          <w:color w:val="auto"/>
          <w:sz w:val="21"/>
          <w:szCs w:val="21"/>
          <w:highlight w:val="none"/>
        </w:rPr>
        <w:t>投标文件进行比较，</w:t>
      </w:r>
      <w:r>
        <w:rPr>
          <w:rFonts w:hint="eastAsia" w:ascii="宋体" w:hAnsi="宋体" w:eastAsia="宋体" w:cs="宋体"/>
          <w:color w:val="auto"/>
          <w:sz w:val="21"/>
          <w:szCs w:val="21"/>
          <w:highlight w:val="none"/>
          <w:lang w:eastAsia="zh-TW"/>
        </w:rPr>
        <w:t>并不限制招标人以上述任何条件订立合同的权力。</w:t>
      </w:r>
    </w:p>
    <w:p>
      <w:pPr>
        <w:numPr>
          <w:ilvl w:val="1"/>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rPr>
        <w:t>中另有规定，</w:t>
      </w:r>
      <w:r>
        <w:rPr>
          <w:rFonts w:hint="eastAsia" w:ascii="宋体" w:hAnsi="宋体" w:eastAsia="宋体" w:cs="宋体"/>
          <w:color w:val="auto"/>
          <w:sz w:val="21"/>
          <w:szCs w:val="21"/>
          <w:highlight w:val="none"/>
          <w:lang w:eastAsia="zh-TW"/>
        </w:rPr>
        <w:t>投标人所报的投标价在合同执行过程中是固定不变的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不得以任何理由予以变更。任何包含价格调整要求的投标被认为是非实质性响应投标而予以拒绝。</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rPr>
        <w:t>中允许有备选方案外，本次招标不接受选择性报价，否则将被视为无效投标。</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rPr>
        <w:t>另有规定外，本次招标不接受具有附加条件的报价，否则将被视为无效投标。</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47" w:name="_Toc356482717"/>
      <w:bookmarkStart w:id="48" w:name="_Toc17723"/>
      <w:r>
        <w:rPr>
          <w:rFonts w:hint="eastAsia" w:ascii="宋体" w:hAnsi="宋体" w:eastAsia="宋体" w:cs="宋体"/>
          <w:b/>
          <w:bCs/>
          <w:color w:val="auto"/>
          <w:sz w:val="21"/>
          <w:szCs w:val="21"/>
          <w:highlight w:val="none"/>
        </w:rPr>
        <w:t>投标货币</w:t>
      </w:r>
      <w:bookmarkEnd w:id="47"/>
      <w:bookmarkEnd w:id="48"/>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投标人所提供的货物和服务均应以人民币报价。</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49" w:name="_Toc31516"/>
      <w:bookmarkStart w:id="50" w:name="_Toc356482718"/>
      <w:r>
        <w:rPr>
          <w:rFonts w:hint="eastAsia" w:ascii="宋体" w:hAnsi="宋体" w:cs="宋体"/>
          <w:b/>
          <w:bCs/>
          <w:color w:val="auto"/>
          <w:sz w:val="21"/>
          <w:szCs w:val="21"/>
          <w:highlight w:val="none"/>
          <w:lang w:eastAsia="zh-CN"/>
        </w:rPr>
        <w:t>本项目不接受</w:t>
      </w:r>
      <w:r>
        <w:rPr>
          <w:rFonts w:hint="eastAsia" w:ascii="宋体" w:hAnsi="宋体" w:eastAsia="宋体" w:cs="宋体"/>
          <w:b/>
          <w:bCs/>
          <w:color w:val="auto"/>
          <w:sz w:val="21"/>
          <w:szCs w:val="21"/>
          <w:highlight w:val="none"/>
        </w:rPr>
        <w:t>联合体投标</w:t>
      </w:r>
      <w:bookmarkEnd w:id="49"/>
      <w:bookmarkEnd w:id="50"/>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51" w:name="_Toc356482719"/>
      <w:bookmarkStart w:id="52" w:name="_Toc8575"/>
      <w:r>
        <w:rPr>
          <w:rFonts w:hint="eastAsia" w:ascii="宋体" w:hAnsi="宋体" w:eastAsia="宋体" w:cs="宋体"/>
          <w:b/>
          <w:bCs/>
          <w:color w:val="auto"/>
          <w:sz w:val="21"/>
          <w:szCs w:val="21"/>
          <w:highlight w:val="none"/>
        </w:rPr>
        <w:t>证明投标人合格和资格的文件</w:t>
      </w:r>
      <w:bookmarkEnd w:id="51"/>
      <w:bookmarkEnd w:id="52"/>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投标人应提交证明其有资格参加投标和中标后有能力履行合同的文件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并作为其投标文件的一部分。如果投标人为联合体</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应提交联合体各方的资格证明文件、</w:t>
      </w:r>
      <w:r>
        <w:rPr>
          <w:rFonts w:hint="eastAsia" w:ascii="宋体" w:hAnsi="宋体" w:eastAsia="宋体" w:cs="宋体"/>
          <w:color w:val="auto"/>
          <w:sz w:val="21"/>
          <w:szCs w:val="21"/>
          <w:highlight w:val="none"/>
        </w:rPr>
        <w:t>共同投标协议</w:t>
      </w:r>
      <w:r>
        <w:rPr>
          <w:rFonts w:hint="eastAsia" w:ascii="宋体" w:hAnsi="宋体" w:eastAsia="宋体" w:cs="宋体"/>
          <w:color w:val="auto"/>
          <w:sz w:val="21"/>
          <w:szCs w:val="21"/>
          <w:highlight w:val="none"/>
          <w:lang w:eastAsia="zh-TW"/>
        </w:rPr>
        <w:t>并注明主体方</w:t>
      </w:r>
      <w:r>
        <w:rPr>
          <w:rFonts w:hint="eastAsia" w:ascii="宋体" w:hAnsi="宋体" w:eastAsia="宋体" w:cs="宋体"/>
          <w:color w:val="auto"/>
          <w:sz w:val="21"/>
          <w:szCs w:val="21"/>
          <w:highlight w:val="none"/>
        </w:rPr>
        <w:t>及各方拟承担的工作和责任。</w:t>
      </w:r>
      <w:r>
        <w:rPr>
          <w:rFonts w:hint="eastAsia" w:ascii="宋体" w:hAnsi="宋体" w:eastAsia="宋体" w:cs="宋体"/>
          <w:color w:val="auto"/>
          <w:sz w:val="21"/>
          <w:szCs w:val="21"/>
          <w:highlight w:val="none"/>
          <w:lang w:eastAsia="zh-TW"/>
        </w:rPr>
        <w:t>否则</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将导致其投标</w:t>
      </w:r>
      <w:r>
        <w:rPr>
          <w:rFonts w:hint="eastAsia" w:ascii="宋体" w:hAnsi="宋体" w:eastAsia="宋体" w:cs="宋体"/>
          <w:color w:val="auto"/>
          <w:sz w:val="21"/>
          <w:szCs w:val="21"/>
          <w:highlight w:val="none"/>
        </w:rPr>
        <w:t>无效。</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投标人提交的资格证明文件应证明其</w:t>
      </w:r>
      <w:r>
        <w:rPr>
          <w:rFonts w:hint="eastAsia" w:ascii="宋体" w:hAnsi="宋体" w:eastAsia="宋体" w:cs="宋体"/>
          <w:color w:val="auto"/>
          <w:sz w:val="21"/>
          <w:szCs w:val="21"/>
          <w:highlight w:val="none"/>
        </w:rPr>
        <w:t>满足</w:t>
      </w:r>
      <w:r>
        <w:rPr>
          <w:rFonts w:hint="eastAsia" w:ascii="宋体" w:hAnsi="宋体" w:eastAsia="宋体" w:cs="宋体"/>
          <w:color w:val="auto"/>
          <w:sz w:val="21"/>
          <w:szCs w:val="21"/>
          <w:highlight w:val="none"/>
          <w:lang w:eastAsia="zh-TW"/>
        </w:rPr>
        <w:t>本须知定义的合格投标人。</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53" w:name="_Toc12209"/>
      <w:bookmarkStart w:id="54" w:name="_Toc356482720"/>
      <w:r>
        <w:rPr>
          <w:rFonts w:hint="eastAsia" w:ascii="宋体" w:hAnsi="宋体" w:eastAsia="宋体" w:cs="宋体"/>
          <w:b/>
          <w:bCs/>
          <w:color w:val="auto"/>
          <w:sz w:val="21"/>
          <w:szCs w:val="21"/>
          <w:highlight w:val="none"/>
        </w:rPr>
        <w:t>证明货物的合格性和符合招标文件规定的文件</w:t>
      </w:r>
      <w:bookmarkEnd w:id="53"/>
      <w:bookmarkEnd w:id="54"/>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投标人应提交证明文件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证明其拟供的合同项下的货物和服务的合格性符合招标文件规定。该证明文件作为投标文件的一部分。</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货物和服务合格性的证明文件应包括投标分项报价表中对货物和服务原产地的说明。</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证明货物和服务与招标文件的要求相一致的文件，可以是文字资料、图纸和数据，它包括：</w:t>
      </w:r>
    </w:p>
    <w:p>
      <w:pPr>
        <w:numPr>
          <w:ilvl w:val="2"/>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货物主要技术指标和性能的详细说明</w:t>
      </w:r>
      <w:r>
        <w:rPr>
          <w:rFonts w:hint="eastAsia" w:ascii="宋体" w:hAnsi="宋体" w:eastAsia="宋体" w:cs="宋体"/>
          <w:color w:val="auto"/>
          <w:sz w:val="21"/>
          <w:szCs w:val="21"/>
          <w:highlight w:val="none"/>
        </w:rPr>
        <w:t>；</w:t>
      </w:r>
    </w:p>
    <w:p>
      <w:pPr>
        <w:numPr>
          <w:ilvl w:val="2"/>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货物正常使用所必须的备件和专用工具清单</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包括备件和专用工具的货源及现行价格</w:t>
      </w:r>
      <w:r>
        <w:rPr>
          <w:rFonts w:hint="eastAsia" w:ascii="宋体" w:hAnsi="宋体" w:eastAsia="宋体" w:cs="宋体"/>
          <w:color w:val="auto"/>
          <w:sz w:val="21"/>
          <w:szCs w:val="21"/>
          <w:highlight w:val="none"/>
        </w:rPr>
        <w:t>；</w:t>
      </w:r>
    </w:p>
    <w:p>
      <w:pPr>
        <w:numPr>
          <w:ilvl w:val="2"/>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对照招标文件技术规格，逐条说明所提供货物和服务已对招标文件的技术规格作出了实质性的响应</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并申明与技术规格条文的偏差和例外。特别对有具体参数要求的指标</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投标人须提供所投设备的具体参数值。投标人在阐述时应注意招标文件的技术规格中指出的工艺、材料和设备的标准，投标人在投标中要实质上满足或超过招标文件的要求。</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55" w:name="_Toc13503"/>
      <w:bookmarkStart w:id="56" w:name="_Toc356482721"/>
      <w:r>
        <w:rPr>
          <w:rFonts w:hint="eastAsia" w:ascii="宋体" w:hAnsi="宋体" w:eastAsia="宋体" w:cs="宋体"/>
          <w:b/>
          <w:bCs/>
          <w:color w:val="auto"/>
          <w:sz w:val="21"/>
          <w:szCs w:val="21"/>
          <w:highlight w:val="none"/>
        </w:rPr>
        <w:t>投标保证金</w:t>
      </w:r>
      <w:bookmarkEnd w:id="55"/>
      <w:bookmarkEnd w:id="56"/>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投标人应</w:t>
      </w:r>
      <w:r>
        <w:rPr>
          <w:rFonts w:hint="eastAsia" w:ascii="宋体" w:hAnsi="宋体" w:eastAsia="宋体" w:cs="宋体"/>
          <w:color w:val="auto"/>
          <w:sz w:val="21"/>
          <w:szCs w:val="21"/>
          <w:highlight w:val="none"/>
        </w:rPr>
        <w:t>按</w:t>
      </w:r>
      <w:r>
        <w:rPr>
          <w:rFonts w:hint="eastAsia" w:ascii="宋体" w:hAnsi="宋体" w:eastAsia="宋体" w:cs="宋体"/>
          <w:b/>
          <w:color w:val="auto"/>
          <w:sz w:val="21"/>
          <w:szCs w:val="21"/>
          <w:highlight w:val="none"/>
          <w:lang w:eastAsia="zh-CN"/>
        </w:rPr>
        <w:t>采购公告</w:t>
      </w:r>
      <w:r>
        <w:rPr>
          <w:rFonts w:hint="eastAsia" w:ascii="宋体" w:hAnsi="宋体" w:eastAsia="宋体" w:cs="宋体"/>
          <w:color w:val="auto"/>
          <w:sz w:val="21"/>
          <w:szCs w:val="21"/>
          <w:highlight w:val="none"/>
          <w:lang w:eastAsia="zh-TW"/>
        </w:rPr>
        <w:t>中规定</w:t>
      </w:r>
      <w:r>
        <w:rPr>
          <w:rFonts w:hint="eastAsia" w:ascii="宋体" w:hAnsi="宋体" w:eastAsia="宋体" w:cs="宋体"/>
          <w:color w:val="auto"/>
          <w:sz w:val="21"/>
          <w:szCs w:val="21"/>
          <w:highlight w:val="none"/>
        </w:rPr>
        <w:t>的金</w:t>
      </w:r>
      <w:r>
        <w:rPr>
          <w:rFonts w:hint="eastAsia" w:ascii="宋体" w:hAnsi="宋体" w:eastAsia="宋体" w:cs="宋体"/>
          <w:color w:val="auto"/>
          <w:sz w:val="21"/>
          <w:szCs w:val="21"/>
          <w:highlight w:val="none"/>
          <w:lang w:eastAsia="zh-TW"/>
        </w:rPr>
        <w:t>额</w:t>
      </w:r>
      <w:r>
        <w:rPr>
          <w:rFonts w:hint="eastAsia" w:ascii="宋体" w:hAnsi="宋体" w:eastAsia="宋体" w:cs="宋体"/>
          <w:color w:val="auto"/>
          <w:sz w:val="21"/>
          <w:szCs w:val="21"/>
          <w:highlight w:val="none"/>
        </w:rPr>
        <w:t>、期限缴纳</w:t>
      </w:r>
      <w:r>
        <w:rPr>
          <w:rFonts w:hint="eastAsia" w:ascii="宋体" w:hAnsi="宋体" w:eastAsia="宋体" w:cs="宋体"/>
          <w:color w:val="auto"/>
          <w:sz w:val="21"/>
          <w:szCs w:val="21"/>
          <w:highlight w:val="none"/>
          <w:lang w:eastAsia="zh-TW"/>
        </w:rPr>
        <w:t>投标保证金</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并作为其投标</w:t>
      </w:r>
      <w:r>
        <w:rPr>
          <w:rFonts w:hint="eastAsia" w:ascii="宋体" w:hAnsi="宋体" w:eastAsia="宋体" w:cs="宋体"/>
          <w:color w:val="auto"/>
          <w:sz w:val="21"/>
          <w:szCs w:val="21"/>
          <w:highlight w:val="none"/>
        </w:rPr>
        <w:t>文件的组成</w:t>
      </w:r>
      <w:r>
        <w:rPr>
          <w:rFonts w:hint="eastAsia" w:ascii="宋体" w:hAnsi="宋体" w:eastAsia="宋体" w:cs="宋体"/>
          <w:color w:val="auto"/>
          <w:sz w:val="21"/>
          <w:szCs w:val="21"/>
          <w:highlight w:val="none"/>
          <w:lang w:eastAsia="zh-TW"/>
        </w:rPr>
        <w:t>部分。</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投标人撤回已提交的投标文件，应当在投标截止时间前书面通知招标人。佛山市南海公有资产流转服务有限公司已收取投标保证金的，应当自收到投标人《企业采购保证金退付委托书》和营业执照复印件（盖公章）起5个工作日内退还。</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未中标投标人的投标保证金由佛山市南海公有资产流转服务有限公司在发布采购结果公告后的5个工作日内退回（不计利息）；招标人在与中标人签署采购合同后7个工作日内，凭有效的合同原件到佛山市南海公有资产流转服务有限公司进行备案。佛山市南海公有资产流转服务有限公司自收到合同原件后5个工作日内退回中标人的投标保证金（不计利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eastAsia="zh-TW"/>
        </w:rPr>
        <w:t>。</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符合退付条件的投标保证金，将在法定时间内全额无息退还到投标人原汇出账户</w:t>
      </w:r>
      <w:r>
        <w:rPr>
          <w:rFonts w:hint="eastAsia" w:ascii="宋体" w:hAnsi="宋体" w:eastAsia="宋体" w:cs="宋体"/>
          <w:color w:val="auto"/>
          <w:sz w:val="21"/>
          <w:szCs w:val="21"/>
          <w:highlight w:val="none"/>
          <w:lang w:eastAsia="zh-CN"/>
        </w:rPr>
        <w:t>。</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下列任一情况发生时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投标保证金将被没收</w:t>
      </w:r>
      <w:r>
        <w:rPr>
          <w:rFonts w:hint="eastAsia" w:ascii="宋体" w:hAnsi="宋体" w:eastAsia="宋体" w:cs="宋体"/>
          <w:color w:val="auto"/>
          <w:sz w:val="21"/>
          <w:szCs w:val="21"/>
          <w:highlight w:val="none"/>
        </w:rPr>
        <w:t>：</w:t>
      </w:r>
    </w:p>
    <w:p>
      <w:pPr>
        <w:numPr>
          <w:ilvl w:val="2"/>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投标人在招标文件中规定的投标有效期内撤回其投标</w:t>
      </w:r>
      <w:r>
        <w:rPr>
          <w:rFonts w:hint="eastAsia" w:ascii="宋体" w:hAnsi="宋体" w:eastAsia="宋体" w:cs="宋体"/>
          <w:color w:val="auto"/>
          <w:sz w:val="21"/>
          <w:szCs w:val="21"/>
          <w:highlight w:val="none"/>
        </w:rPr>
        <w:t>；</w:t>
      </w:r>
    </w:p>
    <w:p>
      <w:pPr>
        <w:numPr>
          <w:ilvl w:val="2"/>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中标后无正当理由放弃中标或中标人在规定期限内未能根据本须知规定签订合同</w:t>
      </w:r>
      <w:r>
        <w:rPr>
          <w:rFonts w:hint="eastAsia" w:ascii="宋体" w:hAnsi="宋体" w:eastAsia="宋体" w:cs="宋体"/>
          <w:color w:val="auto"/>
          <w:sz w:val="21"/>
          <w:szCs w:val="21"/>
          <w:highlight w:val="none"/>
        </w:rPr>
        <w:t>；</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将中标项目转让给他人，或者在投标文件中未说明，且未经招标人同意，违反招标文件规定，将中标项目分包给他人的；</w:t>
      </w:r>
    </w:p>
    <w:p>
      <w:pPr>
        <w:numPr>
          <w:ilvl w:val="2"/>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中标人未按本须知规定交纳招标代理服务费。</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57" w:name="_Toc15256"/>
      <w:bookmarkStart w:id="58" w:name="_Toc356482722"/>
      <w:r>
        <w:rPr>
          <w:rFonts w:hint="eastAsia" w:ascii="宋体" w:hAnsi="宋体" w:eastAsia="宋体" w:cs="宋体"/>
          <w:b/>
          <w:bCs/>
          <w:color w:val="auto"/>
          <w:sz w:val="21"/>
          <w:szCs w:val="21"/>
          <w:highlight w:val="none"/>
        </w:rPr>
        <w:t>投标有效期</w:t>
      </w:r>
      <w:bookmarkEnd w:id="57"/>
      <w:bookmarkEnd w:id="58"/>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投标应自</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中规定的</w:t>
      </w:r>
      <w:r>
        <w:rPr>
          <w:rFonts w:hint="eastAsia" w:ascii="宋体" w:hAnsi="宋体" w:eastAsia="宋体" w:cs="宋体"/>
          <w:color w:val="auto"/>
          <w:sz w:val="21"/>
          <w:szCs w:val="21"/>
          <w:highlight w:val="none"/>
        </w:rPr>
        <w:t>投标文件递交截止时间</w:t>
      </w:r>
      <w:r>
        <w:rPr>
          <w:rFonts w:hint="eastAsia" w:ascii="宋体" w:hAnsi="宋体" w:eastAsia="宋体" w:cs="宋体"/>
          <w:color w:val="auto"/>
          <w:sz w:val="21"/>
          <w:szCs w:val="21"/>
          <w:highlight w:val="none"/>
          <w:lang w:eastAsia="zh-TW"/>
        </w:rPr>
        <w:t>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并在</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中所述期限内保持有效。投标有效期不足的投标将被视为非实质性响应</w:t>
      </w:r>
      <w:r>
        <w:rPr>
          <w:rFonts w:hint="eastAsia" w:ascii="宋体" w:hAnsi="宋体" w:eastAsia="宋体" w:cs="宋体"/>
          <w:color w:val="auto"/>
          <w:sz w:val="21"/>
          <w:szCs w:val="21"/>
          <w:highlight w:val="none"/>
        </w:rPr>
        <w:t>，视为无效投标</w:t>
      </w:r>
      <w:r>
        <w:rPr>
          <w:rFonts w:hint="eastAsia" w:ascii="宋体" w:hAnsi="宋体" w:eastAsia="宋体" w:cs="宋体"/>
          <w:color w:val="auto"/>
          <w:sz w:val="21"/>
          <w:szCs w:val="21"/>
          <w:highlight w:val="none"/>
          <w:lang w:eastAsia="zh-TW"/>
        </w:rPr>
        <w:t>。</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特殊情况下</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在原投标有效期截止之前</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招标代理机构可要求投标人延长投标有效期。这种要求与答复均应以书面形式提交。投标人可拒绝招标代理机构的这种要求</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其投标保证金将不会被没收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但其投标在原投标有效期期满后将不再有效。同意延长投标有效期的投标人将不会被要求和允许修正其投标</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而只会被要求相应地延长其投标保证金的有效期。在这种情况下</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本须知有关投标保证金的退还和没收的规定将在延长了的有效期内继续有效。</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59" w:name="_Toc356482723"/>
      <w:bookmarkStart w:id="60" w:name="_Toc13876"/>
      <w:r>
        <w:rPr>
          <w:rFonts w:hint="eastAsia" w:ascii="宋体" w:hAnsi="宋体" w:eastAsia="宋体" w:cs="宋体"/>
          <w:b/>
          <w:bCs/>
          <w:color w:val="auto"/>
          <w:sz w:val="21"/>
          <w:szCs w:val="21"/>
          <w:highlight w:val="none"/>
        </w:rPr>
        <w:t>投标文件的式样和签署</w:t>
      </w:r>
      <w:bookmarkEnd w:id="59"/>
      <w:bookmarkEnd w:id="60"/>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投标文件的式样：投标人应准备一份投标文件正本</w:t>
      </w:r>
      <w:r>
        <w:rPr>
          <w:rFonts w:hint="eastAsia" w:ascii="宋体" w:hAnsi="宋体" w:eastAsia="宋体" w:cs="宋体"/>
          <w:color w:val="auto"/>
          <w:sz w:val="21"/>
          <w:szCs w:val="21"/>
          <w:highlight w:val="none"/>
        </w:rPr>
        <w:t>、电子文件</w:t>
      </w:r>
      <w:r>
        <w:rPr>
          <w:rFonts w:hint="eastAsia" w:ascii="宋体" w:hAnsi="宋体" w:eastAsia="宋体" w:cs="宋体"/>
          <w:color w:val="auto"/>
          <w:sz w:val="21"/>
          <w:szCs w:val="21"/>
          <w:highlight w:val="none"/>
          <w:lang w:eastAsia="zh-TW"/>
        </w:rPr>
        <w:t>和</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中规定数目的副本</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副本可</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eastAsia="zh-TW"/>
        </w:rPr>
        <w:t>复印。每套投标文件须清楚地标明“正本”或</w:t>
      </w:r>
      <w:r>
        <w:rPr>
          <w:rFonts w:hint="eastAsia" w:ascii="宋体" w:hAnsi="宋体" w:eastAsia="宋体" w:cs="宋体"/>
          <w:color w:val="auto"/>
          <w:sz w:val="21"/>
          <w:szCs w:val="21"/>
          <w:highlight w:val="none"/>
        </w:rPr>
        <w:t>“副</w:t>
      </w:r>
      <w:r>
        <w:rPr>
          <w:rFonts w:hint="eastAsia" w:ascii="宋体" w:hAnsi="宋体" w:eastAsia="宋体" w:cs="宋体"/>
          <w:color w:val="auto"/>
          <w:sz w:val="21"/>
          <w:szCs w:val="21"/>
          <w:highlight w:val="none"/>
          <w:lang w:eastAsia="zh-TW"/>
        </w:rPr>
        <w:t>本</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。若副本与正本不符</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以正本为准。</w:t>
      </w:r>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投标文件的签署：</w:t>
      </w:r>
    </w:p>
    <w:p>
      <w:pPr>
        <w:numPr>
          <w:ilvl w:val="2"/>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投标文件的正本需打印或用不褪色墨水书写</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格式规定签字或盖章处须</w:t>
      </w:r>
      <w:r>
        <w:rPr>
          <w:rFonts w:hint="eastAsia" w:ascii="宋体" w:hAnsi="宋体" w:eastAsia="宋体" w:cs="宋体"/>
          <w:color w:val="auto"/>
          <w:sz w:val="21"/>
          <w:szCs w:val="21"/>
          <w:highlight w:val="none"/>
        </w:rPr>
        <w:t>由投标人的法定</w:t>
      </w:r>
      <w:r>
        <w:rPr>
          <w:rFonts w:hint="eastAsia" w:ascii="宋体" w:hAnsi="宋体" w:eastAsia="宋体" w:cs="宋体"/>
          <w:color w:val="auto"/>
          <w:sz w:val="21"/>
          <w:szCs w:val="21"/>
          <w:highlight w:val="none"/>
          <w:lang w:eastAsia="zh-TW"/>
        </w:rPr>
        <w:t>代表人或经其正式授权的代表签字</w:t>
      </w:r>
      <w:r>
        <w:rPr>
          <w:rFonts w:hint="eastAsia" w:ascii="宋体" w:hAnsi="宋体" w:eastAsia="宋体" w:cs="宋体"/>
          <w:color w:val="auto"/>
          <w:sz w:val="21"/>
          <w:szCs w:val="21"/>
          <w:highlight w:val="none"/>
        </w:rPr>
        <w:t>或印盖本人姓名章，</w:t>
      </w:r>
      <w:r>
        <w:rPr>
          <w:rFonts w:hint="eastAsia" w:ascii="宋体" w:hAnsi="宋体" w:eastAsia="宋体" w:cs="宋体"/>
          <w:b/>
          <w:bCs/>
          <w:color w:val="auto"/>
          <w:sz w:val="21"/>
          <w:szCs w:val="21"/>
          <w:highlight w:val="none"/>
          <w:u w:val="double"/>
          <w:lang w:eastAsia="zh-CN"/>
        </w:rPr>
        <w:t>投标文件</w:t>
      </w:r>
      <w:r>
        <w:rPr>
          <w:rFonts w:hint="eastAsia" w:ascii="宋体" w:hAnsi="宋体" w:eastAsia="宋体" w:cs="宋体"/>
          <w:b/>
          <w:bCs/>
          <w:color w:val="auto"/>
          <w:sz w:val="21"/>
          <w:szCs w:val="21"/>
          <w:highlight w:val="none"/>
          <w:u w:val="double"/>
          <w:lang w:val="en-US" w:eastAsia="zh-CN"/>
        </w:rPr>
        <w:t>正本均须在封面及每一页</w:t>
      </w:r>
      <w:r>
        <w:rPr>
          <w:rFonts w:hint="eastAsia" w:ascii="宋体" w:hAnsi="宋体" w:eastAsia="宋体" w:cs="宋体"/>
          <w:b/>
          <w:bCs/>
          <w:color w:val="auto"/>
          <w:sz w:val="21"/>
          <w:szCs w:val="21"/>
          <w:highlight w:val="none"/>
          <w:u w:val="double"/>
        </w:rPr>
        <w:t>加盖投标人公章</w:t>
      </w:r>
      <w:r>
        <w:rPr>
          <w:rFonts w:hint="eastAsia" w:ascii="宋体" w:hAnsi="宋体" w:eastAsia="宋体" w:cs="宋体"/>
          <w:color w:val="auto"/>
          <w:sz w:val="21"/>
          <w:szCs w:val="21"/>
          <w:highlight w:val="none"/>
        </w:rPr>
        <w:t>，副本可以复印，与正本具有同等法律效力</w:t>
      </w:r>
      <w:r>
        <w:rPr>
          <w:rFonts w:hint="eastAsia" w:ascii="宋体" w:hAnsi="宋体" w:eastAsia="宋体" w:cs="宋体"/>
          <w:color w:val="auto"/>
          <w:sz w:val="21"/>
          <w:szCs w:val="21"/>
          <w:highlight w:val="none"/>
          <w:lang w:eastAsia="zh-TW"/>
        </w:rPr>
        <w:t>。授权代表须将以书面形式出具的《法定代表人授权</w:t>
      </w:r>
      <w:r>
        <w:rPr>
          <w:rFonts w:hint="eastAsia" w:ascii="宋体" w:hAnsi="宋体" w:eastAsia="宋体" w:cs="宋体"/>
          <w:color w:val="auto"/>
          <w:sz w:val="21"/>
          <w:szCs w:val="21"/>
          <w:highlight w:val="none"/>
        </w:rPr>
        <w:t>委托</w:t>
      </w:r>
      <w:r>
        <w:rPr>
          <w:rFonts w:hint="eastAsia" w:ascii="宋体" w:hAnsi="宋体" w:eastAsia="宋体" w:cs="宋体"/>
          <w:color w:val="auto"/>
          <w:sz w:val="21"/>
          <w:szCs w:val="21"/>
          <w:highlight w:val="none"/>
          <w:lang w:eastAsia="zh-TW"/>
        </w:rPr>
        <w:t>书》附在</w:t>
      </w:r>
      <w:r>
        <w:rPr>
          <w:rFonts w:hint="eastAsia" w:ascii="宋体" w:hAnsi="宋体" w:eastAsia="宋体" w:cs="宋体"/>
          <w:color w:val="auto"/>
          <w:sz w:val="21"/>
          <w:szCs w:val="21"/>
          <w:highlight w:val="none"/>
        </w:rPr>
        <w:t>投</w:t>
      </w:r>
      <w:r>
        <w:rPr>
          <w:rFonts w:hint="eastAsia" w:ascii="宋体" w:hAnsi="宋体" w:eastAsia="宋体" w:cs="宋体"/>
          <w:color w:val="auto"/>
          <w:sz w:val="21"/>
          <w:szCs w:val="21"/>
          <w:highlight w:val="none"/>
          <w:lang w:eastAsia="zh-TW"/>
        </w:rPr>
        <w:t>标文件中。</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投标文件中的任何重要的插字、涂改和增删，必须由法定代表人或经其正式授权的代表在旁边签章或签字才有效。</w:t>
      </w:r>
    </w:p>
    <w:p>
      <w:pPr>
        <w:snapToGrid w:val="0"/>
        <w:spacing w:line="360" w:lineRule="auto"/>
        <w:ind w:left="372" w:hanging="371" w:hangingChars="177"/>
        <w:jc w:val="both"/>
        <w:rPr>
          <w:rFonts w:hint="eastAsia" w:ascii="宋体" w:hAnsi="宋体" w:eastAsia="宋体" w:cs="宋体"/>
          <w:color w:val="auto"/>
          <w:sz w:val="21"/>
          <w:szCs w:val="21"/>
          <w:highlight w:val="none"/>
        </w:rPr>
      </w:pPr>
    </w:p>
    <w:p>
      <w:pPr>
        <w:numPr>
          <w:ilvl w:val="0"/>
          <w:numId w:val="88"/>
        </w:numPr>
        <w:snapToGrid w:val="0"/>
        <w:spacing w:line="360" w:lineRule="auto"/>
        <w:ind w:left="0" w:leftChars="0" w:firstLine="420" w:firstLineChars="0"/>
        <w:jc w:val="center"/>
        <w:outlineLvl w:val="0"/>
        <w:rPr>
          <w:rFonts w:hint="eastAsia" w:ascii="宋体" w:hAnsi="宋体" w:eastAsia="宋体" w:cs="Times New Roman"/>
          <w:b/>
          <w:color w:val="auto"/>
          <w:sz w:val="28"/>
          <w:szCs w:val="28"/>
          <w:highlight w:val="none"/>
          <w:lang w:eastAsia="zh-TW"/>
        </w:rPr>
      </w:pPr>
      <w:bookmarkStart w:id="61" w:name="_Toc25944"/>
      <w:bookmarkStart w:id="62" w:name="_Toc356482724"/>
      <w:r>
        <w:rPr>
          <w:rFonts w:hint="eastAsia" w:ascii="宋体" w:hAnsi="宋体" w:eastAsia="宋体" w:cs="Times New Roman"/>
          <w:b/>
          <w:color w:val="auto"/>
          <w:sz w:val="28"/>
          <w:szCs w:val="28"/>
          <w:highlight w:val="none"/>
          <w:lang w:eastAsia="zh-TW"/>
        </w:rPr>
        <w:t>投标文件的递交</w:t>
      </w:r>
      <w:bookmarkEnd w:id="61"/>
      <w:bookmarkEnd w:id="62"/>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63" w:name="_Toc356482725"/>
      <w:bookmarkStart w:id="64" w:name="_Toc21943"/>
      <w:r>
        <w:rPr>
          <w:rFonts w:hint="eastAsia" w:ascii="宋体" w:hAnsi="宋体" w:eastAsia="宋体" w:cs="宋体"/>
          <w:b/>
          <w:bCs/>
          <w:color w:val="auto"/>
          <w:sz w:val="21"/>
          <w:szCs w:val="21"/>
          <w:highlight w:val="none"/>
        </w:rPr>
        <w:t>投标文件的密封和标记</w:t>
      </w:r>
      <w:bookmarkEnd w:id="63"/>
      <w:bookmarkEnd w:id="64"/>
    </w:p>
    <w:p>
      <w:pPr>
        <w:numPr>
          <w:ilvl w:val="1"/>
          <w:numId w:val="89"/>
        </w:numPr>
        <w:snapToGrid w:val="0"/>
        <w:spacing w:line="420" w:lineRule="auto"/>
        <w:jc w:val="both"/>
        <w:rPr>
          <w:rFonts w:hint="eastAsia" w:ascii="宋体" w:hAnsi="宋体" w:eastAsia="宋体" w:cs="宋体"/>
          <w:b/>
          <w:bCs/>
          <w:dstrike/>
          <w:color w:val="auto"/>
          <w:sz w:val="21"/>
          <w:szCs w:val="21"/>
          <w:highlight w:val="none"/>
        </w:rPr>
      </w:pPr>
      <w:r>
        <w:rPr>
          <w:rFonts w:hint="eastAsia" w:ascii="宋体" w:hAnsi="宋体" w:eastAsia="宋体" w:cs="宋体"/>
          <w:color w:val="auto"/>
          <w:sz w:val="21"/>
          <w:szCs w:val="21"/>
          <w:highlight w:val="none"/>
          <w:lang w:eastAsia="zh-TW"/>
        </w:rPr>
        <w:t>为方便开标唱标</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投标人应将开标</w:t>
      </w:r>
      <w:r>
        <w:rPr>
          <w:rFonts w:hint="eastAsia" w:ascii="宋体" w:hAnsi="宋体" w:eastAsia="宋体" w:cs="宋体"/>
          <w:color w:val="auto"/>
          <w:sz w:val="21"/>
          <w:szCs w:val="21"/>
          <w:highlight w:val="none"/>
          <w:lang w:eastAsia="zh-CN"/>
        </w:rPr>
        <w:t>记录</w:t>
      </w:r>
      <w:r>
        <w:rPr>
          <w:rFonts w:hint="eastAsia" w:ascii="宋体" w:hAnsi="宋体" w:eastAsia="宋体" w:cs="宋体"/>
          <w:color w:val="auto"/>
          <w:sz w:val="21"/>
          <w:szCs w:val="21"/>
          <w:highlight w:val="none"/>
          <w:lang w:eastAsia="zh-TW"/>
        </w:rPr>
        <w:t>表(报价表)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投标保证金</w:t>
      </w:r>
      <w:r>
        <w:rPr>
          <w:rFonts w:hint="eastAsia" w:ascii="宋体" w:hAnsi="宋体" w:eastAsia="宋体" w:cs="宋体"/>
          <w:color w:val="auto"/>
          <w:sz w:val="21"/>
          <w:szCs w:val="21"/>
          <w:highlight w:val="none"/>
        </w:rPr>
        <w:t>缴付凭证、电子文件和退投标保证金说明函一起</w:t>
      </w:r>
      <w:r>
        <w:rPr>
          <w:rFonts w:hint="eastAsia" w:ascii="宋体" w:hAnsi="宋体" w:eastAsia="宋体" w:cs="宋体"/>
          <w:color w:val="auto"/>
          <w:sz w:val="21"/>
          <w:szCs w:val="21"/>
          <w:highlight w:val="none"/>
          <w:lang w:eastAsia="zh-TW"/>
        </w:rPr>
        <w:t>密封提交</w:t>
      </w:r>
      <w:r>
        <w:rPr>
          <w:rFonts w:hint="eastAsia" w:ascii="宋体" w:hAnsi="宋体" w:eastAsia="宋体" w:cs="宋体"/>
          <w:color w:val="auto"/>
          <w:sz w:val="21"/>
          <w:szCs w:val="21"/>
          <w:highlight w:val="none"/>
        </w:rPr>
        <w:t>，并在信封上标明“开标信封”的</w:t>
      </w:r>
      <w:r>
        <w:rPr>
          <w:rFonts w:hint="eastAsia" w:ascii="宋体" w:hAnsi="宋体" w:eastAsia="宋体" w:cs="宋体"/>
          <w:color w:val="auto"/>
          <w:sz w:val="21"/>
          <w:szCs w:val="21"/>
          <w:highlight w:val="none"/>
          <w:lang w:eastAsia="zh-TW"/>
        </w:rPr>
        <w:t>字样。投标人应将投标文件正本和所有的副本分开密封装在单独的信封中</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且在信封</w:t>
      </w:r>
      <w:r>
        <w:rPr>
          <w:rFonts w:hint="eastAsia" w:ascii="宋体" w:hAnsi="宋体" w:eastAsia="宋体" w:cs="宋体"/>
          <w:color w:val="auto"/>
          <w:sz w:val="21"/>
          <w:szCs w:val="21"/>
          <w:highlight w:val="none"/>
        </w:rPr>
        <w:t>上</w:t>
      </w:r>
      <w:r>
        <w:rPr>
          <w:rFonts w:hint="eastAsia" w:ascii="宋体" w:hAnsi="宋体" w:eastAsia="宋体" w:cs="宋体"/>
          <w:color w:val="auto"/>
          <w:sz w:val="21"/>
          <w:szCs w:val="21"/>
          <w:highlight w:val="none"/>
          <w:lang w:eastAsia="zh-TW"/>
        </w:rPr>
        <w:t>标明</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正本</w:t>
      </w:r>
      <w:r>
        <w:rPr>
          <w:rFonts w:hint="eastAsia" w:ascii="宋体" w:hAnsi="宋体" w:eastAsia="宋体" w:cs="宋体"/>
          <w:color w:val="auto"/>
          <w:sz w:val="21"/>
          <w:szCs w:val="21"/>
          <w:highlight w:val="none"/>
        </w:rPr>
        <w:t>”“副</w:t>
      </w:r>
      <w:r>
        <w:rPr>
          <w:rFonts w:hint="eastAsia" w:ascii="宋体" w:hAnsi="宋体" w:eastAsia="宋体" w:cs="宋体"/>
          <w:color w:val="auto"/>
          <w:sz w:val="21"/>
          <w:szCs w:val="21"/>
          <w:highlight w:val="none"/>
          <w:lang w:eastAsia="zh-TW"/>
        </w:rPr>
        <w:t>本</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字样。</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投标文件封装：</w:t>
      </w:r>
    </w:p>
    <w:p>
      <w:pPr>
        <w:numPr>
          <w:ilvl w:val="2"/>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清楚标明递交至</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中指明的地址</w:t>
      </w:r>
      <w:r>
        <w:rPr>
          <w:rFonts w:hint="eastAsia" w:ascii="宋体" w:hAnsi="宋体" w:eastAsia="宋体" w:cs="宋体"/>
          <w:color w:val="auto"/>
          <w:sz w:val="21"/>
          <w:szCs w:val="21"/>
          <w:highlight w:val="none"/>
        </w:rPr>
        <w:t>及写明投标人名称和地址</w:t>
      </w:r>
      <w:r>
        <w:rPr>
          <w:rFonts w:hint="eastAsia" w:ascii="宋体" w:hAnsi="宋体" w:eastAsia="宋体" w:cs="宋体"/>
          <w:color w:val="auto"/>
          <w:sz w:val="21"/>
          <w:szCs w:val="21"/>
          <w:highlight w:val="none"/>
          <w:lang w:eastAsia="zh-TW"/>
        </w:rPr>
        <w:t>。</w:t>
      </w:r>
    </w:p>
    <w:p>
      <w:pPr>
        <w:numPr>
          <w:ilvl w:val="2"/>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注明投标邀请中指明的项目名称、</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TW"/>
        </w:rPr>
        <w:t>编号、包组号（如有）和</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在</w:t>
      </w:r>
      <w:r>
        <w:rPr>
          <w:rFonts w:hint="eastAsia" w:ascii="宋体" w:hAnsi="宋体" w:eastAsia="宋体" w:cs="宋体"/>
          <w:color w:val="auto"/>
          <w:sz w:val="21"/>
          <w:szCs w:val="21"/>
          <w:highlight w:val="none"/>
        </w:rPr>
        <w:t>(招标文件中规定的开标日期和时间)之前不得启封”的</w:t>
      </w:r>
      <w:r>
        <w:rPr>
          <w:rFonts w:hint="eastAsia" w:ascii="宋体" w:hAnsi="宋体" w:eastAsia="宋体" w:cs="宋体"/>
          <w:color w:val="auto"/>
          <w:sz w:val="21"/>
          <w:szCs w:val="21"/>
          <w:highlight w:val="none"/>
          <w:lang w:eastAsia="zh-TW"/>
        </w:rPr>
        <w:t>字样。</w:t>
      </w:r>
    </w:p>
    <w:p>
      <w:pPr>
        <w:numPr>
          <w:ilvl w:val="1"/>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如果未按本须知</w:t>
      </w:r>
      <w:r>
        <w:rPr>
          <w:rFonts w:hint="eastAsia" w:ascii="宋体" w:hAnsi="宋体" w:eastAsia="宋体" w:cs="宋体"/>
          <w:color w:val="auto"/>
          <w:sz w:val="21"/>
          <w:szCs w:val="21"/>
          <w:highlight w:val="none"/>
        </w:rPr>
        <w:t>上款</w:t>
      </w:r>
      <w:r>
        <w:rPr>
          <w:rFonts w:hint="eastAsia" w:ascii="宋体" w:hAnsi="宋体" w:eastAsia="宋体" w:cs="宋体"/>
          <w:color w:val="auto"/>
          <w:sz w:val="21"/>
          <w:szCs w:val="21"/>
          <w:highlight w:val="none"/>
          <w:lang w:eastAsia="zh-TW"/>
        </w:rPr>
        <w:t>要求加写标记和</w:t>
      </w:r>
      <w:r>
        <w:rPr>
          <w:rFonts w:hint="eastAsia" w:ascii="宋体" w:hAnsi="宋体" w:eastAsia="宋体" w:cs="宋体"/>
          <w:color w:val="auto"/>
          <w:sz w:val="21"/>
          <w:szCs w:val="21"/>
          <w:highlight w:val="none"/>
        </w:rPr>
        <w:t>密封，</w:t>
      </w:r>
      <w:r>
        <w:rPr>
          <w:rFonts w:hint="eastAsia" w:ascii="宋体" w:hAnsi="宋体" w:eastAsia="宋体" w:cs="宋体"/>
          <w:color w:val="auto"/>
          <w:sz w:val="21"/>
          <w:szCs w:val="21"/>
          <w:highlight w:val="none"/>
          <w:lang w:eastAsia="zh-TW"/>
        </w:rPr>
        <w:t>招标代理机构对误投或提前启封概不负责</w:t>
      </w:r>
      <w:r>
        <w:rPr>
          <w:rFonts w:hint="eastAsia" w:ascii="宋体" w:hAnsi="宋体" w:eastAsia="宋体" w:cs="宋体"/>
          <w:color w:val="auto"/>
          <w:sz w:val="21"/>
          <w:szCs w:val="21"/>
          <w:highlight w:val="none"/>
        </w:rPr>
        <w:t>。</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65" w:name="_Toc15144"/>
      <w:bookmarkStart w:id="66" w:name="_Toc356482726"/>
      <w:r>
        <w:rPr>
          <w:rFonts w:hint="eastAsia" w:ascii="宋体" w:hAnsi="宋体" w:eastAsia="宋体" w:cs="宋体"/>
          <w:b/>
          <w:bCs/>
          <w:color w:val="auto"/>
          <w:sz w:val="21"/>
          <w:szCs w:val="21"/>
          <w:highlight w:val="none"/>
        </w:rPr>
        <w:t>投标截止期</w:t>
      </w:r>
      <w:bookmarkEnd w:id="65"/>
      <w:bookmarkEnd w:id="66"/>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投标人应在不迟于</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lang w:eastAsia="zh-TW"/>
        </w:rPr>
        <w:t>中规定的截止日期和时间将投标文件递交至招标代理机构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递交地点应是</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中指明的地址。</w:t>
      </w:r>
    </w:p>
    <w:p>
      <w:pPr>
        <w:numPr>
          <w:ilvl w:val="1"/>
          <w:numId w:val="89"/>
        </w:numPr>
        <w:snapToGrid w:val="0"/>
        <w:spacing w:line="360" w:lineRule="auto"/>
        <w:jc w:val="both"/>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为使投标人准备投标时有充分时间对招标文件的修改部分进行研究，招标采购单位可适当推迟投标截止期，但应发布公告并书面通知所有购买招标文件的潜在投标人。在此情况下</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招标采购单位和投标人受投标截止期制约的所有权利和义务均应延长至新的截止期。</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招标代理机构将拒绝并原封退回在规定的</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TW"/>
        </w:rPr>
        <w:t>截止期后收到的任何投标文件。</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67" w:name="_Toc356482727"/>
      <w:bookmarkStart w:id="68" w:name="_Toc5976"/>
      <w:r>
        <w:rPr>
          <w:rFonts w:hint="eastAsia" w:ascii="宋体" w:hAnsi="宋体" w:eastAsia="宋体" w:cs="宋体"/>
          <w:b/>
          <w:bCs/>
          <w:color w:val="auto"/>
          <w:sz w:val="21"/>
          <w:szCs w:val="21"/>
          <w:highlight w:val="none"/>
        </w:rPr>
        <w:t>投标文件的修改和撤回</w:t>
      </w:r>
      <w:bookmarkEnd w:id="67"/>
      <w:bookmarkEnd w:id="68"/>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投标人在投标截止时间前，可以对所递交的投标文件进行补充、修改或者撤回，并书面通知招标采购单位。补充、修改的内容应当按招标文件要求签署、盖章，并作为投标文件的组成部分。在投标截止时间之后，投标人不得对其投标文件做任何修改和补充。</w:t>
      </w:r>
    </w:p>
    <w:p>
      <w:pPr>
        <w:snapToGrid w:val="0"/>
        <w:spacing w:line="360" w:lineRule="auto"/>
        <w:jc w:val="center"/>
        <w:outlineLvl w:val="0"/>
        <w:rPr>
          <w:rFonts w:hint="eastAsia" w:ascii="宋体" w:hAnsi="宋体" w:eastAsia="宋体" w:cs="宋体"/>
          <w:color w:val="auto"/>
          <w:sz w:val="21"/>
          <w:szCs w:val="21"/>
          <w:highlight w:val="none"/>
          <w:lang w:eastAsia="zh-TW"/>
        </w:rPr>
      </w:pPr>
    </w:p>
    <w:p>
      <w:pPr>
        <w:numPr>
          <w:ilvl w:val="0"/>
          <w:numId w:val="88"/>
        </w:numPr>
        <w:snapToGrid w:val="0"/>
        <w:spacing w:line="360" w:lineRule="auto"/>
        <w:ind w:left="0" w:leftChars="0" w:firstLine="420" w:firstLineChars="0"/>
        <w:jc w:val="center"/>
        <w:outlineLvl w:val="0"/>
        <w:rPr>
          <w:rFonts w:hint="eastAsia" w:ascii="宋体" w:hAnsi="宋体" w:eastAsia="宋体" w:cs="Times New Roman"/>
          <w:b/>
          <w:color w:val="auto"/>
          <w:sz w:val="28"/>
          <w:szCs w:val="28"/>
          <w:highlight w:val="none"/>
          <w:lang w:eastAsia="zh-TW"/>
        </w:rPr>
      </w:pPr>
      <w:bookmarkStart w:id="69" w:name="_Toc356482728"/>
      <w:bookmarkStart w:id="70" w:name="_Toc3242"/>
      <w:r>
        <w:rPr>
          <w:rFonts w:hint="eastAsia" w:ascii="宋体" w:hAnsi="宋体" w:eastAsia="宋体" w:cs="Times New Roman"/>
          <w:b/>
          <w:color w:val="auto"/>
          <w:sz w:val="28"/>
          <w:szCs w:val="28"/>
          <w:highlight w:val="none"/>
          <w:lang w:eastAsia="zh-TW"/>
        </w:rPr>
        <w:t>开标与评标</w:t>
      </w:r>
      <w:bookmarkEnd w:id="69"/>
      <w:bookmarkEnd w:id="70"/>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71" w:name="_Toc16580"/>
      <w:bookmarkStart w:id="72" w:name="_Toc356482729"/>
      <w:r>
        <w:rPr>
          <w:rFonts w:hint="eastAsia" w:ascii="宋体" w:hAnsi="宋体" w:eastAsia="宋体" w:cs="宋体"/>
          <w:b/>
          <w:bCs/>
          <w:color w:val="auto"/>
          <w:sz w:val="21"/>
          <w:szCs w:val="21"/>
          <w:highlight w:val="none"/>
        </w:rPr>
        <w:t>开标</w:t>
      </w:r>
      <w:bookmarkEnd w:id="71"/>
      <w:bookmarkEnd w:id="72"/>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招标代理机构在投标邀请中规定的日期、时</w:t>
      </w:r>
      <w:r>
        <w:rPr>
          <w:rFonts w:hint="eastAsia" w:ascii="宋体" w:hAnsi="宋体" w:eastAsia="宋体" w:cs="宋体"/>
          <w:color w:val="auto"/>
          <w:sz w:val="21"/>
          <w:szCs w:val="21"/>
          <w:highlight w:val="none"/>
        </w:rPr>
        <w:t>间</w:t>
      </w:r>
      <w:r>
        <w:rPr>
          <w:rFonts w:hint="eastAsia" w:ascii="宋体" w:hAnsi="宋体" w:eastAsia="宋体" w:cs="宋体"/>
          <w:color w:val="auto"/>
          <w:sz w:val="21"/>
          <w:szCs w:val="21"/>
          <w:highlight w:val="none"/>
          <w:lang w:eastAsia="zh-TW"/>
        </w:rPr>
        <w:t>和地点组织公开开标。开标时邀请所有投标人代表参加。参加开标的代表应签名报到以证明其出席。</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开标时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由按签到顺序递交投标文件的前三名投标人代表作为全体投标人推选的代表</w:t>
      </w:r>
      <w:r>
        <w:rPr>
          <w:rFonts w:hint="eastAsia" w:ascii="宋体" w:hAnsi="宋体" w:eastAsia="宋体" w:cs="宋体"/>
          <w:color w:val="auto"/>
          <w:sz w:val="21"/>
          <w:szCs w:val="21"/>
          <w:highlight w:val="none"/>
        </w:rPr>
        <w:t>就所有</w:t>
      </w:r>
      <w:r>
        <w:rPr>
          <w:rFonts w:hint="eastAsia" w:ascii="宋体" w:hAnsi="宋体" w:eastAsia="宋体" w:cs="宋体"/>
          <w:color w:val="auto"/>
          <w:sz w:val="21"/>
          <w:szCs w:val="21"/>
          <w:highlight w:val="none"/>
          <w:lang w:eastAsia="zh-TW"/>
        </w:rPr>
        <w:t>投标文件的密封情况</w:t>
      </w:r>
      <w:r>
        <w:rPr>
          <w:rFonts w:hint="eastAsia" w:ascii="宋体" w:hAnsi="宋体" w:eastAsia="宋体" w:cs="宋体"/>
          <w:color w:val="auto"/>
          <w:sz w:val="21"/>
          <w:szCs w:val="21"/>
          <w:highlight w:val="none"/>
        </w:rPr>
        <w:t>进行检查，</w:t>
      </w:r>
      <w:r>
        <w:rPr>
          <w:rFonts w:hint="eastAsia" w:ascii="宋体" w:hAnsi="宋体" w:eastAsia="宋体" w:cs="宋体"/>
          <w:color w:val="auto"/>
          <w:sz w:val="21"/>
          <w:szCs w:val="21"/>
          <w:highlight w:val="none"/>
          <w:lang w:eastAsia="zh-TW"/>
        </w:rPr>
        <w:t>也可以由</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eastAsia="zh-TW"/>
        </w:rPr>
        <w:t>采购</w:t>
      </w:r>
      <w:r>
        <w:rPr>
          <w:rFonts w:hint="eastAsia" w:ascii="宋体" w:hAnsi="宋体" w:eastAsia="宋体" w:cs="宋体"/>
          <w:color w:val="auto"/>
          <w:sz w:val="21"/>
          <w:szCs w:val="21"/>
          <w:highlight w:val="none"/>
        </w:rPr>
        <w:t>单位</w:t>
      </w:r>
      <w:r>
        <w:rPr>
          <w:rFonts w:hint="eastAsia" w:ascii="宋体" w:hAnsi="宋体" w:eastAsia="宋体" w:cs="宋体"/>
          <w:color w:val="auto"/>
          <w:sz w:val="21"/>
          <w:szCs w:val="21"/>
          <w:highlight w:val="none"/>
          <w:lang w:eastAsia="zh-TW"/>
        </w:rPr>
        <w:t>委托的机构检查并见证，经确认无误后由招标工作人员当众拆封，宣读投标人名称、投标价格、价格折扣、投标文件的其他主要内容和招标文件允许提供的备选投标方案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以及招标代理机构认为合适的其他内容。</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在开标时</w:t>
      </w:r>
      <w:r>
        <w:rPr>
          <w:rFonts w:hint="eastAsia" w:ascii="宋体" w:hAnsi="宋体" w:eastAsia="宋体" w:cs="宋体"/>
          <w:color w:val="auto"/>
          <w:sz w:val="21"/>
          <w:szCs w:val="21"/>
          <w:highlight w:val="none"/>
        </w:rPr>
        <w:t>，未宣读的投标价格、价格折扣和招标文件允许提供的备选投标方案等实质内容，</w:t>
      </w:r>
      <w:r>
        <w:rPr>
          <w:rFonts w:hint="eastAsia" w:ascii="宋体" w:hAnsi="宋体" w:eastAsia="宋体" w:cs="宋体"/>
          <w:color w:val="auto"/>
          <w:sz w:val="21"/>
          <w:szCs w:val="21"/>
          <w:highlight w:val="none"/>
          <w:lang w:eastAsia="zh-TW"/>
        </w:rPr>
        <w:t>评标时不予</w:t>
      </w:r>
      <w:r>
        <w:rPr>
          <w:rFonts w:hint="eastAsia" w:ascii="宋体" w:hAnsi="宋体" w:eastAsia="宋体" w:cs="宋体"/>
          <w:color w:val="auto"/>
          <w:sz w:val="21"/>
          <w:szCs w:val="21"/>
          <w:highlight w:val="none"/>
        </w:rPr>
        <w:t>承认</w:t>
      </w:r>
      <w:r>
        <w:rPr>
          <w:rFonts w:hint="eastAsia" w:ascii="宋体" w:hAnsi="宋体" w:eastAsia="宋体" w:cs="宋体"/>
          <w:color w:val="auto"/>
          <w:sz w:val="21"/>
          <w:szCs w:val="21"/>
          <w:highlight w:val="none"/>
          <w:lang w:eastAsia="zh-TW"/>
        </w:rPr>
        <w:t>。</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招标代理机构将做开标记录</w:t>
      </w:r>
      <w:r>
        <w:rPr>
          <w:rFonts w:hint="eastAsia" w:ascii="宋体" w:hAnsi="宋体" w:eastAsia="宋体" w:cs="宋体"/>
          <w:color w:val="auto"/>
          <w:sz w:val="21"/>
          <w:szCs w:val="21"/>
          <w:highlight w:val="none"/>
        </w:rPr>
        <w:t>，开标记录由</w:t>
      </w:r>
      <w:r>
        <w:rPr>
          <w:rFonts w:hint="eastAsia" w:ascii="宋体" w:hAnsi="宋体" w:eastAsia="宋体" w:cs="宋体"/>
          <w:color w:val="auto"/>
          <w:sz w:val="21"/>
          <w:szCs w:val="21"/>
          <w:highlight w:val="none"/>
          <w:lang w:eastAsia="zh-TW"/>
        </w:rPr>
        <w:t>投标人代表和有关人员共同</w:t>
      </w:r>
      <w:r>
        <w:rPr>
          <w:rFonts w:hint="eastAsia" w:ascii="宋体" w:hAnsi="宋体" w:eastAsia="宋体" w:cs="宋体"/>
          <w:color w:val="auto"/>
          <w:sz w:val="21"/>
          <w:szCs w:val="21"/>
          <w:highlight w:val="none"/>
        </w:rPr>
        <w:t>签字确认</w:t>
      </w:r>
      <w:r>
        <w:rPr>
          <w:rFonts w:hint="eastAsia" w:ascii="宋体" w:hAnsi="宋体" w:eastAsia="宋体" w:cs="宋体"/>
          <w:color w:val="auto"/>
          <w:sz w:val="21"/>
          <w:szCs w:val="21"/>
          <w:highlight w:val="none"/>
          <w:lang w:eastAsia="zh-TW"/>
        </w:rPr>
        <w:t>。</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73" w:name="_Toc356482730"/>
      <w:bookmarkStart w:id="74" w:name="_Toc4924"/>
      <w:r>
        <w:rPr>
          <w:rFonts w:hint="eastAsia" w:ascii="宋体" w:hAnsi="宋体" w:eastAsia="宋体" w:cs="宋体"/>
          <w:b/>
          <w:bCs/>
          <w:color w:val="auto"/>
          <w:sz w:val="21"/>
          <w:szCs w:val="21"/>
          <w:highlight w:val="none"/>
        </w:rPr>
        <w:t>评标委员会和评标方法</w:t>
      </w:r>
      <w:bookmarkEnd w:id="73"/>
      <w:bookmarkEnd w:id="74"/>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评标由依照</w:t>
      </w:r>
      <w:r>
        <w:rPr>
          <w:rFonts w:hint="eastAsia" w:ascii="宋体" w:hAnsi="宋体" w:eastAsia="宋体" w:cs="宋体"/>
          <w:color w:val="auto"/>
          <w:sz w:val="21"/>
          <w:szCs w:val="21"/>
          <w:highlight w:val="none"/>
        </w:rPr>
        <w:t>招标投标</w:t>
      </w:r>
      <w:r>
        <w:rPr>
          <w:rFonts w:hint="eastAsia" w:ascii="宋体" w:hAnsi="宋体" w:eastAsia="宋体" w:cs="宋体"/>
          <w:color w:val="auto"/>
          <w:sz w:val="21"/>
          <w:szCs w:val="21"/>
          <w:highlight w:val="none"/>
          <w:lang w:eastAsia="zh-TW"/>
        </w:rPr>
        <w:t>法律、法规、规章、政策的规定，组建的评标委员会负责。评标委员会成员按</w:t>
      </w:r>
      <w:r>
        <w:rPr>
          <w:rFonts w:hint="eastAsia" w:ascii="宋体" w:hAnsi="宋体" w:eastAsia="宋体" w:cs="宋体"/>
          <w:color w:val="auto"/>
          <w:sz w:val="21"/>
          <w:szCs w:val="21"/>
          <w:highlight w:val="none"/>
        </w:rPr>
        <w:t>招标投标</w:t>
      </w:r>
      <w:r>
        <w:rPr>
          <w:rFonts w:hint="eastAsia" w:ascii="宋体" w:hAnsi="宋体" w:eastAsia="宋体" w:cs="宋体"/>
          <w:color w:val="auto"/>
          <w:sz w:val="21"/>
          <w:szCs w:val="21"/>
          <w:highlight w:val="none"/>
          <w:lang w:eastAsia="zh-TW"/>
        </w:rPr>
        <w:t>规定由</w:t>
      </w: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eastAsia="zh-TW"/>
        </w:rPr>
        <w:t>人代表和</w:t>
      </w:r>
      <w:r>
        <w:rPr>
          <w:rFonts w:hint="eastAsia" w:ascii="宋体" w:hAnsi="宋体" w:eastAsia="宋体" w:cs="宋体"/>
          <w:color w:val="auto"/>
          <w:sz w:val="21"/>
          <w:szCs w:val="21"/>
          <w:highlight w:val="none"/>
        </w:rPr>
        <w:t>有关</w:t>
      </w:r>
      <w:r>
        <w:rPr>
          <w:rFonts w:hint="eastAsia" w:ascii="宋体" w:hAnsi="宋体" w:eastAsia="宋体" w:cs="宋体"/>
          <w:color w:val="auto"/>
          <w:sz w:val="21"/>
          <w:szCs w:val="21"/>
          <w:highlight w:val="none"/>
          <w:lang w:eastAsia="zh-TW"/>
        </w:rPr>
        <w:t>技术、经济等方面的专家组成，招标人代表人数、专家人数构成将按照</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中确定。评标委员会成员依法从专家库中随机抽取。</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评标委员会名单在</w:t>
      </w:r>
      <w:r>
        <w:rPr>
          <w:rFonts w:hint="eastAsia" w:ascii="宋体" w:hAnsi="宋体" w:eastAsia="宋体" w:cs="宋体"/>
          <w:color w:val="auto"/>
          <w:sz w:val="21"/>
          <w:szCs w:val="21"/>
          <w:highlight w:val="none"/>
        </w:rPr>
        <w:t>评审</w:t>
      </w:r>
      <w:r>
        <w:rPr>
          <w:rFonts w:hint="eastAsia" w:ascii="宋体" w:hAnsi="宋体" w:eastAsia="宋体" w:cs="宋体"/>
          <w:color w:val="auto"/>
          <w:sz w:val="21"/>
          <w:szCs w:val="21"/>
          <w:highlight w:val="none"/>
          <w:lang w:eastAsia="zh-TW"/>
        </w:rPr>
        <w:t>结果确定前严格保密。评审专家（不含招标人代表）有下列情形之一的，受到邀请应主动提出回避，采购当事人也可以要求该评审专家回避：</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三年内曾在参加该采购项目供应商中任职或担任顾问的；</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配偶或直系亲属在参加该采购项目的供应商中任职或担任顾问的；</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与参加该采购项目供应商发生过法律纠纷的；</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任职单位与招标人或参与该采购项目供应商存在行政隶属关系的；</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参与招标文件论证的；</w:t>
      </w:r>
    </w:p>
    <w:p>
      <w:pPr>
        <w:numPr>
          <w:ilvl w:val="2"/>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法律、法规、规章规定应当回避以及其他可能影响公正评审的。</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评标委员会和有关工作人员不得透露对投标文件的评审和比较以及与评标有关的其他情况。</w:t>
      </w:r>
    </w:p>
    <w:p>
      <w:pPr>
        <w:numPr>
          <w:ilvl w:val="1"/>
          <w:numId w:val="89"/>
        </w:numPr>
        <w:snapToGrid w:val="0"/>
        <w:spacing w:line="420" w:lineRule="auto"/>
        <w:jc w:val="both"/>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评标委员会将按照</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lang w:eastAsia="zh-TW"/>
        </w:rPr>
        <w:t>中确定的评标方法</w:t>
      </w:r>
      <w:r>
        <w:rPr>
          <w:rFonts w:hint="eastAsia" w:ascii="宋体" w:hAnsi="宋体" w:eastAsia="宋体" w:cs="宋体"/>
          <w:color w:val="auto"/>
          <w:sz w:val="21"/>
          <w:szCs w:val="21"/>
          <w:highlight w:val="none"/>
        </w:rPr>
        <w:t>和</w:t>
      </w:r>
      <w:r>
        <w:rPr>
          <w:rFonts w:hint="eastAsia" w:ascii="宋体" w:hAnsi="宋体" w:eastAsia="宋体" w:cs="宋体"/>
          <w:color w:val="auto"/>
          <w:sz w:val="21"/>
          <w:szCs w:val="21"/>
          <w:highlight w:val="none"/>
          <w:lang w:eastAsia="zh-TW"/>
        </w:rPr>
        <w:t>本招标文件第</w:t>
      </w:r>
      <w:r>
        <w:rPr>
          <w:rFonts w:hint="eastAsia" w:ascii="宋体" w:hAnsi="宋体" w:eastAsia="宋体" w:cs="宋体"/>
          <w:color w:val="auto"/>
          <w:sz w:val="21"/>
          <w:szCs w:val="21"/>
          <w:highlight w:val="none"/>
          <w:lang w:eastAsia="zh-CN"/>
        </w:rPr>
        <w:t>五</w:t>
      </w:r>
      <w:r>
        <w:rPr>
          <w:rFonts w:hint="eastAsia" w:ascii="宋体" w:hAnsi="宋体" w:eastAsia="宋体" w:cs="宋体"/>
          <w:color w:val="auto"/>
          <w:sz w:val="21"/>
          <w:szCs w:val="21"/>
          <w:highlight w:val="none"/>
          <w:lang w:eastAsia="zh-TW"/>
        </w:rPr>
        <w:t>章中规定</w:t>
      </w:r>
      <w:r>
        <w:rPr>
          <w:rFonts w:hint="eastAsia" w:ascii="宋体" w:hAnsi="宋体" w:eastAsia="宋体" w:cs="宋体"/>
          <w:color w:val="auto"/>
          <w:sz w:val="21"/>
          <w:szCs w:val="21"/>
          <w:highlight w:val="none"/>
        </w:rPr>
        <w:t>的评标</w:t>
      </w:r>
      <w:r>
        <w:rPr>
          <w:rFonts w:hint="eastAsia" w:ascii="宋体" w:hAnsi="宋体" w:eastAsia="宋体" w:cs="宋体"/>
          <w:color w:val="auto"/>
          <w:sz w:val="21"/>
          <w:szCs w:val="21"/>
          <w:highlight w:val="none"/>
          <w:lang w:eastAsia="zh-TW"/>
        </w:rPr>
        <w:t>标准进行评标。</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75" w:name="_Toc356482731"/>
      <w:bookmarkStart w:id="76" w:name="_Toc3761"/>
      <w:r>
        <w:rPr>
          <w:rFonts w:hint="eastAsia" w:ascii="宋体" w:hAnsi="宋体" w:eastAsia="宋体" w:cs="宋体"/>
          <w:b/>
          <w:bCs/>
          <w:color w:val="auto"/>
          <w:sz w:val="21"/>
          <w:szCs w:val="21"/>
          <w:highlight w:val="none"/>
        </w:rPr>
        <w:t>投标文件的初审</w:t>
      </w:r>
      <w:bookmarkEnd w:id="75"/>
      <w:bookmarkEnd w:id="76"/>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评标委员会将</w:t>
      </w:r>
      <w:r>
        <w:rPr>
          <w:rFonts w:hint="eastAsia" w:ascii="宋体" w:hAnsi="宋体" w:eastAsia="宋体" w:cs="宋体"/>
          <w:color w:val="auto"/>
          <w:sz w:val="21"/>
          <w:szCs w:val="21"/>
          <w:highlight w:val="none"/>
        </w:rPr>
        <w:t>依法</w:t>
      </w:r>
      <w:r>
        <w:rPr>
          <w:rFonts w:hint="eastAsia" w:ascii="宋体" w:hAnsi="宋体" w:eastAsia="宋体" w:cs="宋体"/>
          <w:color w:val="auto"/>
          <w:sz w:val="21"/>
          <w:szCs w:val="21"/>
          <w:highlight w:val="none"/>
          <w:lang w:eastAsia="zh-TW"/>
        </w:rPr>
        <w:t>审查投标文件是否完整、文件签署是否合格、是否按招标文件的规定密封和标记、投标人是否</w:t>
      </w:r>
      <w:r>
        <w:rPr>
          <w:rFonts w:hint="eastAsia" w:ascii="宋体" w:hAnsi="宋体" w:eastAsia="宋体" w:cs="宋体"/>
          <w:color w:val="auto"/>
          <w:sz w:val="21"/>
          <w:szCs w:val="21"/>
          <w:highlight w:val="none"/>
        </w:rPr>
        <w:t>缴纳</w:t>
      </w:r>
      <w:r>
        <w:rPr>
          <w:rFonts w:hint="eastAsia" w:ascii="宋体" w:hAnsi="宋体" w:eastAsia="宋体" w:cs="宋体"/>
          <w:color w:val="auto"/>
          <w:sz w:val="21"/>
          <w:szCs w:val="21"/>
          <w:highlight w:val="none"/>
          <w:lang w:eastAsia="zh-TW"/>
        </w:rPr>
        <w:t>了投标保证金、有无计算</w:t>
      </w:r>
      <w:r>
        <w:rPr>
          <w:rFonts w:hint="eastAsia" w:ascii="宋体" w:hAnsi="宋体" w:eastAsia="宋体" w:cs="宋体"/>
          <w:color w:val="auto"/>
          <w:sz w:val="21"/>
          <w:szCs w:val="21"/>
          <w:highlight w:val="none"/>
        </w:rPr>
        <w:t>上</w:t>
      </w:r>
      <w:r>
        <w:rPr>
          <w:rFonts w:hint="eastAsia" w:ascii="宋体" w:hAnsi="宋体" w:eastAsia="宋体" w:cs="宋体"/>
          <w:color w:val="auto"/>
          <w:sz w:val="21"/>
          <w:szCs w:val="21"/>
          <w:highlight w:val="none"/>
          <w:lang w:eastAsia="zh-TW"/>
        </w:rPr>
        <w:t>的错误等。</w:t>
      </w:r>
    </w:p>
    <w:p>
      <w:pPr>
        <w:numPr>
          <w:ilvl w:val="1"/>
          <w:numId w:val="89"/>
        </w:numPr>
        <w:snapToGrid w:val="0"/>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开标时，投标文件中开标一览表(报价表)内容与投标文件中明细表内容不一致的，以开标一览表(报价表)为准。投标文件中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r>
        <w:rPr>
          <w:rFonts w:hint="eastAsia" w:ascii="宋体" w:hAnsi="宋体" w:eastAsia="宋体" w:cs="宋体"/>
          <w:color w:val="auto"/>
          <w:sz w:val="21"/>
          <w:szCs w:val="21"/>
          <w:highlight w:val="none"/>
        </w:rPr>
        <w:t>。如果投标人不接受对其错误的更正，其投标将被视为无效投标或确定为投标无效。</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对于投标文件中不构成实质性偏差的不正规、不一致或不规则</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评标委员会可以接受</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但这种接受不能损害或影响任何投标人的相对排序。</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在详细评标之前</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评标委员会要审查每份投标文件是否实质上响应了招标文件的要求。实质上</w:t>
      </w:r>
      <w:r>
        <w:rPr>
          <w:rFonts w:hint="eastAsia" w:ascii="宋体" w:hAnsi="宋体" w:eastAsia="宋体" w:cs="宋体"/>
          <w:color w:val="auto"/>
          <w:sz w:val="21"/>
          <w:szCs w:val="21"/>
          <w:highlight w:val="none"/>
        </w:rPr>
        <w:t>响</w:t>
      </w:r>
      <w:r>
        <w:rPr>
          <w:rFonts w:hint="eastAsia" w:ascii="宋体" w:hAnsi="宋体" w:eastAsia="宋体" w:cs="宋体"/>
          <w:color w:val="auto"/>
          <w:sz w:val="21"/>
          <w:szCs w:val="21"/>
          <w:highlight w:val="none"/>
          <w:lang w:eastAsia="zh-TW"/>
        </w:rPr>
        <w:t>应的投标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TW"/>
        </w:rPr>
        <w:t>应该是与招标文件要求的关键条款</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条件和规格相符</w:t>
      </w:r>
      <w:r>
        <w:rPr>
          <w:rFonts w:hint="eastAsia" w:ascii="宋体" w:hAnsi="宋体" w:eastAsia="宋体" w:cs="宋体"/>
          <w:color w:val="auto"/>
          <w:sz w:val="21"/>
          <w:szCs w:val="21"/>
          <w:highlight w:val="none"/>
        </w:rPr>
        <w:t>或优于，</w:t>
      </w:r>
      <w:r>
        <w:rPr>
          <w:rFonts w:hint="eastAsia" w:ascii="宋体" w:hAnsi="宋体" w:eastAsia="宋体" w:cs="宋体"/>
          <w:color w:val="auto"/>
          <w:sz w:val="21"/>
          <w:szCs w:val="21"/>
          <w:highlight w:val="none"/>
          <w:lang w:eastAsia="zh-TW"/>
        </w:rPr>
        <w:t>没有</w:t>
      </w:r>
      <w:r>
        <w:rPr>
          <w:rFonts w:hint="eastAsia" w:ascii="宋体" w:hAnsi="宋体" w:eastAsia="宋体" w:cs="宋体"/>
          <w:color w:val="auto"/>
          <w:sz w:val="21"/>
          <w:szCs w:val="21"/>
          <w:highlight w:val="none"/>
        </w:rPr>
        <w:t>实质</w:t>
      </w:r>
      <w:r>
        <w:rPr>
          <w:rFonts w:hint="eastAsia" w:ascii="宋体" w:hAnsi="宋体" w:eastAsia="宋体" w:cs="宋体"/>
          <w:color w:val="auto"/>
          <w:sz w:val="21"/>
          <w:szCs w:val="21"/>
          <w:highlight w:val="none"/>
          <w:lang w:eastAsia="zh-TW"/>
        </w:rPr>
        <w:t>偏离的投标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TW"/>
        </w:rPr>
        <w:t>。评标委员会决定投标的响应性只根据投标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TW"/>
        </w:rPr>
        <w:t>本身的真实无误的内容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而不依据外部的证据</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但投标有不真实不正确的内容时除外。</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实质上没有响应招标文件要求的投标将</w:t>
      </w:r>
      <w:r>
        <w:rPr>
          <w:rFonts w:hint="eastAsia" w:ascii="宋体" w:hAnsi="宋体" w:eastAsia="宋体" w:cs="宋体"/>
          <w:color w:val="auto"/>
          <w:sz w:val="21"/>
          <w:szCs w:val="21"/>
          <w:highlight w:val="none"/>
        </w:rPr>
        <w:t>被视为无效投标</w:t>
      </w:r>
      <w:r>
        <w:rPr>
          <w:rFonts w:hint="eastAsia" w:ascii="宋体" w:hAnsi="宋体" w:eastAsia="宋体" w:cs="宋体"/>
          <w:color w:val="auto"/>
          <w:sz w:val="21"/>
          <w:szCs w:val="21"/>
          <w:highlight w:val="none"/>
          <w:lang w:eastAsia="zh-TW"/>
        </w:rPr>
        <w:t>。投标人不得通过修正或撤销不合要求的偏离或保留从而使其投标成为实质上响应的投标。</w:t>
      </w:r>
    </w:p>
    <w:p>
      <w:pPr>
        <w:numPr>
          <w:ilvl w:val="2"/>
          <w:numId w:val="89"/>
        </w:numPr>
        <w:tabs>
          <w:tab w:val="left" w:pos="756"/>
        </w:tabs>
        <w:snapToGrid w:val="0"/>
        <w:spacing w:line="360" w:lineRule="auto"/>
        <w:ind w:left="756" w:hanging="75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在资格性审查、符合性检查时，未能通过资格性、符合性审查被认定为无效投标，具体条款</w:t>
      </w:r>
      <w:r>
        <w:rPr>
          <w:rFonts w:hint="eastAsia" w:ascii="宋体" w:hAnsi="宋体" w:eastAsia="宋体" w:cs="宋体"/>
          <w:color w:val="auto"/>
          <w:sz w:val="21"/>
          <w:szCs w:val="21"/>
          <w:highlight w:val="none"/>
        </w:rPr>
        <w:t>详</w:t>
      </w:r>
      <w:r>
        <w:rPr>
          <w:rFonts w:hint="eastAsia" w:ascii="宋体" w:hAnsi="宋体" w:eastAsia="宋体" w:cs="宋体"/>
          <w:color w:val="auto"/>
          <w:sz w:val="21"/>
          <w:szCs w:val="21"/>
          <w:highlight w:val="none"/>
          <w:lang w:eastAsia="zh-TW"/>
        </w:rPr>
        <w:t>见招标文件第</w:t>
      </w:r>
      <w:r>
        <w:rPr>
          <w:rFonts w:hint="eastAsia" w:ascii="宋体" w:hAnsi="宋体" w:eastAsia="宋体" w:cs="宋体"/>
          <w:color w:val="auto"/>
          <w:sz w:val="21"/>
          <w:szCs w:val="21"/>
          <w:highlight w:val="none"/>
          <w:lang w:eastAsia="zh-CN"/>
        </w:rPr>
        <w:t>四章</w:t>
      </w:r>
      <w:r>
        <w:rPr>
          <w:rFonts w:hint="eastAsia" w:ascii="宋体" w:hAnsi="宋体" w:eastAsia="宋体" w:cs="宋体"/>
          <w:color w:val="auto"/>
          <w:sz w:val="21"/>
          <w:szCs w:val="21"/>
          <w:highlight w:val="none"/>
          <w:lang w:eastAsia="zh-TW"/>
        </w:rPr>
        <w:t>《资格、符合性评审条款》。</w:t>
      </w:r>
      <w:r>
        <w:rPr>
          <w:rFonts w:hint="eastAsia" w:ascii="宋体" w:hAnsi="宋体" w:eastAsia="宋体" w:cs="宋体"/>
          <w:color w:val="auto"/>
          <w:sz w:val="21"/>
          <w:szCs w:val="21"/>
          <w:highlight w:val="none"/>
        </w:rPr>
        <w:t xml:space="preserve">  </w:t>
      </w:r>
    </w:p>
    <w:p>
      <w:pPr>
        <w:numPr>
          <w:ilvl w:val="2"/>
          <w:numId w:val="89"/>
        </w:numPr>
        <w:tabs>
          <w:tab w:val="left" w:pos="756"/>
        </w:tabs>
        <w:snapToGrid w:val="0"/>
        <w:spacing w:line="360" w:lineRule="auto"/>
        <w:ind w:left="756" w:hanging="75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TW"/>
        </w:rPr>
        <w:t>评标委员会对各投标人进行资格性和符合性审查过程中，对初步被认定为初审不合格或无效投标者应实行及时告知</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由评标委员会主任或招标人代表将集体意见现场及时告知投标当事人，以让其核证、澄清事实。</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77" w:name="_Toc17958"/>
      <w:bookmarkStart w:id="78" w:name="_Toc356482732"/>
      <w:r>
        <w:rPr>
          <w:rFonts w:hint="eastAsia" w:ascii="宋体" w:hAnsi="宋体" w:eastAsia="宋体" w:cs="宋体"/>
          <w:b/>
          <w:bCs/>
          <w:color w:val="auto"/>
          <w:sz w:val="21"/>
          <w:szCs w:val="21"/>
          <w:highlight w:val="none"/>
        </w:rPr>
        <w:t>投标文件的澄清</w:t>
      </w:r>
      <w:bookmarkEnd w:id="77"/>
      <w:bookmarkEnd w:id="78"/>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评标期间，对投标文件中含义不明确、同类问题表述不一致或者有明显文字和计算错误的内容，评标委员会可以书面形式（应当由评标委员会专家签字）要求投标人作出必要的澄清、说明或者纠正，但</w:t>
      </w:r>
      <w:r>
        <w:rPr>
          <w:rFonts w:hint="eastAsia" w:ascii="宋体" w:hAnsi="宋体" w:eastAsia="宋体" w:cs="宋体"/>
          <w:color w:val="auto"/>
          <w:sz w:val="21"/>
          <w:szCs w:val="21"/>
          <w:highlight w:val="none"/>
        </w:rPr>
        <w:t>不得超出投标文件的范围或者改变投标文件的实质性内容。</w:t>
      </w:r>
      <w:r>
        <w:rPr>
          <w:rFonts w:hint="eastAsia" w:ascii="宋体" w:hAnsi="宋体" w:eastAsia="宋体" w:cs="宋体"/>
          <w:color w:val="auto"/>
          <w:sz w:val="21"/>
          <w:szCs w:val="21"/>
          <w:highlight w:val="none"/>
          <w:lang w:eastAsia="zh-TW"/>
        </w:rPr>
        <w:t>投标人的澄清、说明或者补正应当采用书面形式</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由其授权的代表签字</w:t>
      </w:r>
      <w:r>
        <w:rPr>
          <w:rFonts w:hint="eastAsia" w:ascii="宋体" w:hAnsi="宋体" w:eastAsia="宋体" w:cs="宋体"/>
          <w:color w:val="auto"/>
          <w:sz w:val="21"/>
          <w:szCs w:val="21"/>
          <w:highlight w:val="none"/>
        </w:rPr>
        <w:t>或盖章</w:t>
      </w:r>
      <w:r>
        <w:rPr>
          <w:rFonts w:hint="eastAsia" w:ascii="宋体" w:hAnsi="宋体" w:eastAsia="宋体" w:cs="宋体"/>
          <w:color w:val="auto"/>
          <w:sz w:val="21"/>
          <w:szCs w:val="21"/>
          <w:highlight w:val="none"/>
          <w:lang w:eastAsia="zh-TW"/>
        </w:rPr>
        <w:t>，并不得超出投标文件的范围或者改变投标文件的实质性内容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有关澄清的答复均应由投标人的法定代表人或授权代表签字</w:t>
      </w:r>
      <w:r>
        <w:rPr>
          <w:rFonts w:hint="eastAsia" w:ascii="宋体" w:hAnsi="宋体" w:eastAsia="宋体" w:cs="宋体"/>
          <w:color w:val="auto"/>
          <w:sz w:val="21"/>
          <w:szCs w:val="21"/>
          <w:highlight w:val="none"/>
        </w:rPr>
        <w:t>或盖章</w:t>
      </w:r>
      <w:r>
        <w:rPr>
          <w:rFonts w:hint="eastAsia" w:ascii="宋体" w:hAnsi="宋体" w:eastAsia="宋体" w:cs="宋体"/>
          <w:color w:val="auto"/>
          <w:sz w:val="21"/>
          <w:szCs w:val="21"/>
          <w:highlight w:val="none"/>
          <w:lang w:eastAsia="zh-TW"/>
        </w:rPr>
        <w:t>的书面形式作出。</w:t>
      </w:r>
    </w:p>
    <w:p>
      <w:pPr>
        <w:numPr>
          <w:ilvl w:val="1"/>
          <w:numId w:val="89"/>
        </w:numPr>
        <w:snapToGrid w:val="0"/>
        <w:spacing w:line="360" w:lineRule="auto"/>
        <w:rPr>
          <w:rFonts w:hint="eastAsia" w:ascii="宋体" w:hAnsi="宋体" w:eastAsia="宋体" w:cs="宋体"/>
          <w:color w:val="auto"/>
          <w:sz w:val="21"/>
          <w:szCs w:val="21"/>
          <w:highlight w:val="none"/>
          <w:lang w:eastAsia="zh-TW"/>
        </w:rPr>
      </w:pPr>
      <w:r>
        <w:rPr>
          <w:rFonts w:hint="eastAsia" w:ascii="宋体" w:hAnsi="宋体" w:eastAsia="宋体" w:cs="宋体"/>
          <w:color w:val="auto"/>
          <w:sz w:val="21"/>
          <w:szCs w:val="21"/>
          <w:highlight w:val="none"/>
          <w:lang w:eastAsia="zh-TW"/>
        </w:rPr>
        <w:t>投标人的澄清文件是其投标文件的组成部分。</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79" w:name="_Toc356482733"/>
      <w:bookmarkStart w:id="80" w:name="_Toc23284"/>
      <w:r>
        <w:rPr>
          <w:rFonts w:hint="eastAsia" w:ascii="宋体" w:hAnsi="宋体" w:eastAsia="宋体" w:cs="宋体"/>
          <w:b/>
          <w:bCs/>
          <w:color w:val="auto"/>
          <w:sz w:val="21"/>
          <w:szCs w:val="21"/>
          <w:highlight w:val="none"/>
        </w:rPr>
        <w:t>投标文件详细评价</w:t>
      </w:r>
      <w:bookmarkEnd w:id="79"/>
      <w:bookmarkEnd w:id="80"/>
    </w:p>
    <w:p>
      <w:pPr>
        <w:numPr>
          <w:ilvl w:val="1"/>
          <w:numId w:val="89"/>
        </w:numPr>
        <w:snapToGrid w:val="0"/>
        <w:spacing w:line="360" w:lineRule="auto"/>
        <w:jc w:val="both"/>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评</w:t>
      </w:r>
      <w:r>
        <w:rPr>
          <w:rFonts w:hint="eastAsia" w:ascii="宋体" w:hAnsi="宋体" w:eastAsia="宋体" w:cs="宋体"/>
          <w:color w:val="auto"/>
          <w:sz w:val="21"/>
          <w:szCs w:val="21"/>
          <w:highlight w:val="none"/>
          <w:lang w:eastAsia="zh-TW"/>
        </w:rPr>
        <w:t>标委员会将</w:t>
      </w:r>
      <w:r>
        <w:rPr>
          <w:rFonts w:hint="eastAsia" w:ascii="宋体" w:hAnsi="宋体" w:eastAsia="宋体" w:cs="宋体"/>
          <w:color w:val="auto"/>
          <w:sz w:val="21"/>
          <w:szCs w:val="21"/>
          <w:highlight w:val="none"/>
        </w:rPr>
        <w:t>对通过</w:t>
      </w:r>
      <w:r>
        <w:rPr>
          <w:rFonts w:hint="eastAsia" w:ascii="宋体" w:hAnsi="宋体" w:eastAsia="宋体" w:cs="宋体"/>
          <w:color w:val="auto"/>
          <w:sz w:val="21"/>
          <w:szCs w:val="21"/>
          <w:highlight w:val="none"/>
          <w:lang w:eastAsia="zh-TW"/>
        </w:rPr>
        <w:t>资格性、符合性审查的投标</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TW"/>
        </w:rPr>
        <w:t>进行</w:t>
      </w:r>
      <w:r>
        <w:rPr>
          <w:rFonts w:hint="eastAsia" w:ascii="宋体" w:hAnsi="宋体" w:eastAsia="宋体" w:cs="宋体"/>
          <w:color w:val="auto"/>
          <w:sz w:val="21"/>
          <w:szCs w:val="21"/>
          <w:highlight w:val="none"/>
        </w:rPr>
        <w:t>详细</w:t>
      </w:r>
      <w:r>
        <w:rPr>
          <w:rFonts w:hint="eastAsia" w:ascii="宋体" w:hAnsi="宋体" w:eastAsia="宋体" w:cs="宋体"/>
          <w:color w:val="auto"/>
          <w:sz w:val="21"/>
          <w:szCs w:val="21"/>
          <w:highlight w:val="none"/>
          <w:lang w:eastAsia="zh-TW"/>
        </w:rPr>
        <w:t>评价和比较</w:t>
      </w:r>
      <w:r>
        <w:rPr>
          <w:rFonts w:hint="eastAsia" w:ascii="宋体" w:hAnsi="宋体" w:eastAsia="宋体" w:cs="宋体"/>
          <w:color w:val="auto"/>
          <w:sz w:val="21"/>
          <w:szCs w:val="21"/>
          <w:highlight w:val="none"/>
        </w:rPr>
        <w:t>。</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81" w:name="_Toc356482734"/>
      <w:bookmarkStart w:id="82" w:name="_Toc245"/>
      <w:r>
        <w:rPr>
          <w:rFonts w:hint="eastAsia" w:ascii="宋体" w:hAnsi="宋体" w:eastAsia="宋体" w:cs="宋体"/>
          <w:b/>
          <w:bCs/>
          <w:color w:val="auto"/>
          <w:sz w:val="21"/>
          <w:szCs w:val="21"/>
          <w:highlight w:val="none"/>
        </w:rPr>
        <w:t>定标原则与授标</w:t>
      </w:r>
      <w:bookmarkEnd w:id="81"/>
      <w:bookmarkEnd w:id="82"/>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评标委员会按照招标文件确定的评标方法、步骤、标准，对投标文件进行评审，提出书面评标报告。</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采用综合评分法的，按评审后得分由高到低顺序排列。得分相同的，按投标报价由低到高顺序排列。得分且投标报价相同的，按技术指标优劣顺序排列。除</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rPr>
        <w:t>另有规定的，推荐综合得分排名第一的投标人为第一中标候选人。</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采用</w:t>
      </w:r>
      <w:r>
        <w:rPr>
          <w:rFonts w:hint="eastAsia" w:ascii="宋体" w:hAnsi="宋体" w:eastAsia="宋体" w:cs="宋体"/>
          <w:color w:val="auto"/>
          <w:sz w:val="21"/>
          <w:szCs w:val="21"/>
          <w:highlight w:val="none"/>
          <w:lang w:eastAsia="zh-TW"/>
        </w:rPr>
        <w:t>最低评标价法</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TW"/>
        </w:rPr>
        <w:t>按投标报价由低到高顺序排列。投标报价相同的，按技术指标优劣顺序排列。评标委员会认为，排在前面的中标候选人的最低投标价或者某些分项报价明显不合理或者低于成本，有可能影响商品质量和不能诚信履约的，应当要求其在规定的期限内提供书面文件予以解释说明，并提交相关证明材料；否则，评标委员会可以取消该投标人的中标候选资格，按顺序由排在后面的中标候选人递补，以此类推。</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评标委员会决定投标的响应性只根据投标文件中提供的材料内容，而不依据外部的材料证据。</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cs="宋体"/>
          <w:color w:val="auto"/>
          <w:sz w:val="21"/>
          <w:szCs w:val="21"/>
          <w:highlight w:val="none"/>
          <w:lang w:eastAsia="zh-CN"/>
        </w:rPr>
        <w:t>。</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提交评标报告和推荐中标意见报招标人确认，招标人在收到评标报告后的法定时间内，按照评标报告中推荐的中标候选人顺序确定中标人，也可以事先授权评标委员会直接确定中标人。确认后招标代理机构将在刊登本项目招标信息媒体上发布中标公告。不在中标名单之列者即为未中标人，招标代理机构不再以其他方式另行通知。</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因不可抗力或自身原因不能履行合同的、不按要求与招标人签订合同、中标人放弃中标、中标资格被依法确认无效的，应当重新组织招标活动。</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83" w:name="_Toc356482735"/>
      <w:bookmarkStart w:id="84" w:name="_Toc24549"/>
      <w:r>
        <w:rPr>
          <w:rFonts w:hint="eastAsia" w:ascii="宋体" w:hAnsi="宋体" w:eastAsia="宋体" w:cs="宋体"/>
          <w:b/>
          <w:bCs/>
          <w:color w:val="auto"/>
          <w:sz w:val="21"/>
          <w:szCs w:val="21"/>
          <w:highlight w:val="none"/>
        </w:rPr>
        <w:t>质疑与回复</w:t>
      </w:r>
      <w:bookmarkEnd w:id="83"/>
      <w:bookmarkEnd w:id="84"/>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投标人有质疑时，应当在知道或者应知其权益受到损害之日起七个工作日内，以书面形式（加盖投标人公章）向招标采购单位提交质疑书原件，逾期质疑无效。投标人以电话、传真或电邮形式提交的质疑属于无效质疑。</w:t>
      </w:r>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质疑内容不得含有虚假、恶意成分。依据谁主张谁举证的原则，质疑者提供的质疑书应当包括下列主要内容：具体的质疑事项、事实依据及相关确凿的证明材料和注明事实的确切来源、投标人名称、联系人与联系电话、质疑时间，质疑书应当署名并由法定代表人或授权代表签字并加盖公章。招标采购单位受理书面质疑书原件之日起，在规定的期限内作出答复。对于捏造事实、滥用维权扰乱采购秩序的恶意质疑者或举证不全查无实据被驳回次数在一年内达三次以上，将纳入不良行为记录名单并承担相应的法律责任。</w:t>
      </w:r>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招标采购单位在收到供应商的有效书面质疑后七个工作日内作出答复，但答复的内容不涉及商业秘密，质疑供应商对招标人、招标代理机构的质疑答复不满意，或招标人、招标代理机构未在规定期限内作出答复的，可以在答复期满后十五个工作日内向</w:t>
      </w:r>
      <w:r>
        <w:rPr>
          <w:rFonts w:hint="eastAsia" w:ascii="宋体" w:hAnsi="宋体" w:cs="宋体"/>
          <w:color w:val="auto"/>
          <w:sz w:val="21"/>
          <w:szCs w:val="21"/>
          <w:highlight w:val="none"/>
          <w:lang w:eastAsia="zh-CN"/>
        </w:rPr>
        <w:t>上级</w:t>
      </w:r>
      <w:r>
        <w:rPr>
          <w:rFonts w:hint="eastAsia" w:ascii="宋体" w:hAnsi="宋体" w:eastAsia="宋体" w:cs="宋体"/>
          <w:color w:val="auto"/>
          <w:sz w:val="21"/>
          <w:szCs w:val="21"/>
          <w:highlight w:val="none"/>
        </w:rPr>
        <w:t>部门提出投诉。</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85" w:name="_Toc356482736"/>
      <w:bookmarkStart w:id="86" w:name="_Toc5550"/>
      <w:r>
        <w:rPr>
          <w:rFonts w:hint="eastAsia" w:ascii="宋体" w:hAnsi="宋体" w:eastAsia="宋体" w:cs="宋体"/>
          <w:b/>
          <w:bCs/>
          <w:color w:val="auto"/>
          <w:sz w:val="21"/>
          <w:szCs w:val="21"/>
          <w:highlight w:val="none"/>
        </w:rPr>
        <w:t>中标通知书</w:t>
      </w:r>
      <w:bookmarkEnd w:id="85"/>
      <w:bookmarkEnd w:id="86"/>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中标人确定后</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招标代理机构将在</w:t>
      </w:r>
      <w:r>
        <w:rPr>
          <w:rFonts w:hint="eastAsia" w:ascii="宋体" w:hAnsi="宋体" w:eastAsia="宋体" w:cs="宋体"/>
          <w:color w:val="auto"/>
          <w:sz w:val="21"/>
          <w:szCs w:val="21"/>
          <w:highlight w:val="none"/>
        </w:rPr>
        <w:t>招标信息</w:t>
      </w:r>
      <w:r>
        <w:rPr>
          <w:rFonts w:hint="eastAsia" w:ascii="宋体" w:hAnsi="宋体" w:eastAsia="宋体" w:cs="宋体"/>
          <w:color w:val="auto"/>
          <w:sz w:val="21"/>
          <w:szCs w:val="21"/>
          <w:highlight w:val="none"/>
          <w:lang w:eastAsia="zh-TW"/>
        </w:rPr>
        <w:t>媒体上发布中标公告，并向中标人发出《中标通知书》</w:t>
      </w:r>
      <w:r>
        <w:rPr>
          <w:rFonts w:hint="eastAsia" w:ascii="宋体" w:hAnsi="宋体" w:eastAsia="宋体" w:cs="宋体"/>
          <w:color w:val="auto"/>
          <w:sz w:val="21"/>
          <w:szCs w:val="21"/>
          <w:highlight w:val="none"/>
        </w:rPr>
        <w:t>，向招标人及未中标人发出《招标结果通知书》，</w:t>
      </w:r>
      <w:r>
        <w:rPr>
          <w:rFonts w:hint="eastAsia" w:ascii="宋体" w:hAnsi="宋体" w:eastAsia="宋体" w:cs="宋体"/>
          <w:color w:val="auto"/>
          <w:sz w:val="21"/>
          <w:szCs w:val="21"/>
          <w:highlight w:val="none"/>
          <w:lang w:eastAsia="zh-TW"/>
        </w:rPr>
        <w:t>《中标通知书》对中标人和招标人具有同等法律效力。</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《中标通知书》将作为授予合同资格的合法依据，是合同的一个组成部分。</w:t>
      </w:r>
    </w:p>
    <w:p>
      <w:pPr>
        <w:numPr>
          <w:ilvl w:val="0"/>
          <w:numId w:val="88"/>
        </w:numPr>
        <w:snapToGrid w:val="0"/>
        <w:spacing w:line="360" w:lineRule="auto"/>
        <w:ind w:left="0" w:leftChars="0" w:firstLine="420" w:firstLineChars="0"/>
        <w:jc w:val="center"/>
        <w:outlineLvl w:val="0"/>
        <w:rPr>
          <w:rFonts w:hint="eastAsia" w:ascii="宋体" w:hAnsi="宋体" w:eastAsia="宋体" w:cs="Times New Roman"/>
          <w:b/>
          <w:color w:val="auto"/>
          <w:sz w:val="28"/>
          <w:szCs w:val="28"/>
          <w:highlight w:val="none"/>
          <w:lang w:eastAsia="zh-TW"/>
        </w:rPr>
      </w:pPr>
      <w:bookmarkStart w:id="87" w:name="_Toc27705"/>
      <w:bookmarkStart w:id="88" w:name="_Toc356482737"/>
      <w:r>
        <w:rPr>
          <w:rFonts w:hint="eastAsia" w:ascii="宋体" w:hAnsi="宋体" w:eastAsia="宋体" w:cs="Times New Roman"/>
          <w:b/>
          <w:color w:val="auto"/>
          <w:sz w:val="28"/>
          <w:szCs w:val="28"/>
          <w:highlight w:val="none"/>
          <w:lang w:eastAsia="zh-TW"/>
        </w:rPr>
        <w:t>授予合同</w:t>
      </w:r>
      <w:bookmarkEnd w:id="87"/>
      <w:bookmarkEnd w:id="88"/>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89" w:name="_Toc29138"/>
      <w:bookmarkStart w:id="90" w:name="_Toc356482738"/>
      <w:r>
        <w:rPr>
          <w:rFonts w:hint="eastAsia" w:ascii="宋体" w:hAnsi="宋体" w:eastAsia="宋体" w:cs="宋体"/>
          <w:b/>
          <w:bCs/>
          <w:color w:val="auto"/>
          <w:sz w:val="21"/>
          <w:szCs w:val="21"/>
          <w:highlight w:val="none"/>
        </w:rPr>
        <w:t>合同的订立</w:t>
      </w:r>
      <w:bookmarkEnd w:id="89"/>
      <w:bookmarkEnd w:id="90"/>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除非</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rPr>
        <w:t>另有规定，</w:t>
      </w:r>
      <w:r>
        <w:rPr>
          <w:rFonts w:hint="eastAsia" w:ascii="宋体" w:hAnsi="宋体" w:eastAsia="宋体" w:cs="宋体"/>
          <w:color w:val="auto"/>
          <w:sz w:val="21"/>
          <w:szCs w:val="21"/>
          <w:highlight w:val="none"/>
          <w:lang w:eastAsia="zh-TW"/>
        </w:rPr>
        <w:t>招标人或者</w:t>
      </w:r>
      <w:r>
        <w:rPr>
          <w:rFonts w:hint="eastAsia" w:ascii="宋体" w:hAnsi="宋体" w:eastAsia="宋体" w:cs="宋体"/>
          <w:color w:val="auto"/>
          <w:sz w:val="21"/>
          <w:szCs w:val="21"/>
          <w:highlight w:val="none"/>
        </w:rPr>
        <w:t>招标代理机构</w:t>
      </w:r>
      <w:r>
        <w:rPr>
          <w:rFonts w:hint="eastAsia" w:ascii="宋体" w:hAnsi="宋体" w:eastAsia="宋体" w:cs="宋体"/>
          <w:color w:val="auto"/>
          <w:sz w:val="21"/>
          <w:szCs w:val="21"/>
          <w:highlight w:val="none"/>
          <w:lang w:eastAsia="zh-TW"/>
        </w:rPr>
        <w:t>应当自中标通知书发出之日起</w:t>
      </w:r>
      <w:r>
        <w:rPr>
          <w:rFonts w:hint="eastAsia" w:ascii="宋体" w:hAnsi="宋体" w:eastAsia="宋体" w:cs="宋体"/>
          <w:color w:val="auto"/>
          <w:sz w:val="21"/>
          <w:szCs w:val="21"/>
          <w:highlight w:val="none"/>
          <w:lang w:eastAsia="zh-CN"/>
        </w:rPr>
        <w:t>五个工作日</w:t>
      </w:r>
      <w:r>
        <w:rPr>
          <w:rFonts w:hint="eastAsia" w:ascii="宋体" w:hAnsi="宋体" w:eastAsia="宋体" w:cs="宋体"/>
          <w:color w:val="auto"/>
          <w:sz w:val="21"/>
          <w:szCs w:val="21"/>
          <w:highlight w:val="none"/>
          <w:lang w:eastAsia="zh-TW"/>
        </w:rPr>
        <w:t>内，按照招标文件和中标人投标文件的约定，与中标人签订书面合同。所签订的合同不得对招标文件和中标人投标文件作实质性修改</w:t>
      </w:r>
      <w:r>
        <w:rPr>
          <w:rFonts w:hint="eastAsia" w:ascii="宋体" w:hAnsi="宋体" w:eastAsia="宋体" w:cs="宋体"/>
          <w:color w:val="auto"/>
          <w:sz w:val="21"/>
          <w:szCs w:val="21"/>
          <w:highlight w:val="none"/>
        </w:rPr>
        <w:t>。</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招标采购单位不得向中标人提出任何不合理的要求，作为签订合同的条件，不得与中标人私下订立背离合同实质性内容的协议。 </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91" w:name="_Toc356482739"/>
      <w:bookmarkStart w:id="92" w:name="_Toc12940"/>
      <w:r>
        <w:rPr>
          <w:rFonts w:hint="eastAsia" w:ascii="宋体" w:hAnsi="宋体" w:eastAsia="宋体" w:cs="宋体"/>
          <w:b/>
          <w:bCs/>
          <w:color w:val="auto"/>
          <w:sz w:val="21"/>
          <w:szCs w:val="21"/>
          <w:highlight w:val="none"/>
        </w:rPr>
        <w:t>合同的履行</w:t>
      </w:r>
      <w:bookmarkEnd w:id="91"/>
      <w:bookmarkEnd w:id="92"/>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合同订立后，合同各方不得擅自变更、中止或者终止合同。合同需要变更的，招标人应将有关合同变更内容，以书面形式报</w:t>
      </w:r>
      <w:r>
        <w:rPr>
          <w:rFonts w:hint="eastAsia" w:ascii="宋体" w:hAnsi="宋体" w:cs="宋体"/>
          <w:color w:val="auto"/>
          <w:sz w:val="21"/>
          <w:szCs w:val="21"/>
          <w:highlight w:val="none"/>
          <w:lang w:eastAsia="zh-CN"/>
        </w:rPr>
        <w:t>上级主管</w:t>
      </w:r>
      <w:r>
        <w:rPr>
          <w:rFonts w:hint="eastAsia" w:ascii="宋体" w:hAnsi="宋体" w:eastAsia="宋体" w:cs="宋体"/>
          <w:color w:val="auto"/>
          <w:sz w:val="21"/>
          <w:szCs w:val="21"/>
          <w:highlight w:val="none"/>
          <w:lang w:eastAsia="zh-TW"/>
        </w:rPr>
        <w:t>部门备案；因特殊情况需要中止或终止合同的，招标人应将中止或终止合同的理由以及相应措施，以书面形式报</w:t>
      </w:r>
      <w:r>
        <w:rPr>
          <w:rFonts w:hint="eastAsia" w:ascii="宋体" w:hAnsi="宋体" w:cs="宋体"/>
          <w:color w:val="auto"/>
          <w:sz w:val="21"/>
          <w:szCs w:val="21"/>
          <w:highlight w:val="none"/>
          <w:lang w:eastAsia="zh-CN"/>
        </w:rPr>
        <w:t>上级主管</w:t>
      </w:r>
      <w:r>
        <w:rPr>
          <w:rFonts w:hint="eastAsia" w:ascii="宋体" w:hAnsi="宋体" w:eastAsia="宋体" w:cs="宋体"/>
          <w:color w:val="auto"/>
          <w:sz w:val="21"/>
          <w:szCs w:val="21"/>
          <w:highlight w:val="none"/>
          <w:lang w:eastAsia="zh-TW"/>
        </w:rPr>
        <w:t>部门备案。</w:t>
      </w:r>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合同履行中，招标人需追加与合同标的相同的货物、工程或者服务的，在不改变合同其他条款的前提下，可以与供应商签订补充合同，但所补充合同的采购金额不得超过原</w:t>
      </w:r>
      <w:r>
        <w:rPr>
          <w:rFonts w:hint="eastAsia" w:ascii="宋体" w:hAnsi="宋体" w:eastAsia="宋体" w:cs="宋体"/>
          <w:color w:val="auto"/>
          <w:sz w:val="21"/>
          <w:szCs w:val="21"/>
          <w:highlight w:val="none"/>
        </w:rPr>
        <w:t>合同</w:t>
      </w:r>
      <w:r>
        <w:rPr>
          <w:rFonts w:hint="eastAsia" w:ascii="宋体" w:hAnsi="宋体" w:eastAsia="宋体" w:cs="宋体"/>
          <w:color w:val="auto"/>
          <w:sz w:val="21"/>
          <w:szCs w:val="21"/>
          <w:highlight w:val="none"/>
          <w:lang w:eastAsia="zh-TW"/>
        </w:rPr>
        <w:t>采购金额的百分之十。签订补充合同的必须按规定备案。</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93" w:name="_Toc356482740"/>
      <w:bookmarkStart w:id="94" w:name="_Toc29763"/>
      <w:r>
        <w:rPr>
          <w:rFonts w:hint="eastAsia" w:ascii="宋体" w:hAnsi="宋体" w:eastAsia="宋体" w:cs="宋体"/>
          <w:b/>
          <w:bCs/>
          <w:color w:val="auto"/>
          <w:sz w:val="21"/>
          <w:szCs w:val="21"/>
          <w:highlight w:val="none"/>
        </w:rPr>
        <w:t>接受和拒绝任何或所有投标的权力</w:t>
      </w:r>
      <w:bookmarkEnd w:id="93"/>
      <w:bookmarkEnd w:id="94"/>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在特殊情况下</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TW"/>
        </w:rPr>
        <w:t>招标采购单位保留在投标之前</w:t>
      </w:r>
      <w:r>
        <w:rPr>
          <w:rFonts w:hint="eastAsia" w:ascii="宋体" w:hAnsi="宋体" w:eastAsia="宋体" w:cs="宋体"/>
          <w:color w:val="auto"/>
          <w:sz w:val="21"/>
          <w:szCs w:val="21"/>
          <w:highlight w:val="none"/>
        </w:rPr>
        <w:t>拒</w:t>
      </w:r>
      <w:r>
        <w:rPr>
          <w:rFonts w:hint="eastAsia" w:ascii="宋体" w:hAnsi="宋体" w:eastAsia="宋体" w:cs="宋体"/>
          <w:color w:val="auto"/>
          <w:sz w:val="21"/>
          <w:szCs w:val="21"/>
          <w:highlight w:val="none"/>
          <w:lang w:eastAsia="zh-TW"/>
        </w:rPr>
        <w:t>绝任何投标以及宣布招标程序无效或拒绝所有投标的权力。</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bookmarkStart w:id="95" w:name="_Toc356482741"/>
      <w:bookmarkStart w:id="96" w:name="_Toc31258"/>
      <w:r>
        <w:rPr>
          <w:rFonts w:hint="eastAsia" w:ascii="宋体" w:hAnsi="宋体" w:eastAsia="宋体" w:cs="宋体"/>
          <w:b/>
          <w:bCs/>
          <w:color w:val="auto"/>
          <w:sz w:val="21"/>
          <w:szCs w:val="21"/>
          <w:highlight w:val="none"/>
        </w:rPr>
        <w:t>履约保证金</w:t>
      </w:r>
      <w:bookmarkEnd w:id="95"/>
      <w:bookmarkEnd w:id="96"/>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TW"/>
        </w:rPr>
        <w:t>中标人应按照</w:t>
      </w:r>
      <w:r>
        <w:rPr>
          <w:rFonts w:hint="eastAsia" w:ascii="宋体" w:hAnsi="宋体" w:eastAsia="宋体" w:cs="宋体"/>
          <w:b/>
          <w:color w:val="auto"/>
          <w:sz w:val="21"/>
          <w:szCs w:val="21"/>
          <w:highlight w:val="none"/>
        </w:rPr>
        <w:t>投标资料表</w:t>
      </w:r>
      <w:r>
        <w:rPr>
          <w:rFonts w:hint="eastAsia" w:ascii="宋体" w:hAnsi="宋体" w:eastAsia="宋体" w:cs="宋体"/>
          <w:color w:val="auto"/>
          <w:sz w:val="21"/>
          <w:szCs w:val="21"/>
          <w:highlight w:val="none"/>
          <w:lang w:eastAsia="zh-TW"/>
        </w:rPr>
        <w:t>规定的</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TW"/>
        </w:rPr>
        <w:t>采用招标人可以接受的其他形式向招标人提交履约保证金。</w:t>
      </w:r>
    </w:p>
    <w:p>
      <w:pPr>
        <w:numPr>
          <w:ilvl w:val="0"/>
          <w:numId w:val="89"/>
        </w:numPr>
        <w:snapToGrid w:val="0"/>
        <w:spacing w:line="360" w:lineRule="auto"/>
        <w:jc w:val="both"/>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招标代理服务费</w:t>
      </w:r>
      <w:bookmarkEnd w:id="17"/>
      <w:bookmarkEnd w:id="18"/>
      <w:bookmarkEnd w:id="19"/>
      <w:bookmarkEnd w:id="20"/>
    </w:p>
    <w:p>
      <w:pPr>
        <w:numPr>
          <w:ilvl w:val="1"/>
          <w:numId w:val="89"/>
        </w:numPr>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中标人应按照招标文件</w:t>
      </w:r>
      <w:r>
        <w:rPr>
          <w:rFonts w:hint="eastAsia" w:ascii="宋体" w:hAnsi="宋体" w:eastAsia="宋体" w:cs="宋体"/>
          <w:b/>
          <w:color w:val="auto"/>
          <w:sz w:val="21"/>
          <w:szCs w:val="21"/>
          <w:highlight w:val="none"/>
          <w:lang w:eastAsia="zh-TW"/>
        </w:rPr>
        <w:t>投标资料表</w:t>
      </w:r>
      <w:r>
        <w:rPr>
          <w:rFonts w:hint="eastAsia" w:ascii="宋体" w:hAnsi="宋体" w:eastAsia="宋体" w:cs="宋体"/>
          <w:color w:val="auto"/>
          <w:sz w:val="21"/>
          <w:szCs w:val="21"/>
          <w:highlight w:val="none"/>
        </w:rPr>
        <w:t>中的规定缴纳招标代理服务费。否则，不予退还其投标保证金。</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服务费按差额定率累进法计算。</w:t>
      </w:r>
    </w:p>
    <w:tbl>
      <w:tblPr>
        <w:tblStyle w:val="21"/>
        <w:tblW w:w="60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02"/>
        <w:gridCol w:w="3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2802" w:type="dxa"/>
            <w:vAlign w:val="top"/>
          </w:tcPr>
          <w:p>
            <w:pPr>
              <w:snapToGrid w:val="0"/>
              <w:ind w:firstLine="1155" w:firstLineChars="5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3360" behindDoc="0" locked="0" layoutInCell="1" allowOverlap="1">
                      <wp:simplePos x="0" y="0"/>
                      <wp:positionH relativeFrom="column">
                        <wp:posOffset>-33655</wp:posOffset>
                      </wp:positionH>
                      <wp:positionV relativeFrom="paragraph">
                        <wp:posOffset>32385</wp:posOffset>
                      </wp:positionV>
                      <wp:extent cx="1654810" cy="321310"/>
                      <wp:effectExtent l="635" t="4445" r="1905" b="1714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1654810" cy="32131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5pt;margin-top:2.55pt;height:25.3pt;width:130.3pt;z-index:251663360;mso-width-relative:page;mso-height-relative:page;" filled="f" stroked="t" coordsize="21600,21600" o:gfxdata="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gI&#10;tXLUAAAABwEAAA8AAAAAAAAAAQAgAAAAIgAAAGRycy9kb3ducmV2LnhtbFBLAQIUABQAAAAIAIdO&#10;4kCIMcpE7gEAAL8DAAAOAAAAAAAAAAEAIAAAACMBAABkcnMvZTJvRG9jLnhtbFBLBQYAAAAABgAG&#10;AFkBAACDBQAAAAA=&#10;">
                      <v:fill on="f" focussize="0,0"/>
                      <v:stroke color="#000000" joinstyle="round"/>
                      <v:imagedata o:title=""/>
                      <o:lock v:ext="edit" aspectratio="f"/>
                    </v:line>
                  </w:pict>
                </mc:Fallback>
              </mc:AlternateContent>
            </w:r>
            <w:r>
              <w:rPr>
                <w:rFonts w:hint="eastAsia" w:ascii="宋体" w:hAnsi="宋体" w:eastAsia="宋体" w:cs="宋体"/>
                <w:bCs/>
                <w:color w:val="auto"/>
                <w:sz w:val="21"/>
                <w:szCs w:val="21"/>
                <w:highlight w:val="none"/>
              </w:rPr>
              <w:t>费率</w:t>
            </w:r>
          </w:p>
          <w:p>
            <w:pPr>
              <w:snapToGrid w:val="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中标金额</w:t>
            </w:r>
          </w:p>
        </w:tc>
        <w:tc>
          <w:tcPr>
            <w:tcW w:w="3260" w:type="dxa"/>
            <w:vAlign w:val="center"/>
          </w:tcPr>
          <w:p>
            <w:pPr>
              <w:snapToGrid w:val="0"/>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服务招标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100万元以下</w:t>
            </w:r>
          </w:p>
        </w:tc>
        <w:tc>
          <w:tcPr>
            <w:tcW w:w="3260" w:type="dxa"/>
            <w:vAlign w:val="center"/>
          </w:tcPr>
          <w:p>
            <w:pPr>
              <w:ind w:firstLine="210" w:firstLineChars="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100～500万元</w:t>
            </w:r>
          </w:p>
        </w:tc>
        <w:tc>
          <w:tcPr>
            <w:tcW w:w="3260" w:type="dxa"/>
            <w:vAlign w:val="center"/>
          </w:tcPr>
          <w:p>
            <w:pPr>
              <w:ind w:firstLine="210" w:firstLineChars="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2802"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500～1000万元</w:t>
            </w:r>
          </w:p>
        </w:tc>
        <w:tc>
          <w:tcPr>
            <w:tcW w:w="3260" w:type="dxa"/>
            <w:vAlign w:val="center"/>
          </w:tcPr>
          <w:p>
            <w:pPr>
              <w:ind w:firstLine="210" w:firstLineChars="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r>
    </w:tbl>
    <w:p>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例如：某</w:t>
      </w:r>
      <w:r>
        <w:rPr>
          <w:rFonts w:hint="eastAsia" w:ascii="宋体" w:hAnsi="宋体" w:eastAsia="宋体" w:cs="宋体"/>
          <w:color w:val="auto"/>
          <w:sz w:val="21"/>
          <w:szCs w:val="21"/>
          <w:highlight w:val="none"/>
          <w:lang w:eastAsia="zh-CN"/>
        </w:rPr>
        <w:t>服务</w:t>
      </w:r>
      <w:r>
        <w:rPr>
          <w:rFonts w:hint="eastAsia" w:ascii="宋体" w:hAnsi="宋体" w:eastAsia="宋体" w:cs="宋体"/>
          <w:color w:val="auto"/>
          <w:sz w:val="21"/>
          <w:szCs w:val="21"/>
          <w:highlight w:val="none"/>
        </w:rPr>
        <w:t>招标中标金额为850万元，计算招标代理服务收费额如下：</w:t>
      </w:r>
    </w:p>
    <w:p>
      <w:pPr>
        <w:snapToGrid w:val="0"/>
        <w:spacing w:line="360" w:lineRule="auto"/>
        <w:ind w:left="315" w:hanging="315" w:hangingChars="1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00万元×1.5%=1.5万元</w:t>
      </w:r>
    </w:p>
    <w:p>
      <w:pPr>
        <w:snapToGrid w:val="0"/>
        <w:spacing w:line="360" w:lineRule="auto"/>
        <w:ind w:left="315" w:hanging="315" w:hangingChars="1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（500-100）万元×0.8%=3.2万元</w:t>
      </w:r>
    </w:p>
    <w:p>
      <w:pPr>
        <w:snapToGrid w:val="0"/>
        <w:spacing w:line="360" w:lineRule="auto"/>
        <w:ind w:left="315" w:hanging="315" w:hangingChars="1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（850-500）万元×0.45%=1.575万元</w:t>
      </w:r>
    </w:p>
    <w:p>
      <w:pPr>
        <w:snapToGrid w:val="0"/>
        <w:spacing w:line="360" w:lineRule="auto"/>
        <w:ind w:left="332" w:leftChars="158" w:firstLine="2520" w:firstLineChars="1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合计收费=1.5+3.2+1.575=6.275（万元）</w:t>
      </w:r>
    </w:p>
    <w:p>
      <w:pPr>
        <w:numPr>
          <w:ilvl w:val="1"/>
          <w:numId w:val="89"/>
        </w:num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经依法取消中标资格的，招标代理服务费不予退还。</w:t>
      </w:r>
    </w:p>
    <w:p>
      <w:pPr>
        <w:pStyle w:val="33"/>
        <w:keepNext w:val="0"/>
        <w:keepLines w:val="0"/>
        <w:pageBreakBefore w:val="0"/>
        <w:kinsoku/>
        <w:overflowPunct/>
        <w:bidi w:val="0"/>
        <w:spacing w:beforeAutospacing="0" w:afterAutospacing="0" w:line="360" w:lineRule="auto"/>
        <w:ind w:left="0" w:leftChars="0" w:right="0" w:rightChars="0"/>
        <w:textAlignment w:val="auto"/>
        <w:rPr>
          <w:rFonts w:hint="eastAsia" w:ascii="宋体" w:hAnsi="宋体" w:eastAsia="宋体" w:cs="宋体"/>
          <w:color w:val="auto"/>
          <w:sz w:val="21"/>
          <w:szCs w:val="21"/>
          <w:highlight w:val="none"/>
        </w:rPr>
      </w:pPr>
    </w:p>
    <w:p>
      <w:pPr>
        <w:keepNext w:val="0"/>
        <w:keepLines w:val="0"/>
        <w:pageBreakBefore w:val="0"/>
        <w:kinsoku/>
        <w:overflowPunct/>
        <w:bidi w:val="0"/>
        <w:spacing w:beforeAutospacing="0" w:afterAutospacing="0" w:line="360" w:lineRule="auto"/>
        <w:ind w:left="0" w:leftChars="0" w:right="0" w:rightChars="0"/>
        <w:textAlignment w:val="auto"/>
        <w:rPr>
          <w:rFonts w:hint="eastAsia" w:ascii="宋体" w:hAnsi="宋体" w:eastAsia="宋体" w:cs="宋体"/>
          <w:color w:val="auto"/>
          <w:sz w:val="21"/>
          <w:szCs w:val="21"/>
          <w:highlight w:val="none"/>
        </w:rPr>
      </w:pPr>
    </w:p>
    <w:bookmarkEnd w:id="13"/>
    <w:p>
      <w:pPr>
        <w:snapToGrid w:val="0"/>
        <w:spacing w:line="360" w:lineRule="auto"/>
        <w:jc w:val="center"/>
        <w:outlineLvl w:val="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bookmarkStart w:id="97" w:name="_Toc355879708"/>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Times New Roman" w:hAnsi="Times New Roman" w:eastAsia="宋体"/>
          <w:b/>
          <w:bCs/>
          <w:color w:val="auto"/>
          <w:sz w:val="44"/>
          <w:szCs w:val="44"/>
          <w:highlight w:val="none"/>
        </w:rPr>
      </w:pPr>
      <w:bookmarkStart w:id="98" w:name="_Toc29705"/>
      <w:r>
        <w:rPr>
          <w:rFonts w:hint="eastAsia" w:ascii="Times New Roman" w:hAnsi="Times New Roman" w:eastAsia="宋体"/>
          <w:b/>
          <w:bCs/>
          <w:color w:val="auto"/>
          <w:sz w:val="44"/>
          <w:szCs w:val="44"/>
          <w:highlight w:val="none"/>
        </w:rPr>
        <w:t>第六章</w:t>
      </w:r>
      <w:bookmarkEnd w:id="97"/>
      <w:bookmarkEnd w:id="98"/>
    </w:p>
    <w:p>
      <w:pPr>
        <w:snapToGrid w:val="0"/>
        <w:spacing w:line="360" w:lineRule="auto"/>
        <w:jc w:val="center"/>
        <w:outlineLvl w:val="0"/>
        <w:rPr>
          <w:rFonts w:hint="eastAsia" w:ascii="Times New Roman" w:hAnsi="Times New Roman" w:eastAsia="宋体"/>
          <w:b/>
          <w:bCs/>
          <w:color w:val="auto"/>
          <w:sz w:val="44"/>
          <w:szCs w:val="44"/>
          <w:highlight w:val="none"/>
        </w:rPr>
      </w:pPr>
      <w:bookmarkStart w:id="99" w:name="_Toc7115"/>
      <w:bookmarkStart w:id="100" w:name="_Toc355879709"/>
      <w:bookmarkStart w:id="101" w:name="_Toc2130"/>
      <w:r>
        <w:rPr>
          <w:rFonts w:hint="eastAsia" w:ascii="Times New Roman" w:hAnsi="Times New Roman" w:eastAsia="宋体"/>
          <w:b/>
          <w:bCs/>
          <w:color w:val="auto"/>
          <w:sz w:val="44"/>
          <w:szCs w:val="44"/>
          <w:highlight w:val="none"/>
        </w:rPr>
        <w:t>合同条款</w:t>
      </w:r>
      <w:bookmarkEnd w:id="99"/>
      <w:bookmarkEnd w:id="100"/>
      <w:bookmarkEnd w:id="101"/>
    </w:p>
    <w:p>
      <w:pPr>
        <w:snapToGrid w:val="0"/>
        <w:spacing w:line="360" w:lineRule="auto"/>
        <w:jc w:val="center"/>
        <w:outlineLvl w:val="0"/>
        <w:rPr>
          <w:rFonts w:hint="eastAsia" w:ascii="Times New Roman" w:hAnsi="Times New Roman" w:eastAsia="宋体"/>
          <w:b/>
          <w:bCs/>
          <w:color w:val="auto"/>
          <w:sz w:val="28"/>
          <w:szCs w:val="28"/>
          <w:highlight w:val="none"/>
        </w:rPr>
      </w:pPr>
    </w:p>
    <w:p>
      <w:pPr>
        <w:snapToGrid w:val="0"/>
        <w:spacing w:line="360" w:lineRule="auto"/>
        <w:jc w:val="center"/>
        <w:outlineLvl w:val="0"/>
        <w:rPr>
          <w:rFonts w:hint="eastAsia" w:ascii="Times New Roman" w:hAnsi="Times New Roman" w:eastAsia="宋体"/>
          <w:b/>
          <w:bCs/>
          <w:color w:val="auto"/>
          <w:sz w:val="28"/>
          <w:szCs w:val="28"/>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snapToGrid w:val="0"/>
        <w:spacing w:line="360" w:lineRule="auto"/>
        <w:jc w:val="center"/>
        <w:outlineLvl w:val="0"/>
        <w:rPr>
          <w:rFonts w:hint="eastAsia" w:ascii="宋体" w:hAnsi="宋体" w:eastAsia="宋体" w:cs="宋体"/>
          <w:b/>
          <w:bCs/>
          <w:color w:val="auto"/>
          <w:sz w:val="21"/>
          <w:szCs w:val="21"/>
          <w:highlight w:val="none"/>
        </w:rPr>
      </w:pPr>
    </w:p>
    <w:p>
      <w:pPr>
        <w:rPr>
          <w:rFonts w:hint="eastAsia" w:ascii="Times New Roman" w:hAnsi="Times New Roman" w:eastAsia="宋体"/>
          <w:b/>
          <w:color w:val="auto"/>
          <w:sz w:val="24"/>
          <w:highlight w:val="none"/>
        </w:rPr>
      </w:pPr>
      <w:r>
        <w:rPr>
          <w:rFonts w:hint="eastAsia" w:ascii="宋体" w:hAnsi="宋体" w:eastAsia="宋体" w:cs="宋体"/>
          <w:color w:val="auto"/>
          <w:sz w:val="21"/>
          <w:szCs w:val="21"/>
          <w:highlight w:val="none"/>
        </w:rPr>
        <w:t xml:space="preserve">       </w:t>
      </w:r>
      <w:r>
        <w:rPr>
          <w:rFonts w:hint="eastAsia" w:ascii="Times New Roman" w:hAnsi="Times New Roman" w:eastAsia="宋体"/>
          <w:b/>
          <w:color w:val="auto"/>
          <w:sz w:val="24"/>
          <w:highlight w:val="none"/>
        </w:rPr>
        <w:t>注：本合同仅为合同的参考文本，合同签订双方可根据项目的具体要求进行修订。</w:t>
      </w:r>
    </w:p>
    <w:p>
      <w:pPr>
        <w:rPr>
          <w:rFonts w:hint="eastAsia" w:ascii="宋体" w:hAnsi="宋体" w:eastAsia="宋体" w:cs="宋体"/>
          <w:b/>
          <w:color w:val="auto"/>
          <w:sz w:val="21"/>
          <w:szCs w:val="21"/>
          <w:highlight w:val="none"/>
        </w:rPr>
      </w:pPr>
      <w:r>
        <w:rPr>
          <w:rFonts w:hint="eastAsia" w:ascii="Times New Roman" w:hAnsi="Times New Roman" w:eastAsia="宋体"/>
          <w:b/>
          <w:color w:val="auto"/>
          <w:sz w:val="24"/>
          <w:highlight w:val="none"/>
        </w:rPr>
        <w:t xml:space="preserve"> </w:t>
      </w:r>
      <w:r>
        <w:rPr>
          <w:rFonts w:hint="eastAsia" w:ascii="Times New Roman" w:hAnsi="Times New Roman" w:eastAsia="宋体"/>
          <w:b/>
          <w:color w:val="auto"/>
          <w:sz w:val="24"/>
          <w:highlight w:val="none"/>
          <w:lang w:eastAsia="zh-TW"/>
        </w:rPr>
        <w:br w:type="page"/>
      </w:r>
      <w:r>
        <w:rPr>
          <w:rFonts w:hint="eastAsia" w:ascii="宋体" w:hAnsi="宋体" w:eastAsia="宋体" w:cs="宋体"/>
          <w:b/>
          <w:color w:val="auto"/>
          <w:sz w:val="21"/>
          <w:szCs w:val="21"/>
          <w:highlight w:val="none"/>
        </w:rPr>
        <w:t>甲    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 xml:space="preserve">                 </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           　   传  真：           地  址：</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乙    方</w:t>
      </w:r>
      <w:r>
        <w:rPr>
          <w:rFonts w:hint="eastAsia" w:ascii="宋体" w:hAnsi="宋体" w:eastAsia="宋体" w:cs="宋体"/>
          <w:color w:val="auto"/>
          <w:sz w:val="21"/>
          <w:szCs w:val="21"/>
          <w:highlight w:val="none"/>
        </w:rPr>
        <w:t>（中标人）</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br w:type="textWrapping"/>
      </w:r>
      <w:r>
        <w:rPr>
          <w:rFonts w:hint="eastAsia" w:ascii="宋体" w:hAnsi="宋体" w:eastAsia="宋体" w:cs="宋体"/>
          <w:color w:val="auto"/>
          <w:sz w:val="21"/>
          <w:szCs w:val="21"/>
          <w:highlight w:val="none"/>
        </w:rPr>
        <w:t xml:space="preserve">电    话：                传  真：           地  址：   </w:t>
      </w:r>
    </w:p>
    <w:p>
      <w:pPr>
        <w:spacing w:line="360" w:lineRule="auto"/>
        <w:ind w:firstLine="420" w:firstLineChars="20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根据千灯湖创投小镇核心区物业管理服务项目的采购结果，按照《中华人民共和国民法典》的规定，经双方协商，本着平等互利和诚实信用的原则，一致同意签订本合同如下。</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bCs w:val="0"/>
          <w:color w:val="auto"/>
          <w:kern w:val="0"/>
          <w:sz w:val="21"/>
          <w:szCs w:val="21"/>
          <w:highlight w:val="none"/>
        </w:rPr>
        <w:t>项目概况及</w:t>
      </w:r>
      <w:r>
        <w:rPr>
          <w:rFonts w:hint="eastAsia" w:ascii="宋体" w:hAnsi="宋体" w:eastAsia="宋体" w:cs="宋体"/>
          <w:b/>
          <w:color w:val="auto"/>
          <w:sz w:val="21"/>
          <w:szCs w:val="21"/>
          <w:highlight w:val="none"/>
        </w:rPr>
        <w:t>服务范围</w:t>
      </w:r>
    </w:p>
    <w:p>
      <w:pPr>
        <w:numPr>
          <w:ilvl w:val="0"/>
          <w:numId w:val="91"/>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千灯湖创投小镇核心区（下称“核心区”）概况和范围</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千灯湖创投小镇核心区规划总用地面积约7.8万平方米，一期规划建筑面积约5.8万平方米，二期规划建筑面积约 10万平方米。核心区以天使投资、创业投资、风险投资、股权投资等私募基金类、创新型金融业态为产业特色，打造一个低密度、生态化的舒适办公社区。核心区原有建筑21栋，新建建筑9栋，总建筑面积为58730.96平方米，其中临时停车场面积约为11196平方米（北区停车场约5766平方米，南区停车场约5430平方米</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；新建可出租物业建筑面积为8136.39平方米，按规划分为六个功能区:金融集聚区、商业配套区、公共服务区、生活服务区、金融/创新孵化混合区、金融/商业混合区。规划平面图、功能分区图详见合同附件1、2。</w:t>
      </w:r>
    </w:p>
    <w:p>
      <w:pPr>
        <w:ind w:firstLine="525" w:firstLineChars="2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园区建筑面积：</w:t>
      </w:r>
    </w:p>
    <w:tbl>
      <w:tblPr>
        <w:tblStyle w:val="21"/>
        <w:tblW w:w="8930" w:type="dxa"/>
        <w:tblInd w:w="39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3664"/>
        <w:gridCol w:w="1166"/>
        <w:gridCol w:w="1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10" w:type="dxa"/>
            <w:tcBorders>
              <w:tl2br w:val="nil"/>
              <w:tr2bl w:val="nil"/>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rPr>
              <w:t>物业功能</w:t>
            </w:r>
          </w:p>
        </w:tc>
        <w:tc>
          <w:tcPr>
            <w:tcW w:w="3664" w:type="dxa"/>
            <w:tcBorders>
              <w:tl2br w:val="nil"/>
              <w:tr2bl w:val="nil"/>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rPr>
              <w:t>楼宇编号</w:t>
            </w:r>
          </w:p>
        </w:tc>
        <w:tc>
          <w:tcPr>
            <w:tcW w:w="1166" w:type="dxa"/>
            <w:tcBorders>
              <w:tl2br w:val="nil"/>
              <w:tr2bl w:val="nil"/>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rPr>
              <w:t>面积（㎡）</w:t>
            </w:r>
          </w:p>
        </w:tc>
        <w:tc>
          <w:tcPr>
            <w:tcW w:w="1690" w:type="dxa"/>
            <w:tcBorders>
              <w:tl2br w:val="nil"/>
              <w:tr2bl w:val="nil"/>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bCs/>
                <w:color w:val="auto"/>
                <w:kern w:val="0"/>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41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独栋办公物业</w:t>
            </w:r>
          </w:p>
        </w:tc>
        <w:tc>
          <w:tcPr>
            <w:tcW w:w="3664" w:type="dxa"/>
            <w:tcBorders>
              <w:tl2br w:val="nil"/>
              <w:tr2bl w:val="nil"/>
            </w:tcBorders>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商铺4、商铺5、商铺6、商铺7、商铺8、商铺9、商铺10、六座、七座、十三座、十七座、十八座、二十一座</w:t>
            </w:r>
          </w:p>
        </w:tc>
        <w:tc>
          <w:tcPr>
            <w:tcW w:w="1166"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6580.26</w:t>
            </w:r>
          </w:p>
        </w:tc>
        <w:tc>
          <w:tcPr>
            <w:tcW w:w="169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241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综合办公物业</w:t>
            </w:r>
          </w:p>
        </w:tc>
        <w:tc>
          <w:tcPr>
            <w:tcW w:w="3664" w:type="dxa"/>
            <w:tcBorders>
              <w:tl2br w:val="nil"/>
              <w:tr2bl w:val="nil"/>
            </w:tcBorders>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一座（二层以上）、三座（二层以上）、四座（一层北侧、二层）、五座、八座（二、三层）、十四座、十五座、十六座、二十座</w:t>
            </w:r>
          </w:p>
        </w:tc>
        <w:tc>
          <w:tcPr>
            <w:tcW w:w="1166"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19468.78</w:t>
            </w:r>
          </w:p>
        </w:tc>
        <w:tc>
          <w:tcPr>
            <w:tcW w:w="169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241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商业配套物业</w:t>
            </w:r>
          </w:p>
        </w:tc>
        <w:tc>
          <w:tcPr>
            <w:tcW w:w="3664" w:type="dxa"/>
            <w:tcBorders>
              <w:tl2br w:val="nil"/>
              <w:tr2bl w:val="nil"/>
            </w:tcBorders>
            <w:vAlign w:val="center"/>
          </w:tcPr>
          <w:p>
            <w:pPr>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商铺1、商铺2、一座（首层）二座（首层）、三座（首层）、九座、十座、十一座、十二座、十九座</w:t>
            </w:r>
          </w:p>
        </w:tc>
        <w:tc>
          <w:tcPr>
            <w:tcW w:w="1166"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8259.89</w:t>
            </w:r>
          </w:p>
        </w:tc>
        <w:tc>
          <w:tcPr>
            <w:tcW w:w="169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241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公共配套物业</w:t>
            </w:r>
          </w:p>
        </w:tc>
        <w:tc>
          <w:tcPr>
            <w:tcW w:w="3664"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八座首层、四座首层路演厅</w:t>
            </w:r>
          </w:p>
        </w:tc>
        <w:tc>
          <w:tcPr>
            <w:tcW w:w="1166" w:type="dxa"/>
            <w:tcBorders>
              <w:tl2br w:val="nil"/>
              <w:tr2bl w:val="nil"/>
            </w:tcBorders>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6816.73</w:t>
            </w:r>
          </w:p>
        </w:tc>
        <w:tc>
          <w:tcPr>
            <w:tcW w:w="169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41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功能配套用房</w:t>
            </w:r>
          </w:p>
        </w:tc>
        <w:tc>
          <w:tcPr>
            <w:tcW w:w="3664"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变电所、水房、消防水池（2个）等</w:t>
            </w:r>
          </w:p>
        </w:tc>
        <w:tc>
          <w:tcPr>
            <w:tcW w:w="1166"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1855.66</w:t>
            </w:r>
          </w:p>
        </w:tc>
        <w:tc>
          <w:tcPr>
            <w:tcW w:w="169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41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办公用房</w:t>
            </w:r>
          </w:p>
        </w:tc>
        <w:tc>
          <w:tcPr>
            <w:tcW w:w="3664"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三座四层</w:t>
            </w:r>
          </w:p>
        </w:tc>
        <w:tc>
          <w:tcPr>
            <w:tcW w:w="1166"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542.31</w:t>
            </w:r>
          </w:p>
        </w:tc>
        <w:tc>
          <w:tcPr>
            <w:tcW w:w="169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410"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其它物业</w:t>
            </w:r>
          </w:p>
        </w:tc>
        <w:tc>
          <w:tcPr>
            <w:tcW w:w="3664" w:type="dxa"/>
            <w:tcBorders>
              <w:tl2br w:val="nil"/>
              <w:tr2bl w:val="nil"/>
            </w:tcBorders>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人才公寓（二座二层以上）、公共资源交易中心</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二十二座）</w:t>
            </w:r>
          </w:p>
        </w:tc>
        <w:tc>
          <w:tcPr>
            <w:tcW w:w="1166"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15207.33</w:t>
            </w:r>
          </w:p>
        </w:tc>
        <w:tc>
          <w:tcPr>
            <w:tcW w:w="1690" w:type="dxa"/>
            <w:tcBorders>
              <w:tl2br w:val="nil"/>
              <w:tr2bl w:val="nil"/>
            </w:tcBorders>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物业内部物管由承租方自行管理，无需乙方负责，乙方负责建筑外围公共区域及建筑外立面清洁。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074" w:type="dxa"/>
            <w:gridSpan w:val="2"/>
            <w:tcBorders>
              <w:tl2br w:val="nil"/>
              <w:tr2bl w:val="nil"/>
            </w:tcBorders>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合    计</w:t>
            </w:r>
          </w:p>
        </w:tc>
        <w:tc>
          <w:tcPr>
            <w:tcW w:w="1166" w:type="dxa"/>
            <w:tcBorders>
              <w:tl2br w:val="nil"/>
              <w:tr2bl w:val="nil"/>
            </w:tcBorders>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58730.96</w:t>
            </w:r>
          </w:p>
        </w:tc>
        <w:tc>
          <w:tcPr>
            <w:tcW w:w="1690" w:type="dxa"/>
            <w:tcBorders>
              <w:tl2br w:val="nil"/>
              <w:tr2bl w:val="nil"/>
            </w:tcBorders>
          </w:tcPr>
          <w:p>
            <w:pPr>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w:t>
            </w:r>
          </w:p>
        </w:tc>
      </w:tr>
    </w:tbl>
    <w:p>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园区绿化面积：19210.85平方米（不含橄榄球场）；</w:t>
      </w:r>
    </w:p>
    <w:p>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园区道路、广场铺装面积：20254平方米；</w:t>
      </w:r>
    </w:p>
    <w:p>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园区水景面积：2253平方米；</w:t>
      </w:r>
    </w:p>
    <w:p>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园区主要出入口：西门、南门</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北区停车场出入口、南区停车场出入口</w:t>
      </w:r>
      <w:r>
        <w:rPr>
          <w:rFonts w:hint="eastAsia" w:ascii="宋体" w:hAnsi="宋体" w:eastAsia="宋体" w:cs="宋体"/>
          <w:color w:val="auto"/>
          <w:kern w:val="0"/>
          <w:sz w:val="21"/>
          <w:szCs w:val="21"/>
          <w:highlight w:val="none"/>
        </w:rPr>
        <w:t>；</w:t>
      </w:r>
    </w:p>
    <w:p>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电梯台数：8台（两层、六层、八层各1台， 五层2台，三层3台）；</w:t>
      </w:r>
    </w:p>
    <w:p>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园区车位：2个临时停车场，其中北区停车场（约5766平方米，连通园区）约130个车位，南区停车场（约5430平方米，在园区外）约196个车位。</w:t>
      </w:r>
    </w:p>
    <w:p>
      <w:pPr>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备注：①园区橄榄球场物管目前由球场承租方自主管理，绿化面积不含球场面积，2022年橄榄球场及北区临时停车场拟实施</w:t>
      </w:r>
      <w:r>
        <w:rPr>
          <w:rFonts w:hint="eastAsia" w:ascii="宋体" w:hAnsi="宋体" w:eastAsia="宋体" w:cs="宋体"/>
          <w:color w:val="auto"/>
          <w:kern w:val="0"/>
          <w:sz w:val="21"/>
          <w:szCs w:val="21"/>
          <w:highlight w:val="none"/>
          <w:lang w:val="en-US" w:eastAsia="zh-CN"/>
        </w:rPr>
        <w:t>二期建设项目</w:t>
      </w:r>
      <w:r>
        <w:rPr>
          <w:rFonts w:hint="eastAsia" w:ascii="宋体" w:hAnsi="宋体" w:eastAsia="宋体" w:cs="宋体"/>
          <w:color w:val="auto"/>
          <w:kern w:val="0"/>
          <w:sz w:val="21"/>
          <w:szCs w:val="21"/>
          <w:highlight w:val="none"/>
        </w:rPr>
        <w:t>，乙方需负责改造期间场地</w:t>
      </w:r>
      <w:r>
        <w:rPr>
          <w:rFonts w:hint="eastAsia" w:ascii="宋体" w:hAnsi="宋体" w:cs="宋体"/>
          <w:color w:val="auto"/>
          <w:kern w:val="0"/>
          <w:sz w:val="21"/>
          <w:szCs w:val="21"/>
          <w:highlight w:val="none"/>
          <w:lang w:val="en-US" w:eastAsia="zh-CN"/>
        </w:rPr>
        <w:t>外围</w:t>
      </w:r>
      <w:r>
        <w:rPr>
          <w:rFonts w:hint="eastAsia" w:ascii="宋体" w:hAnsi="宋体" w:eastAsia="宋体" w:cs="宋体"/>
          <w:color w:val="auto"/>
          <w:kern w:val="0"/>
          <w:sz w:val="21"/>
          <w:szCs w:val="21"/>
          <w:highlight w:val="none"/>
        </w:rPr>
        <w:t>的物业管理工作；②园区三圣河道水质由政府相关部门管理，水景面积不含三圣河，但乙方需负责</w:t>
      </w:r>
      <w:r>
        <w:rPr>
          <w:rFonts w:hint="eastAsia" w:ascii="宋体" w:hAnsi="宋体" w:eastAsia="宋体" w:cs="宋体"/>
          <w:color w:val="auto"/>
          <w:kern w:val="0"/>
          <w:sz w:val="21"/>
          <w:szCs w:val="21"/>
          <w:highlight w:val="none"/>
          <w:lang w:val="en-US" w:eastAsia="zh-CN"/>
        </w:rPr>
        <w:t>配合</w:t>
      </w:r>
      <w:r>
        <w:rPr>
          <w:rFonts w:hint="eastAsia" w:ascii="宋体" w:hAnsi="宋体" w:eastAsia="宋体" w:cs="宋体"/>
          <w:color w:val="auto"/>
          <w:kern w:val="0"/>
          <w:sz w:val="21"/>
          <w:szCs w:val="21"/>
          <w:highlight w:val="none"/>
        </w:rPr>
        <w:t>三圣河的落叶、水上垃圾清理。③园区两个停车场为临时性质，若另作他用甲方将提前一个月通知乙方，该管理服务费用（南区停车场为人民币23,017.56元/月，北区停车场为人民币23,017.56元/月）作相应减除，不视为甲方违约，甲方无需承担任何法律责任。</w:t>
      </w:r>
    </w:p>
    <w:p>
      <w:pPr>
        <w:numPr>
          <w:ilvl w:val="0"/>
          <w:numId w:val="91"/>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项目内容概况</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在核心区范围内提供物业管理相关服务，包括保安、消防、清洁、绿化、工程维修（房屋及附属物）、设备设施维护及管理（</w:t>
      </w:r>
      <w:r>
        <w:rPr>
          <w:rFonts w:hint="eastAsia" w:ascii="宋体" w:hAnsi="宋体" w:eastAsia="宋体" w:cs="宋体"/>
          <w:color w:val="auto"/>
          <w:sz w:val="21"/>
          <w:szCs w:val="21"/>
          <w:highlight w:val="none"/>
          <w:lang w:val="en-US" w:eastAsia="zh-CN"/>
        </w:rPr>
        <w:t>公共照明、智能化系统、</w:t>
      </w:r>
      <w:r>
        <w:rPr>
          <w:rFonts w:hint="eastAsia" w:ascii="宋体" w:hAnsi="宋体" w:eastAsia="宋体" w:cs="宋体"/>
          <w:color w:val="auto"/>
          <w:sz w:val="21"/>
          <w:szCs w:val="21"/>
          <w:highlight w:val="none"/>
        </w:rPr>
        <w:t>消防系统、电梯、电房、空调、监控系统等)、消杀四害、园区服务等。</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pPr>
        <w:numPr>
          <w:ilvl w:val="0"/>
          <w:numId w:val="92"/>
        </w:numPr>
        <w:adjustRightInd w:val="0"/>
        <w:snapToGrid w:val="0"/>
        <w:spacing w:line="360" w:lineRule="auto"/>
        <w:ind w:left="0" w:leftChars="0" w:firstLine="0" w:firstLineChars="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本合同物业管理费总计：</w:t>
      </w:r>
      <w:r>
        <w:rPr>
          <w:rFonts w:hint="eastAsia" w:ascii="宋体" w:hAnsi="宋体" w:eastAsia="宋体" w:cs="宋体"/>
          <w:color w:val="auto"/>
          <w:sz w:val="21"/>
          <w:szCs w:val="21"/>
          <w:highlight w:val="none"/>
          <w:u w:val="single"/>
        </w:rPr>
        <w:t xml:space="preserve">人民币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元</w:t>
      </w:r>
      <w:r>
        <w:rPr>
          <w:rFonts w:hint="eastAsia" w:ascii="宋体" w:hAnsi="宋体" w:eastAsia="宋体" w:cs="宋体"/>
          <w:color w:val="auto"/>
          <w:sz w:val="21"/>
          <w:szCs w:val="21"/>
          <w:highlight w:val="none"/>
          <w:u w:val="none"/>
        </w:rPr>
        <w:t>）</w:t>
      </w:r>
      <w:r>
        <w:rPr>
          <w:rFonts w:hint="eastAsia" w:hAnsi="宋体" w:cs="宋体"/>
          <w:color w:val="auto"/>
          <w:sz w:val="21"/>
          <w:szCs w:val="21"/>
          <w:highlight w:val="none"/>
          <w:u w:val="none"/>
          <w:lang w:eastAsia="zh-CN"/>
        </w:rPr>
        <w:t>（已含</w:t>
      </w:r>
      <w:r>
        <w:rPr>
          <w:rFonts w:hint="eastAsia" w:ascii="宋体" w:hAnsi="宋体" w:eastAsia="宋体" w:cs="宋体"/>
          <w:color w:val="auto"/>
          <w:sz w:val="21"/>
          <w:szCs w:val="21"/>
          <w:highlight w:val="none"/>
          <w:u w:val="none"/>
        </w:rPr>
        <w:t>两个停车场管理服务费人民币壹佰壹拾万零肆仟捌佰肆拾贰元捌角捌分</w:t>
      </w:r>
      <w:r>
        <w:rPr>
          <w:rFonts w:hint="eastAsia" w:hAnsi="宋体" w:cs="宋体"/>
          <w:color w:val="auto"/>
          <w:sz w:val="21"/>
          <w:szCs w:val="21"/>
          <w:highlight w:val="none"/>
          <w:u w:val="none"/>
          <w:lang w:eastAsia="zh-CN"/>
        </w:rPr>
        <w:t>，即</w:t>
      </w:r>
      <w:r>
        <w:rPr>
          <w:rFonts w:hint="eastAsia" w:ascii="宋体" w:hAnsi="宋体" w:eastAsia="宋体" w:cs="宋体"/>
          <w:color w:val="auto"/>
          <w:sz w:val="21"/>
          <w:szCs w:val="21"/>
          <w:highlight w:val="none"/>
          <w:u w:val="none"/>
        </w:rPr>
        <w:t>￥1,104,842.88元</w:t>
      </w:r>
      <w:r>
        <w:rPr>
          <w:rFonts w:hint="eastAsia" w:hAnsi="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，每月的服务费：</w:t>
      </w:r>
      <w:r>
        <w:rPr>
          <w:rFonts w:hint="eastAsia" w:ascii="宋体" w:hAnsi="宋体" w:eastAsia="宋体" w:cs="宋体"/>
          <w:color w:val="auto"/>
          <w:sz w:val="21"/>
          <w:szCs w:val="21"/>
          <w:highlight w:val="none"/>
          <w:u w:val="single"/>
        </w:rPr>
        <w:t xml:space="preserve">人民币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元</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含两个停车场管理服务费人民币肆万陆仟零叁拾伍元壹角贰分</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rPr>
        <w:t>￥46,035.12元</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eastAsia="zh-CN"/>
        </w:rPr>
        <w:t>】</w:t>
      </w:r>
    </w:p>
    <w:p>
      <w:pPr>
        <w:numPr>
          <w:ilvl w:val="0"/>
          <w:numId w:val="92"/>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本项目乙方按招标文件给定的服务要求进行报价，合同总价</w:t>
      </w:r>
      <w:r>
        <w:rPr>
          <w:rFonts w:hint="eastAsia" w:ascii="宋体" w:hAnsi="宋体" w:cs="宋体"/>
          <w:color w:val="auto"/>
          <w:sz w:val="21"/>
          <w:szCs w:val="21"/>
          <w:highlight w:val="none"/>
          <w:lang w:eastAsia="zh-CN"/>
        </w:rPr>
        <w:t>已</w:t>
      </w:r>
      <w:r>
        <w:rPr>
          <w:rFonts w:hint="eastAsia" w:ascii="宋体" w:hAnsi="宋体" w:eastAsia="宋体" w:cs="宋体"/>
          <w:color w:val="auto"/>
          <w:sz w:val="21"/>
          <w:szCs w:val="21"/>
          <w:highlight w:val="none"/>
        </w:rPr>
        <w:t>包含</w:t>
      </w:r>
      <w:r>
        <w:rPr>
          <w:rFonts w:hint="eastAsia" w:hAnsi="宋体" w:cs="宋体"/>
          <w:color w:val="auto"/>
          <w:kern w:val="0"/>
          <w:sz w:val="21"/>
          <w:szCs w:val="21"/>
          <w:highlight w:val="none"/>
          <w:lang w:val="en-US" w:eastAsia="zh-CN"/>
        </w:rPr>
        <w:t>物业管理</w:t>
      </w:r>
      <w:r>
        <w:rPr>
          <w:rFonts w:hint="eastAsia" w:ascii="宋体" w:hAnsi="宋体" w:eastAsia="宋体" w:cs="宋体"/>
          <w:color w:val="auto"/>
          <w:sz w:val="21"/>
          <w:szCs w:val="21"/>
          <w:highlight w:val="none"/>
        </w:rPr>
        <w:t>服务费、停车场管理服务费、人工费（含工资、社保、工伤意外保险、全勤补助、节假日补助、加班费、高温补助费、年终奖励金等）、清洁所需材料或工具费、设备车辆、各种税费、中标服务费、相关用具的使用费用及各项税费等一切与完成本项目相关费用及合同实施过程中应预见和不可预见的一切费用。对于园区内未明确数量的物业服务对象，视为已经包含在合同总价中，不再按实际数量调整，本合同中提供的物业管理服务面积，若与实际情况不符时，甲方不作调整，按本合同总价结算。</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服务期限</w:t>
      </w:r>
    </w:p>
    <w:p>
      <w:pPr>
        <w:spacing w:line="360" w:lineRule="auto"/>
        <w:ind w:firstLine="369" w:firstLineChars="17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自合同签订并生效之日起两年，</w:t>
      </w:r>
      <w:r>
        <w:rPr>
          <w:rFonts w:hint="eastAsia" w:ascii="宋体" w:hAnsi="宋体" w:eastAsia="宋体" w:cs="宋体"/>
          <w:color w:val="auto"/>
          <w:sz w:val="21"/>
          <w:szCs w:val="21"/>
          <w:highlight w:val="none"/>
          <w:u w:val="single"/>
        </w:rPr>
        <w:t xml:space="preserve">自2021年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月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日起至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年   月   日</w:t>
      </w:r>
      <w:r>
        <w:rPr>
          <w:rFonts w:hint="eastAsia" w:ascii="宋体" w:hAnsi="宋体" w:eastAsia="宋体" w:cs="宋体"/>
          <w:color w:val="auto"/>
          <w:sz w:val="21"/>
          <w:szCs w:val="21"/>
          <w:highlight w:val="none"/>
        </w:rPr>
        <w:t>止。</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付款方式</w:t>
      </w:r>
    </w:p>
    <w:p>
      <w:pPr>
        <w:numPr>
          <w:ilvl w:val="0"/>
          <w:numId w:val="9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生效后，甲方在服务期限内按月支付物业管理服务费。甲方收到乙方提交的依法纳税的有效等额服务费增值税专项发票后，结合物业管理服务质量考核情况、园区承担维修扣除费用情况于每月的30日前支付上一个月的物管费用，物业管理服务费用以转账方式转入乙方的银行账户。</w:t>
      </w:r>
    </w:p>
    <w:p>
      <w:pPr>
        <w:numPr>
          <w:ilvl w:val="0"/>
          <w:numId w:val="93"/>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每月物业管理费用＝合同总价÷24个月-月度</w:t>
      </w:r>
      <w:r>
        <w:rPr>
          <w:rFonts w:hint="eastAsia" w:ascii="宋体" w:hAnsi="宋体" w:eastAsia="宋体" w:cs="宋体"/>
          <w:color w:val="auto"/>
          <w:sz w:val="21"/>
          <w:szCs w:val="21"/>
          <w:highlight w:val="none"/>
          <w:lang w:val="en-US" w:eastAsia="zh-CN"/>
        </w:rPr>
        <w:t>考核</w:t>
      </w:r>
      <w:r>
        <w:rPr>
          <w:rFonts w:hint="eastAsia" w:ascii="宋体" w:hAnsi="宋体" w:eastAsia="宋体" w:cs="宋体"/>
          <w:color w:val="auto"/>
          <w:sz w:val="21"/>
          <w:szCs w:val="21"/>
          <w:highlight w:val="none"/>
        </w:rPr>
        <w:t>、甲方承担维修</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扣除的物业管理费（如有）-</w:t>
      </w:r>
      <w:r>
        <w:rPr>
          <w:rFonts w:hint="eastAsia"/>
          <w:color w:val="auto"/>
          <w:highlight w:val="none"/>
          <w:lang w:eastAsia="zh-CN"/>
        </w:rPr>
        <w:t>月度停车场管理服务费</w:t>
      </w:r>
      <w:r>
        <w:rPr>
          <w:rFonts w:hint="eastAsia" w:ascii="宋体" w:hAnsi="宋体" w:eastAsia="宋体" w:cs="宋体"/>
          <w:color w:val="auto"/>
          <w:sz w:val="21"/>
          <w:szCs w:val="21"/>
          <w:highlight w:val="none"/>
        </w:rPr>
        <w:t>（如甲方将车场另作他用）。</w:t>
      </w:r>
    </w:p>
    <w:p>
      <w:pPr>
        <w:numPr>
          <w:ilvl w:val="0"/>
          <w:numId w:val="93"/>
        </w:numPr>
        <w:spacing w:line="36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乙方为甲方提供服务期间，有临时增加或超出本项目范围的费用，由双方另行商议。</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服务要求</w:t>
      </w:r>
    </w:p>
    <w:p>
      <w:pPr>
        <w:adjustRightInd w:val="0"/>
        <w:snapToGrid w:val="0"/>
        <w:spacing w:line="360" w:lineRule="auto"/>
        <w:ind w:left="0" w:leftChars="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乙方提供的物业管理服务应达到约定的质量标准，物业服务标准内无约定的，则按《物业管理条例》等国家、地方政府的有关规定、行业标准执行。</w:t>
      </w:r>
    </w:p>
    <w:p>
      <w:pPr>
        <w:numPr>
          <w:ilvl w:val="0"/>
          <w:numId w:val="94"/>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制度管理</w:t>
      </w:r>
    </w:p>
    <w:p>
      <w:pPr>
        <w:numPr>
          <w:ilvl w:val="0"/>
          <w:numId w:val="9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有完善的物业管理方案，质量管理、财务管理、档案管理等制度健全。管理服务中的相关作业记录完整，可追溯；</w:t>
      </w:r>
    </w:p>
    <w:p>
      <w:pPr>
        <w:numPr>
          <w:ilvl w:val="0"/>
          <w:numId w:val="9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制订、保管和更新物业管理规章制度和实施细则；</w:t>
      </w:r>
    </w:p>
    <w:p>
      <w:pPr>
        <w:numPr>
          <w:ilvl w:val="0"/>
          <w:numId w:val="9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制订大要事计划、物业维修及养护计划、设施/设备年度检修计划、月季年度工作计划并记录实施情况；</w:t>
      </w:r>
    </w:p>
    <w:p>
      <w:pPr>
        <w:numPr>
          <w:ilvl w:val="0"/>
          <w:numId w:val="9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制定和实施保安、保洁工作的规章制度、工作程序和工作标准；</w:t>
      </w:r>
    </w:p>
    <w:p>
      <w:pPr>
        <w:numPr>
          <w:ilvl w:val="0"/>
          <w:numId w:val="9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制订安全生产管理规章制度和各种应急预案；</w:t>
      </w:r>
    </w:p>
    <w:p>
      <w:pPr>
        <w:numPr>
          <w:ilvl w:val="0"/>
          <w:numId w:val="9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制订值班巡查规章制度、安排巡逻路线、排班计划，节假日值班计划；</w:t>
      </w:r>
    </w:p>
    <w:p>
      <w:pPr>
        <w:numPr>
          <w:ilvl w:val="0"/>
          <w:numId w:val="9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制订、整理及保管其它必要的档案和资料；</w:t>
      </w:r>
    </w:p>
    <w:p>
      <w:pPr>
        <w:numPr>
          <w:ilvl w:val="0"/>
          <w:numId w:val="95"/>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每月至少报送1次月度报告，内容应详尽，有相应的摄像照片记录。</w:t>
      </w:r>
    </w:p>
    <w:p>
      <w:pPr>
        <w:numPr>
          <w:ilvl w:val="0"/>
          <w:numId w:val="94"/>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秩序/安保管理</w:t>
      </w:r>
    </w:p>
    <w:p>
      <w:pPr>
        <w:numPr>
          <w:ilvl w:val="0"/>
          <w:numId w:val="96"/>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与当地公安机关建立联防机制，协助进行治安管理工作；</w:t>
      </w:r>
    </w:p>
    <w:p>
      <w:pPr>
        <w:numPr>
          <w:ilvl w:val="0"/>
          <w:numId w:val="96"/>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全天24小时值班、巡查制度（固定路线和机动路线），设置形象岗位和机动岗位，要求3分钟内能集结5人以上应对突发情况；</w:t>
      </w:r>
    </w:p>
    <w:p>
      <w:pPr>
        <w:numPr>
          <w:ilvl w:val="0"/>
          <w:numId w:val="96"/>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全天24小时公共秩序和交通秩序的管理；车辆、财物和人员的出入、行驶及停泊管理（摩托车、单车按甲方要求统一停放在指定区域）；</w:t>
      </w:r>
    </w:p>
    <w:p>
      <w:pPr>
        <w:numPr>
          <w:ilvl w:val="0"/>
          <w:numId w:val="96"/>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协助有关部门进行消防、防止群体冲突、应对紧急事件和灾难应变，并定期进行上述演习；</w:t>
      </w:r>
    </w:p>
    <w:p>
      <w:pPr>
        <w:numPr>
          <w:ilvl w:val="0"/>
          <w:numId w:val="96"/>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与园区租户、行政部门形成联络机制，建立联防机制；</w:t>
      </w:r>
    </w:p>
    <w:p>
      <w:pPr>
        <w:numPr>
          <w:ilvl w:val="0"/>
          <w:numId w:val="96"/>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实行军事化培训和管理，安保岗位要求35周岁以下；</w:t>
      </w:r>
    </w:p>
    <w:p>
      <w:pPr>
        <w:numPr>
          <w:ilvl w:val="0"/>
          <w:numId w:val="96"/>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按要求做好门岗、巡逻、监控、交通管理工作，具体如下；</w:t>
      </w:r>
    </w:p>
    <w:tbl>
      <w:tblPr>
        <w:tblStyle w:val="21"/>
        <w:tblW w:w="94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1"/>
        <w:gridCol w:w="88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A</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门岗管理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主出入口设置形象岗，要求35岁以下，形象好、身体素质好。门岗24 小时值班，值班人员举止文明、态度和蔼，用语规范、礼仪规范，按时到岗，坚守岗位不脱岗。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872" w:type="dxa"/>
            <w:tcBorders>
              <w:tl2br w:val="nil"/>
              <w:tr2bl w:val="nil"/>
            </w:tcBorders>
            <w:vAlign w:val="center"/>
          </w:tcPr>
          <w:p>
            <w:pPr>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个人仪表整洁、门岗周围环境清洁，注意观察人员进出情况，发现疑点应当及时询问，劝阻小商小贩不要在物业管理区域内乱设摊点。对进出物业管理区域的各类车辆进行有效疏导，保持出入口畅通。无人值守的人行通道非开放时间上锁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根据园区管理要求，对指定区域临时进出的人员实行登记及去向公司人员确认，做到区内无形迹可疑、无明确探访对象的闲杂人员、广告推销人员进入或逗留。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对物品进出实施分类管理，大件物品进出应进行审验，拒绝危险物品进入。大件物品出园应事前检查，并报甲方审批同意。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B</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巡逻管理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配备电子轨迹巡更系统，并负责相关设备、软件购置及维护的费用投入；科学、合理安排巡逻路线，重点、要害部分每2小时至少巡逻1次，发现违法、违章行为应及时制止。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按规定时间、路线巡回检查，多看、多听、多闻、多问，排除各种不安全因素；发现疑点应追查原因，同时通知上级及甲方。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巡查中发现异常情况，应立即通知上级，并在现场采取必要措施，随时准备启动相应的应急预案，并第一时间通知甲方或政府有关部门。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收到中央监控室发出指令后，巡逻人员应及时到达，并采取相应措施。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对物业管理区域内设置的消火栓（箱）、窨井盖、安全警示标志等涉及公共安全的设施进行巡查，发现缺失、损坏或不能正常使用等情况，应及时报告并记录。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负责电子轨迹巡更系统。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C</w:t>
            </w:r>
          </w:p>
        </w:tc>
        <w:tc>
          <w:tcPr>
            <w:tcW w:w="8872" w:type="dxa"/>
            <w:tcBorders>
              <w:tl2br w:val="nil"/>
              <w:tr2bl w:val="nil"/>
            </w:tcBorders>
            <w:vAlign w:val="center"/>
          </w:tcPr>
          <w:p>
            <w:pPr>
              <w:tabs>
                <w:tab w:val="left" w:pos="0"/>
              </w:tabs>
              <w:autoSpaceDE w:val="0"/>
              <w:autoSpaceDN w:val="0"/>
              <w:adjustRightInd w:val="0"/>
              <w:snapToGrid w:val="0"/>
              <w:spacing w:line="276" w:lineRule="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监控管理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负责配备24小时安防固话，监控中心设施应24小时开通，保证对安全出入口、内部重点区域的安全监控，保持完整的监控记录。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监控中心收到火情、险情及其他异常情况报警信号后，应及时报警，并通知相关人员及时直到现场进行处理。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监控的录入资料应至少保持30天，有特殊要求的参照相关规定或行业标准执行。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治安电话畅通，接听及时，记录准备详尽。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闭路监控画面清晰、视角合理，大堂、电梯、人行路口监控画面能够识别进出人员面孔；晚间光线充足或有红外补光。监控画面完好率100%。监控岗对关键镜头进行24小时实时监控，遮蔽镜头3分钟，控制中心监控岗能及时发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制订完善的监控查阅管理制度。对进出监控中心进行登记。查阅监控录像，必须经甲方审批同意；非甲方审批同意或执法机关办案需要，不能提供录像拷贝。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D</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交通管理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根据实际情况设置行车指示标志，规定车辆行驶路线，指定车辆停放区域 ，公开收费标准，代甲方向园区停车场的临停车辆收取停车费。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车辆管理人员应对进出的种类车辆进行管理，维护交通秩序，保证车辆便于通行、易于停放；若对进出车辆有疑问，应向驾驶员进行询问。做好运输装修材料的施工车辆出入及停放位置管理，做到园内人车分流，不影响园区租户的正常经营和园区的整体形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停车场车辆应停放有序，车库场地定时清洁，无易燃易爆等物品存放；防止漏油、漏气车辆进入停车场。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地面、墙面按车辆道路行驶要求设立明显指示牌，照明、消防器械配置齐全。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做好停车场管理，维护停车场公共秩序，指挥车辆按车位停放，非机动车定点停放。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全天 24 小时对停车场、临时停车实施管理和服务，保证车辆停放安全，严格执行园区停车场管理规定或临时特定要求。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负责重要接待及活动的车辆停放指挥，必要时增加保安人员加强车辆临时停放管理。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负责停车场智能系统日常使用、管理、联系保养工作，负责停车场交通配套设备、设施的日常使用、管理，联系跟进保养及维修等工作。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对停车场和办公楼辖内发生的交通事故及交通设施损坏应及时妥善处理并报告协助园区做好善后处理工作。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872" w:type="dxa"/>
            <w:tcBorders>
              <w:tl2br w:val="nil"/>
              <w:tr2bl w:val="nil"/>
            </w:tcBorders>
            <w:vAlign w:val="center"/>
          </w:tcPr>
          <w:p>
            <w:pPr>
              <w:spacing w:line="276"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严禁电瓶车私自拉电、充电现象。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531" w:type="dxa"/>
            <w:tcBorders>
              <w:tl2br w:val="nil"/>
              <w:tr2bl w:val="nil"/>
            </w:tcBorders>
            <w:vAlign w:val="center"/>
          </w:tcPr>
          <w:p>
            <w:pPr>
              <w:tabs>
                <w:tab w:val="left" w:pos="0"/>
              </w:tabs>
              <w:autoSpaceDE w:val="0"/>
              <w:autoSpaceDN w:val="0"/>
              <w:adjustRightInd w:val="0"/>
              <w:snapToGrid w:val="0"/>
              <w:spacing w:line="276"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872" w:type="dxa"/>
            <w:tcBorders>
              <w:tl2br w:val="nil"/>
              <w:tr2bl w:val="nil"/>
            </w:tcBorders>
            <w:vAlign w:val="center"/>
          </w:tcPr>
          <w:p>
            <w:pPr>
              <w:tabs>
                <w:tab w:val="left" w:pos="0"/>
              </w:tabs>
              <w:autoSpaceDE w:val="0"/>
              <w:autoSpaceDN w:val="0"/>
              <w:adjustRightInd w:val="0"/>
              <w:snapToGrid w:val="0"/>
              <w:spacing w:line="276"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停车场收费续期办证工作。</w:t>
            </w:r>
          </w:p>
        </w:tc>
      </w:tr>
    </w:tbl>
    <w:p>
      <w:pPr>
        <w:numPr>
          <w:ilvl w:val="0"/>
          <w:numId w:val="94"/>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消防管理</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建立健全消防管理制度，建立消防责任制；</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全天24小时消防值班，24小时消防主机监管；工作人员按照《中华人民共和国消防法》及相关法律法规持证上岗，每班不少于2人；</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建立义务消防队伍，出现消防事故应有人到达现场，进行必要的扑救；</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负责园区内的全部消防设施、设备的使用和管理及大楼火灾的报警和救助工作，并制定完善的消防应急方案；</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认真贯彻“安全第一，预防为主”的方针，建立消防组织机构、职责、规章制度和工作程序，落实各级消防责任人。全面熟练掌握消防报警、干式灭火（气体）、湿式灭火（喷淋）、防排烟及消防栓五个系统的作用、位置和操作方法；</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对消防设备和设施的维修保养，进行全面检查，确保消防设备和设施随时处于正常工作状态。负责办公区域和公共区域配装的各种灭火器材、防毒面具、烟感、喷淋设施以及楼梯、走道和出口的安全疏散提示、应急照明、通风设施等日常检查、维修；</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每周对园区所有的消防设备进行一次全面检查、设施巡视检查工作，并做好记录，及时整改火险隐患，监护动火和易燃易爆用品存放情况，保持消防区及楼梯走道和出口畅通；</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做好消防知识的培训和宣传，每年组织综合消防应急演练不少于2次；</w:t>
      </w:r>
    </w:p>
    <w:p>
      <w:pPr>
        <w:numPr>
          <w:ilvl w:val="0"/>
          <w:numId w:val="9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做好其它防火灭火工作及消防配套设施的维修及保养。</w:t>
      </w:r>
    </w:p>
    <w:p>
      <w:pPr>
        <w:numPr>
          <w:ilvl w:val="0"/>
          <w:numId w:val="94"/>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应急管理</w:t>
      </w:r>
    </w:p>
    <w:p>
      <w:pPr>
        <w:numPr>
          <w:ilvl w:val="0"/>
          <w:numId w:val="98"/>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的实际情况和要求，制订并严格执行突发性公共事件应急预案，每年按照相关法律法规完成应急演练，组织消防应急演练不少于2次，电梯安全应急演练不少于1次，突发事件应急演练不少于1次；</w:t>
      </w:r>
    </w:p>
    <w:p>
      <w:pPr>
        <w:numPr>
          <w:ilvl w:val="0"/>
          <w:numId w:val="98"/>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当发生突发性事件时，应按预定方案进行处理，全力配合有关部门，保护人身安全并尽量减少财产损失；</w:t>
      </w:r>
    </w:p>
    <w:p>
      <w:pPr>
        <w:numPr>
          <w:ilvl w:val="0"/>
          <w:numId w:val="98"/>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生突发事件时，所在区域内的当班人员应在3分钟内赶到现场，到场后能准确判断情况，有效控制局面，并采取必要的隔离行动；监控中心指挥得当；如需协助，救援人员应在下表规定的时间内赶到现场，合理布控；赶到现场人员须携带与事发性质相对应的应急工具；</w:t>
      </w:r>
    </w:p>
    <w:p>
      <w:pPr>
        <w:numPr>
          <w:ilvl w:val="0"/>
          <w:numId w:val="98"/>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遇暴雨或其他灾害性天气，应采取以下应急措施：①对设备机房、停车场、广告牌等露天设施的抗强风能力进行检查和加固②对集水井泵运转情况进行检查，保证正常排涝③对排水系统进行检查疏通清除杂物，确保排水通畅④及时准备必要的抢险物资，安排值班人员进行巡查。</w:t>
      </w:r>
    </w:p>
    <w:p>
      <w:pPr>
        <w:numPr>
          <w:ilvl w:val="0"/>
          <w:numId w:val="94"/>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装修管理</w:t>
      </w:r>
    </w:p>
    <w:p>
      <w:pPr>
        <w:numPr>
          <w:ilvl w:val="0"/>
          <w:numId w:val="9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严格落实装修报建相关的法规制度，根据甲方要求负责园区租户装修的方案审批、监督管理、竣工备案及档案管理工作，对需要向相关行政部门报建的，严格把控通过后方可施工。</w:t>
      </w:r>
    </w:p>
    <w:p>
      <w:pPr>
        <w:numPr>
          <w:ilvl w:val="0"/>
          <w:numId w:val="9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完善的园区租户装修服务制度，包括事前告知（法律法规禁止事项）、事中制止及事后上报义务履行的措施与方法，及日常巡查范围、要求及频次等。装修前，受理企业装修申报登记，与租户、装修施工单位签订装修服务协议，对用房的装修方案进行初步审核，告知租户、装修施工单位有关装饰装修的禁止行为和注意事项，装修方案经园区同意及备案后，方可施工。</w:t>
      </w:r>
    </w:p>
    <w:p>
      <w:pPr>
        <w:numPr>
          <w:ilvl w:val="0"/>
          <w:numId w:val="9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依据装修户数提前做好现场巡查人员配备及工具材料准备等工作。装修期间，每天巡查1次装修施工现场，登记工程进度。发现影响房屋外观、危及房屋结构安全及违规拆改共用管线、消防设施等行为，及时劝阻。</w:t>
      </w:r>
    </w:p>
    <w:p>
      <w:pPr>
        <w:numPr>
          <w:ilvl w:val="0"/>
          <w:numId w:val="9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装修结束后，应进行检查。对违反装修服务协议的当事人应按照约定处理，问题严重的应报告主管部门。</w:t>
      </w:r>
    </w:p>
    <w:p>
      <w:pPr>
        <w:numPr>
          <w:ilvl w:val="0"/>
          <w:numId w:val="9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提前对可能因装修造成损坏的共用部位（大堂、电梯厅、电梯轿厢、特殊材质地面等）采取防护措施。</w:t>
      </w:r>
    </w:p>
    <w:p>
      <w:pPr>
        <w:numPr>
          <w:ilvl w:val="0"/>
          <w:numId w:val="9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与园区租户签订管理协议（如装修垃圾搬运等），明确违约责任、处理措施。或有其它的疏导、管理途径，避免强买、强卖或由此引起的投诉、经济纠纷。</w:t>
      </w:r>
    </w:p>
    <w:p>
      <w:pPr>
        <w:numPr>
          <w:ilvl w:val="0"/>
          <w:numId w:val="9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指定装修垃圾存放点并设置围挡，装修垃圾袋装并及时集中清运。</w:t>
      </w:r>
    </w:p>
    <w:p>
      <w:pPr>
        <w:numPr>
          <w:ilvl w:val="0"/>
          <w:numId w:val="94"/>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停车场管理</w:t>
      </w:r>
    </w:p>
    <w:p>
      <w:pPr>
        <w:numPr>
          <w:ilvl w:val="0"/>
          <w:numId w:val="10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根据相关法律法规、物业服务合同和</w:t>
      </w:r>
      <w:r>
        <w:rPr>
          <w:rFonts w:hint="eastAsia" w:ascii="宋体" w:hAnsi="宋体" w:eastAsia="宋体" w:cs="宋体"/>
          <w:color w:val="auto"/>
          <w:kern w:val="0"/>
          <w:sz w:val="21"/>
          <w:szCs w:val="21"/>
          <w:highlight w:val="none"/>
          <w:lang w:val="en-US" w:eastAsia="zh-CN"/>
        </w:rPr>
        <w:t>停</w:t>
      </w:r>
      <w:r>
        <w:rPr>
          <w:rFonts w:hint="eastAsia" w:ascii="宋体" w:hAnsi="宋体" w:eastAsia="宋体" w:cs="宋体"/>
          <w:color w:val="auto"/>
          <w:kern w:val="0"/>
          <w:sz w:val="21"/>
          <w:szCs w:val="21"/>
          <w:highlight w:val="none"/>
        </w:rPr>
        <w:t>车场管理规定</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见附件3）</w:t>
      </w:r>
      <w:r>
        <w:rPr>
          <w:rFonts w:hint="eastAsia" w:ascii="宋体" w:hAnsi="宋体" w:eastAsia="宋体" w:cs="宋体"/>
          <w:color w:val="auto"/>
          <w:kern w:val="0"/>
          <w:sz w:val="21"/>
          <w:szCs w:val="21"/>
          <w:highlight w:val="none"/>
        </w:rPr>
        <w:t>，对车辆进行规范管理；</w:t>
      </w:r>
    </w:p>
    <w:p>
      <w:pPr>
        <w:numPr>
          <w:ilvl w:val="0"/>
          <w:numId w:val="10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为停车场配备的服务人员要求上岗时着装整齐、统一、规范，安保人员要求年龄在35岁以下，身高1.70米以上，有安保、物业管理经验，身体健康，仪表大方；</w:t>
      </w:r>
    </w:p>
    <w:p>
      <w:pPr>
        <w:numPr>
          <w:ilvl w:val="0"/>
          <w:numId w:val="10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保障停车场内交通设施的完好，标线、标志牌的清楚和稳固，停车场内设施设备整洁，路面无明显杂物；</w:t>
      </w:r>
    </w:p>
    <w:p>
      <w:pPr>
        <w:numPr>
          <w:ilvl w:val="0"/>
          <w:numId w:val="10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对停车场的场地和设施设备定期展开检查、维修等相关管理工作；</w:t>
      </w:r>
    </w:p>
    <w:p>
      <w:pPr>
        <w:numPr>
          <w:ilvl w:val="0"/>
          <w:numId w:val="10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保持停车场场地的卫生整洁，引导车辆有序停放，并对车场实行24小时监控和定时巡查制度；</w:t>
      </w:r>
    </w:p>
    <w:p>
      <w:pPr>
        <w:numPr>
          <w:ilvl w:val="0"/>
          <w:numId w:val="10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保持停车场消防通道的畅通，并保证消防设施设备配置完好、运行正常。</w:t>
      </w:r>
    </w:p>
    <w:p>
      <w:pPr>
        <w:numPr>
          <w:ilvl w:val="0"/>
          <w:numId w:val="10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乙方须购置公众责任险，并根据相关法律法规、物业服务合同和车场管理规定对停放车辆规范管理，因管理不当造成的车辆或财产被盗、车辆损毁等责任由乙方承担，但由于车辆本身原因造成车辆损毁及第三方损失，责任由车位使用方承担</w:t>
      </w:r>
      <w:r>
        <w:rPr>
          <w:rFonts w:hint="eastAsia" w:hAnsi="宋体" w:cs="宋体"/>
          <w:color w:val="auto"/>
          <w:kern w:val="0"/>
          <w:sz w:val="21"/>
          <w:szCs w:val="21"/>
          <w:highlight w:val="none"/>
          <w:lang w:val="en-US" w:eastAsia="zh-CN"/>
        </w:rPr>
        <w:t>。</w:t>
      </w:r>
    </w:p>
    <w:p>
      <w:pPr>
        <w:numPr>
          <w:ilvl w:val="0"/>
          <w:numId w:val="94"/>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意见管理</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设有服务接待中心，公示24小时服务电话；</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每年至少1次征询租户对物业服务的意见；</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建立客户投诉意见处理程序，明确处理流程、处理时效、各层级职责、监督与回访等要求并有效落实；</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建立24小时电话接听制度，24小时受理客户报修、求助、投诉等；</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安排专人负责客户投诉处理，对于物业服务相关的投诉及时跟进处理；</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项目现场受理的投诉，应及时作好记录，并根据投诉类别通知责任岗位处理；重大、热点投诉应及时填写相关记录发予送甲方；</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网络投诉须在投诉产生或收到转发后24小时内回复；其他形式的投诉均须在投诉产生或收到转发后1个工作日内回复；</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对于共性的、涉及公共部位和公共利益的投诉，每月整理汇总处理措施和结果，由</w:t>
      </w:r>
      <w:r>
        <w:rPr>
          <w:rFonts w:hint="eastAsia" w:hAnsi="宋体" w:cs="宋体"/>
          <w:color w:val="auto"/>
          <w:kern w:val="0"/>
          <w:sz w:val="21"/>
          <w:szCs w:val="21"/>
          <w:highlight w:val="none"/>
          <w:lang w:eastAsia="zh-CN"/>
        </w:rPr>
        <w:t>甲方</w:t>
      </w:r>
      <w:r>
        <w:rPr>
          <w:rFonts w:hint="eastAsia" w:ascii="宋体" w:hAnsi="宋体" w:eastAsia="宋体" w:cs="宋体"/>
          <w:color w:val="auto"/>
          <w:kern w:val="0"/>
          <w:sz w:val="21"/>
          <w:szCs w:val="21"/>
          <w:highlight w:val="none"/>
        </w:rPr>
        <w:t>确定是否公示、公示张贴区域范围等；</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投诉处理过程中保持与客户沟通，投诉处理进度、处理情况应三天一次及时向投诉客户反馈；</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所有投诉均须有完整的处理记录，并建档保存；重大、热点投诉处理完毕后应形成专项报告，单独立卷保存；</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所有投诉处理完毕后，应进行100%回访；</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向公安机关报案的投诉，应协助公安部门处理；</w:t>
      </w:r>
    </w:p>
    <w:p>
      <w:pPr>
        <w:numPr>
          <w:ilvl w:val="0"/>
          <w:numId w:val="10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涉及依法裁决的投诉，按法律程序处理。</w:t>
      </w:r>
    </w:p>
    <w:p>
      <w:pPr>
        <w:numPr>
          <w:ilvl w:val="0"/>
          <w:numId w:val="94"/>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设备、设施管理及维护服务</w:t>
      </w:r>
    </w:p>
    <w:p>
      <w:pPr>
        <w:numPr>
          <w:ilvl w:val="0"/>
          <w:numId w:val="102"/>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负责园区所有土建、机电设备、给排水、外装饰及周边附属建筑物的管理、维护和保养；</w:t>
      </w:r>
    </w:p>
    <w:p>
      <w:pPr>
        <w:numPr>
          <w:ilvl w:val="0"/>
          <w:numId w:val="102"/>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常巡检发现问题应立即处理，有完整的报修、维修记录；小修工作应在1天内完成。相关法律规范或机电设备原有维护标准有特殊要求的，从其执行，但各机电设备设施管理的标准不低于国家、政府部门有关规定要求。无列明维护管理标准要求的，按相类似设备要求执行；</w:t>
      </w:r>
    </w:p>
    <w:p>
      <w:pPr>
        <w:numPr>
          <w:ilvl w:val="0"/>
          <w:numId w:val="102"/>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每月制定次月机电设备设施工作计划、主要工作情况，内容包括但不限于各机电设备设施的维护管理工作内容、工作人员排班等，汇编至物业月度报告（有相应的摄像照片记录）；</w:t>
      </w:r>
    </w:p>
    <w:p>
      <w:pPr>
        <w:numPr>
          <w:ilvl w:val="0"/>
          <w:numId w:val="102"/>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设备设施标志、标牌齐全，墙面悬挂“操作、维修作业指导书”及必要的“应急处理预案”。设备房保证24小时有值班人员进行维护。无人值守的设备房上锁管理，控制中心留存所有设备房的钥匙；</w:t>
      </w:r>
    </w:p>
    <w:p>
      <w:pPr>
        <w:numPr>
          <w:ilvl w:val="0"/>
          <w:numId w:val="102"/>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房地面应平坦、干燥、防滑，墙面应平整、整洁，无积尘，设备表面无油污；设备房中重要设备上端有排污管等设施时，应在该设备上方加装喇叭口、挡板等设施。天台或地下设备房内的控制室入口处应有防止水浸的措施。设置集水底坑的设备房，应保持排水通畅；</w:t>
      </w:r>
    </w:p>
    <w:p>
      <w:pPr>
        <w:numPr>
          <w:ilvl w:val="0"/>
          <w:numId w:val="102"/>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相关工作要求如下：</w:t>
      </w:r>
    </w:p>
    <w:tbl>
      <w:tblPr>
        <w:tblStyle w:val="21"/>
        <w:tblW w:w="9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8"/>
        <w:gridCol w:w="86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A</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变配电系统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按时规定周期对变配电设施进行检查维护、清洁，并做好记录。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高低压配电柜运行正常、操作灵活，仪表显示准确。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变压器运行正常，通风降温设备可靠，温度显示准确。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制定突发事件应急处理程序和临时用电管理 措施，明确停、送审批权限，停、送电按规定提前通知租户。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制定变本电室人员出入管理制度，配电室实行封闭管理，无鼠洞，配备符合要求的灭火器材。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高压防护用具、验电器按规定每半年检定1次，计量器具、检测仪表按规定周期送计检局检定。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自备电房贴、挂安全操作程序及应急管理制度。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设备责任人每日对供配电系统进行2次巡视检查并记录相关运行参数。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负责选聘有资质单位对高压部分（变压器之前的部分，含变压器）做好维护检修并支付相关费用；负责选聘</w:t>
            </w:r>
            <w:r>
              <w:rPr>
                <w:rFonts w:hint="eastAsia" w:ascii="宋体" w:hAnsi="宋体" w:eastAsia="宋体" w:cs="宋体"/>
                <w:color w:val="auto"/>
                <w:kern w:val="0"/>
                <w:sz w:val="21"/>
                <w:szCs w:val="21"/>
                <w:highlight w:val="none"/>
                <w:lang w:val="en-US" w:eastAsia="zh-CN"/>
              </w:rPr>
              <w:t>具备相关资质的</w:t>
            </w:r>
            <w:r>
              <w:rPr>
                <w:rFonts w:hint="eastAsia" w:ascii="宋体" w:hAnsi="宋体" w:eastAsia="宋体" w:cs="宋体"/>
                <w:color w:val="auto"/>
                <w:kern w:val="0"/>
                <w:sz w:val="21"/>
                <w:szCs w:val="21"/>
                <w:highlight w:val="none"/>
              </w:rPr>
              <w:t>专业人员对低压部分（变压器之后的部分）做好维护检修。（配备4个电房，分别为1号1000kVA，2号1000kVA,3号2000kVA,4号2*1250kVA，外部双回路供电至园区）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B</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给排水系统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天检查1次生活泵、气压罐、排污泵、水池水箱、管道阀门，检查公共卫生间、开水房、管道井内的上下水管道、阀门、减压阀，集水坑、污水坑、室内外排水沟渠（井）。设备运行正常，压力符合要求，仪表指示准确，无跑、冒、滴、漏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生活水泵、管道、阀门定期进行维护保养；集水坑、污水坑、化粪池、室内外排水沟渠（井）定期检查，视实际情况进行疏通清淘；排水畅通无堵塞。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生活水箱（池）检修口封闭、加锁，通气口需设隔离网，环境卫生，无污染物。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tabs>
                <w:tab w:val="left" w:pos="0"/>
                <w:tab w:val="left" w:pos="1575"/>
              </w:tabs>
              <w:autoSpaceDE w:val="0"/>
              <w:autoSpaceDN w:val="0"/>
              <w:adjustRightInd w:val="0"/>
              <w:snapToGrid w:val="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落实停水、爆管等应急处理程序，计划停水按规定提前通知园区租户。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C</w:t>
            </w:r>
          </w:p>
        </w:tc>
        <w:tc>
          <w:tcPr>
            <w:tcW w:w="8659" w:type="dxa"/>
            <w:tcBorders>
              <w:tl2br w:val="nil"/>
              <w:tr2bl w:val="nil"/>
            </w:tcBorders>
            <w:vAlign w:val="center"/>
          </w:tcPr>
          <w:p>
            <w:pPr>
              <w:tabs>
                <w:tab w:val="left" w:pos="0"/>
              </w:tabs>
              <w:autoSpaceDE w:val="0"/>
              <w:autoSpaceDN w:val="0"/>
              <w:adjustRightInd w:val="0"/>
              <w:snapToGrid w:val="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 xml:space="preserve">空调系统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负责园区公共部分及</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办公用房空调的维保、维修、清洗（约50台），进行园区公共区域空调系统的日常维护、保养进行监管，保证园区公共区域、自有空调的运行。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设备工作正常、安全装置有效。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运行期间每日巡视1次空调系统，保证室内温度符合相关规定。检查设备运行状态及参数。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每月检查空调主机，测试运行控制和安全控制功能，分析运行数据，对能源消耗进行统计、分析。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定期对空调系统电源柜、控制柜进行检查、紧固螺栓、测试绝缘，保证系统的用电安全。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管道、阀门无锈蚀，保温层完好，无跑、冒、滴、漏现象；每1年至少除锈漆刷漆1次。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tabs>
                <w:tab w:val="left" w:pos="3075"/>
              </w:tabs>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根据实际情况进行风管系统清洗，保证空气质量。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科学合理开、关中央空调，保障冷气正常供应使用。按国家相关要求严格控制温度范围，夏季室内温度 22-26℃，做好节能工作。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空调设备发生故障时，维保技术人员应在30分钟内到达现场抢修，一般故障在4小时内修复；如压缩机或电路板等其他特殊的大故障，则应在48小时内修复。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每年对空调系统进行1次整体清洗、维修养护。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D</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电梯系统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负责选聘专业有资质的公司对电梯实行维保并支付相关费用（合共8台电梯，两层、六层、八层各1台， 五层2台，三层3台），对电梯维保公司进行监管，负责办理电梯年审、日常维修保养</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含电梯机房、空调等与电梯相关的附属设备设施）</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测试调试</w:t>
            </w:r>
            <w:r>
              <w:rPr>
                <w:rFonts w:hint="eastAsia" w:ascii="宋体" w:hAnsi="宋体" w:eastAsia="宋体" w:cs="宋体"/>
                <w:color w:val="auto"/>
                <w:kern w:val="0"/>
                <w:sz w:val="21"/>
                <w:szCs w:val="21"/>
                <w:highlight w:val="none"/>
              </w:rPr>
              <w:t>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电梯运行平衡、乘坐舒适、平层准确，轿厢照明、内外扶梯按钮完好，楼层显示正常，轿厢内整洁无污染。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根据温度开启轿厢风扇。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警铃或其他救助设备功能完备，称重装备可靠，安全装备有效无缺损，电梯运行无异常。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设专职人员对电梯维护保养进行监督，对电梯运行进行管理，并按技术要求做好日常运行巡检记录。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电梯发生一般性故障，专业维修保养人员应在1小时内到达现场维修；发生电梯困人或其他重大事件时物业管理专职人员应及时应急处理，专业维修保养人员应在 15 分钟内到达现场进行抢修。电梯困人故障解除后，应对被困人员进行善后解释和安抚工作。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电梯机房实行封闭管理，机房内温度不超过设备安全运行环境温度，配备应急照明、灭器和盘车工具齐全，并挂于显眼方便处。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轿箱内张贴有效期内电梯年检合格证、电梯保险标识、24小时值班工作人员电话（具体电梯救援资格），紧急对讲使用方便可靠，有相应标识；按钮面板整洁，字迹清晰。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电梯维修保养合同完备（包括要求约定年度、季度、月度检修、维护保养计划、电梯年检合格、紧急救援时间），对供方的工作及人员有有效的监督管理制度。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体电梯系统设备设施每天不少于一次巡查记录。物业公司应聘请具有相应资质的专业公司对电梯进行周期性检查维护，并对电梯进行半月、季度、半年、年度维保。维保的执行细则和电梯技术参数应符合相关技术规范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有关维修保养计划须报园区备案。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E</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消防系统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选聘专业有资质符合法律法规规定的公司对消防系统进行维保并支付相关费用，对消防维保公司进行监管，协调进行消防系统的日常维护、检查、维修等工作；负责选聘消防自动报警远程监控系统联网检测服务单位并支付相关费用（远程自动报警探头约</w:t>
            </w:r>
            <w:r>
              <w:rPr>
                <w:rFonts w:hint="eastAsia" w:ascii="宋体" w:hAnsi="宋体" w:cs="宋体"/>
                <w:color w:val="auto"/>
                <w:kern w:val="0"/>
                <w:sz w:val="21"/>
                <w:szCs w:val="21"/>
                <w:highlight w:val="none"/>
                <w:lang w:val="en-US" w:eastAsia="zh-CN"/>
              </w:rPr>
              <w:t>2000</w:t>
            </w:r>
            <w:r>
              <w:rPr>
                <w:rFonts w:hint="eastAsia" w:ascii="宋体" w:hAnsi="宋体" w:eastAsia="宋体" w:cs="宋体"/>
                <w:color w:val="auto"/>
                <w:kern w:val="0"/>
                <w:sz w:val="21"/>
                <w:szCs w:val="21"/>
                <w:highlight w:val="none"/>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当被检测探测器响应参数达到预定值时，探测器应输出火警信号，同时启动探测器的确认灯。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操作启动部件，手动火灾报警按钮应能输出火警信号，报警按钮应当有动作显示。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火灾时应能将火灾疏散层的扬声器和广播背景音响系统强制转入火灾应急广播状态，并控制在选定的楼层内。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报警功能：能正常接收来自火灾探测器及其他报警触发器件的火灾报警信号，发出声光信号。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故障报警：当控制器和火灾探测器、控制器和传输火灾报警信号作用的部件发生故障时，应当正确指出故障部位。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火警优先功能：显示预报警和故障信号时，如有火灾报警信号输入，应当立即显示火灾报警信号；显示故障信号时，如有预报警信号输入，应当显示预报警信号。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电源转换功能：主电源切断时，备用电源应当能自动投入运行；当主电源恢复时能从备用电源自动转入主电源状态。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消防对讲电话应语音清楚无干扰。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灾确认后：消防电梯联动迫降后可进行人工操作，其功能、信号应当正常；控制相应部分的正压风机和排烟机启动，接受其反馈信号并显示其状态；发出控制信号，将着火层防烟风阀、排烟阀打开，接受其反馈信号并显示其状态；控制室应能控制有关部分的防火卷帘门按规定程序下降，接受其反馈信号并显示其状态；应当释放所有门禁装备，保证疏散门畅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自动喷淋系统有水流动时，其水流指示器应显示、压力开关运作、水力警铃应发出报警铃声。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安全出口、疏散指示灯火灾时应维持90分钟以上的照明时间。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消防水带每半年检查1次，应无破损、发黑、发霉现象。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联动控制台工作正常、显示正确，系统误报率不超过3%。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消火栓每月检查1次，保持消火栓箱内配件完好。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消防泵每月启动1次，每年保养1次。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保证消防用水的基本储备，确保火灾险情时的应急灭火用水。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维保公司工作人员需经消防培训考试合格持证上岗。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消防主机除检修时间外，必需处于开机运行状态。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发生一般性故障，专业维修保养人员应在12小时内到达现场维修；发生重大故障时，物业管理专职人员应及时采取相应措施应急处理，专业维修保养人员应在30分钟内到达现场进行抢修。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负责监督专业消防维保公司做好消防设备月、季、年度测试工作，按时段和设备数量比例，抽查、检测系统设备，全年覆盖所有系统设备。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配合专业消防公司制定消防设备年度保养计划，并监督完成情况。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F</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安全防范系统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负责对安全防范系统进行维保，协调进行安防系统的日常维护、检查、维修等工作。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系统设备时间、日期准确，摄像机编号有逻辑性。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矩阵工作正常，线路整齐，分组同步切换标识清楚。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传输线路应有良好的接地，并对干扰信号进行屏蔽，同轴电缆两端“地电压”应一致。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多媒体图形工作站应直观显示各监控点位置，对报警应及时响应。录像机工作正常，显示准确、整洁。画面分割器工作正常、整洁。监视器工作正常、图像清晰、色彩良好、整洁。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录入资料应保持30天以上，并应有时间、日期及摄像机编号，有特殊要求的参照相关规定。存在诉讼隐患的突发事件监控录像保存期限不少于2年。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摄像机安装牢固，位置正确，工作正常、整洁，室外摄像机应注意防水、防尘、密封及散热，并应满足室外最低照度要求。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相关报警装备安装牢固，灵敏可靠，及时反馈报警信息。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每季度对 UPS 电源进行1次完全代载放电，并充电检测。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维保工作由专职人员进行，非授权人员不得擅自更改安防设置及对主机开盖检测箱内元件。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设立监控资料调用、查阅权限，调用查阅需经授权。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每年由物业公司组织相关专业人员对安全防范系统进行1次全面检查，对安全防范方面存在的漏洞、隐患等情况进行限期整改。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eastAsia="zh-CN"/>
              </w:rPr>
              <w:t>项目经理</w:t>
            </w:r>
            <w:r>
              <w:rPr>
                <w:rFonts w:hint="eastAsia" w:ascii="宋体" w:hAnsi="宋体" w:eastAsia="宋体" w:cs="宋体"/>
                <w:color w:val="auto"/>
                <w:kern w:val="0"/>
                <w:sz w:val="21"/>
                <w:szCs w:val="21"/>
                <w:highlight w:val="none"/>
              </w:rPr>
              <w:t>夜间查岗每月不少于1次，项目安全负责人夜间查岗每周不少于1次。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防火门、大堂门禁系统、自动感应门每月检查保养1次。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负责小镇范围内智能化系统及其设备的正常运转，确保安全监控24小时专人看管，协助小镇运营机构管理小镇门禁系统服务、公共部分网络服务。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G</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停车场管理系统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要求落实停车场管理系统的维保工作，</w:t>
            </w:r>
            <w:r>
              <w:rPr>
                <w:rFonts w:hint="eastAsia" w:ascii="宋体" w:hAnsi="宋体" w:eastAsia="宋体" w:cs="宋体"/>
                <w:color w:val="auto"/>
                <w:kern w:val="0"/>
                <w:sz w:val="21"/>
                <w:szCs w:val="21"/>
                <w:highlight w:val="none"/>
                <w:lang w:val="en-US" w:eastAsia="zh-CN"/>
              </w:rPr>
              <w:t>负责</w:t>
            </w:r>
            <w:r>
              <w:rPr>
                <w:rFonts w:hint="eastAsia" w:ascii="宋体" w:hAnsi="宋体" w:eastAsia="宋体" w:cs="宋体"/>
                <w:color w:val="auto"/>
                <w:kern w:val="0"/>
                <w:sz w:val="21"/>
                <w:szCs w:val="21"/>
                <w:highlight w:val="none"/>
              </w:rPr>
              <w:t>停车系统日常维护、检查、维修等工作。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作站工作正常、通讯正常、整洁；服务器、通讯正常；出入口机工作正常、通讯正常；图像识别系统工作正常，摄像机工作正常，车辆及车牌号清晰，信息相对应及时存入、读出数据库；电动道闸工作正常、整洁，反应灵敏；车辆检测器工作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负责对岗停配套计算机管理和维护，不得损失设备硬件，不得私自改变计算机设置和更换计算机硬件、软件、和外来软件和光盘。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停车场管理系统发生故障，立即上报园区并第一时间联系维保单位进行维修。设置适当的提醒标识。普通故障原则上一天内完成修复。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H</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公共照明系统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在满足使用的要求情况下，合理控制机电设备照明的开关时间，尽量节省能源；落实好公共照明节能管理制度及方案，拟订照明设施开关计划，对能源消耗进行统计、分析。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每天 1 次巡查大堂、电梯间、停车场、通道、光彩照明、LED 灯、标识牌灯、景观照明、霓虹灯等公共部位照明，有效亮灯率达 98%以上，如有缺损及时更换。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每周 1 次巡检公共照明电源柜，如有问题及时更换，保证设备正常运行和安全用电。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I</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避雷系统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每年雨季前必须要按照法律法规规定对建筑避雷系统进行检测，留存检测合格报告，同时动员和组织租户对重要设施设备进行防雷检测。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保持壁垒系统完整性，不得擅自拆除、迁改避雷设施。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每半年对楼顶层的避雷针、避雷带、避雷线、避雷网、屋面设备、其它金属物体的接地装置进行全面检查，有问题及时解决。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J</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标识系统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参照园区现有标识系统情况，</w:t>
            </w:r>
            <w:r>
              <w:rPr>
                <w:rFonts w:hint="eastAsia" w:ascii="宋体" w:hAnsi="宋体" w:eastAsia="宋体" w:cs="宋体"/>
                <w:color w:val="auto"/>
                <w:kern w:val="0"/>
                <w:sz w:val="21"/>
                <w:szCs w:val="21"/>
                <w:highlight w:val="none"/>
              </w:rPr>
              <w:t>根据甲方要求设置、</w:t>
            </w:r>
            <w:r>
              <w:rPr>
                <w:rFonts w:hint="eastAsia" w:ascii="宋体" w:hAnsi="宋体" w:eastAsia="宋体" w:cs="宋体"/>
                <w:color w:val="auto"/>
                <w:kern w:val="0"/>
                <w:sz w:val="21"/>
                <w:szCs w:val="21"/>
                <w:highlight w:val="none"/>
                <w:lang w:val="en-US" w:eastAsia="zh-CN"/>
              </w:rPr>
              <w:t>替换、完善</w:t>
            </w:r>
            <w:r>
              <w:rPr>
                <w:rFonts w:hint="eastAsia" w:ascii="宋体" w:hAnsi="宋体" w:eastAsia="宋体" w:cs="宋体"/>
                <w:color w:val="auto"/>
                <w:kern w:val="0"/>
                <w:sz w:val="21"/>
                <w:szCs w:val="21"/>
                <w:highlight w:val="none"/>
              </w:rPr>
              <w:t>和管理园区内的标识系统</w:t>
            </w:r>
            <w:r>
              <w:rPr>
                <w:rFonts w:hint="eastAsia" w:ascii="宋体" w:hAnsi="宋体" w:eastAsia="宋体" w:cs="宋体"/>
                <w:color w:val="auto"/>
                <w:kern w:val="0"/>
                <w:sz w:val="21"/>
                <w:szCs w:val="21"/>
                <w:highlight w:val="none"/>
                <w:lang w:val="en-US" w:eastAsia="zh-CN"/>
              </w:rPr>
              <w:t>并承担相关费用</w:t>
            </w:r>
            <w:r>
              <w:rPr>
                <w:rFonts w:hint="eastAsia" w:ascii="宋体" w:hAnsi="宋体" w:eastAsia="宋体" w:cs="宋体"/>
                <w:color w:val="auto"/>
                <w:kern w:val="0"/>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配置并在适当时使用“维护进行中”、“小心路滑”等临时性服务状态标识。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公共区域内的紧急出口、消防通道、禁烟区等设置警示性标识。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公共区域及仓储库区内设指示性标识（包括引导标志和功能标识，如电梯、楼梯、出入口通道、残疾人通道、门牌号、问询处、卫生间、有毒有害废弃物存放点标识等）。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应在主要通道及停车场设置交通标识，主要路口设路标。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做好入驻、退园企业的指示牌、标识的维护、更换、清洁工作。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标识的图形符号应该符合相关的法律法规要求；各类标识的格式应统一，悬挂（摆放）应安全、正规、醒目、便利、协调和无涂改，文字规范。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K</w:t>
            </w:r>
          </w:p>
        </w:tc>
        <w:tc>
          <w:tcPr>
            <w:tcW w:w="8659" w:type="dxa"/>
            <w:tcBorders>
              <w:tl2br w:val="nil"/>
              <w:tr2bl w:val="nil"/>
            </w:tcBorders>
            <w:vAlign w:val="center"/>
          </w:tcPr>
          <w:p>
            <w:pP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公共区域设施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各类金属栏、杆、桩、牌、盖等以油漆作为保护层的公共设施，表面油漆无明显脱落、无明显锈迹，安装牢固。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路面无明显污迹、破损，各类沟、渠、井、池盖安装平稳牢固无破损。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用于固定单（摩托）车库（棚）的支架应牢固、整齐、美观。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休闲椅等休闲、配套服务设备设施油漆无明显脱落、无腐烂、无倒塌、断裂等安全隐患。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各种门、杆、柱、扶手、围栏、雕塑无倒塌、断裂等安全隐患，功能良好，油漆无大面积脱落；水景、易攀爬的设施有禁止行为警示标识。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空调架安装有序，室外招牌、广告、霓虹灯整洁统一无安全隐患，外墙装饰无破损或污迹。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各类公共设施、通道、管道井的门挂锁开启便利。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上汛前和强降雨后检查屋面防水和雨水管等。公共区域内的雨水、污水管道、沟槽每半年检查、疏通1次。雨水、污水井每半年检查、清掏1次。雨水、污水管道、沟槽发生堵塞应及时疏通。化粪池每年清掏不少于1次，每季度检查1次，防止外溢。检查、疏通工作留存清晰记录，有异常堵塞物的，需要拍照存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公共区域运行良好，无违规违法张贴小广告。对未经许可擅自张贴、更改建筑外立面的广告、招牌和各项构建物沟通予以拆除。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外饰：夜饰照明系统的日常管理、使用和维修。四大节日期间的装饰工作。在满足园区使用要求的前提下，合理控制机电设备和照明的开关时间，尽量节省能源。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设立24小时工程技术人员值班备勤岗，随时接受园区报修。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18" w:type="dxa"/>
            <w:tcBorders>
              <w:tl2br w:val="nil"/>
              <w:tr2bl w:val="nil"/>
            </w:tcBorders>
            <w:vAlign w:val="center"/>
          </w:tcPr>
          <w:p>
            <w:pPr>
              <w:tabs>
                <w:tab w:val="left" w:pos="0"/>
              </w:tabs>
              <w:autoSpaceDE w:val="0"/>
              <w:autoSpaceDN w:val="0"/>
              <w:adjustRightInd w:val="0"/>
              <w:snapToGrid w:val="0"/>
              <w:spacing w:line="24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8659" w:type="dxa"/>
            <w:tcBorders>
              <w:tl2br w:val="nil"/>
              <w:tr2bl w:val="nil"/>
            </w:tcBorders>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负责园区公共会议室、路演厅、展厅等日常清洁及维护保养。</w:t>
            </w:r>
          </w:p>
        </w:tc>
      </w:tr>
    </w:tbl>
    <w:p>
      <w:pPr>
        <w:numPr>
          <w:ilvl w:val="0"/>
          <w:numId w:val="103"/>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环境保洁服务</w:t>
      </w:r>
    </w:p>
    <w:p>
      <w:pPr>
        <w:adjustRightInd w:val="0"/>
        <w:snapToGrid w:val="0"/>
        <w:spacing w:line="360" w:lineRule="auto"/>
        <w:ind w:left="0" w:leftChars="0"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办公室及设施保洁工作；园区外围道路；绿化广场；地面；大堂；会议室；公共部位（卫生间及厕具、楼梯、电梯、走廊、走火通道等）；水池；停车场；各种公共设备、设施；入园单位退场场地的清理打扫；园区场地开荒清洁；以及园区临时要求的特殊清洁任务，如清洁会场、大扫除等等，随时保洁。负责门前三包，各楼层消毒，除“四害”，防蚁、灭蚊、灭老鼠、灭蟑螂工作。负责与辖内政府单位爱卫工作的商洽和落实工作。有关标准如下：</w:t>
      </w:r>
    </w:p>
    <w:p>
      <w:pPr>
        <w:numPr>
          <w:ilvl w:val="0"/>
          <w:numId w:val="104"/>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基本要求</w:t>
      </w:r>
    </w:p>
    <w:p>
      <w:pPr>
        <w:numPr>
          <w:ilvl w:val="0"/>
          <w:numId w:val="105"/>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每年根据合同约定的清洁标准、定期保洁工作内容等，制定年度工作计划。每月依据年度计划， 结合上月清洁工作中须改进事项，制定月度工作计划，并落实。报</w:t>
      </w:r>
      <w:r>
        <w:rPr>
          <w:rFonts w:hint="eastAsia" w:hAnsi="宋体" w:cs="宋体"/>
          <w:color w:val="auto"/>
          <w:kern w:val="0"/>
          <w:sz w:val="21"/>
          <w:szCs w:val="21"/>
          <w:highlight w:val="none"/>
          <w:lang w:eastAsia="zh-CN"/>
        </w:rPr>
        <w:t>甲方</w:t>
      </w:r>
      <w:r>
        <w:rPr>
          <w:rFonts w:hint="eastAsia" w:ascii="宋体" w:hAnsi="宋体" w:eastAsia="宋体" w:cs="宋体"/>
          <w:color w:val="auto"/>
          <w:kern w:val="0"/>
          <w:sz w:val="21"/>
          <w:szCs w:val="21"/>
          <w:highlight w:val="none"/>
        </w:rPr>
        <w:t>备案。</w:t>
      </w:r>
    </w:p>
    <w:p>
      <w:pPr>
        <w:numPr>
          <w:ilvl w:val="0"/>
          <w:numId w:val="105"/>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管理人员每日检查清洁质量，每周抽查区域须覆盖管理区域。每栋楼层内至少设置一个清洁工作签到点，作为清洁人员、管理人员签到之用，以保证清洁质量。</w:t>
      </w:r>
    </w:p>
    <w:p>
      <w:pPr>
        <w:numPr>
          <w:ilvl w:val="0"/>
          <w:numId w:val="104"/>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清洁频次要求</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主干道及广场、主出入口每日清扫2次并每小时至少巡视1次，如有污迹及时冲洗，及时清除道路积水；</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2米以下墙面、门窗及其他公共设施每周清洁1次；路灯、楼道灯及2米以上墙面、门窗及其他公共设施每月清洁2次；</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公共洗手间地面拖抹不少于3次，随时保洁，至少2小时内巡回1次，每天进行消毒1次（注：毛坯场地洗手间每月拖洗不少于1次，有客户入驻即恢复常规清洁频次）；</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楼层电梯厅及公共走道每日清扫2次，每日拖洗1次（注：毛坯场地电梯厅及公共走道每月拖洗不少于1次，有客户入驻即恢复常规清洁频次）；每年对观光电梯内外幕墙清洗1次；</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露天停车场每日巡视清洁2次；</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消防楼道每周全面清扫3次，每周拖洗2次，扶手每周抹拭3次；</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绿化带每日巡视清洁2次；绿地一有垃圾，要求半小时内拣拾干净；</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大堂、门窗、电梯轿厢随时保洁（避开人流高峰期）；电梯轿厢地毯每周更换清洗不少于1次；</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天台每一周清洁一次；采光井每天清洁一次；</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雨水沟每月清洁一次（雨季根据实际需要增加频次）；</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雨后对区域内主路、干路积水进行清扫；雨后4小时道路无成片积水，雨后天晴1日内恢复道路清洁标准；</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台风天气后及时清理道路及绿化带的绿化或其它垃圾及恢复。</w:t>
      </w:r>
    </w:p>
    <w:p>
      <w:pPr>
        <w:numPr>
          <w:ilvl w:val="0"/>
          <w:numId w:val="106"/>
        </w:num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以上的清洁频次要求为最低要求，需要保证公共区域包括但不限于公共洗手间、主干道及广场、主出入口、楼梯电梯厅、公共走道、大堂、电梯轿厢时刻的干净整洁。</w:t>
      </w:r>
    </w:p>
    <w:p>
      <w:pPr>
        <w:numPr>
          <w:ilvl w:val="0"/>
          <w:numId w:val="104"/>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清洁标准</w:t>
      </w:r>
    </w:p>
    <w:p>
      <w:p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（1）环卫设施:应根据</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的实际情况合理设置相关环卫设施，如在根据</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保洁需要在公共区域配置</w:t>
      </w:r>
      <w:r>
        <w:rPr>
          <w:rFonts w:hint="eastAsia" w:hAnsi="宋体" w:cs="宋体"/>
          <w:color w:val="auto"/>
          <w:kern w:val="0"/>
          <w:sz w:val="21"/>
          <w:szCs w:val="21"/>
          <w:highlight w:val="none"/>
          <w:lang w:val="en-US" w:eastAsia="zh-CN"/>
        </w:rPr>
        <w:t>分类垃圾桶</w:t>
      </w:r>
      <w:r>
        <w:rPr>
          <w:rFonts w:hint="eastAsia" w:ascii="宋体" w:hAnsi="宋体" w:eastAsia="宋体" w:cs="宋体"/>
          <w:color w:val="auto"/>
          <w:kern w:val="0"/>
          <w:sz w:val="21"/>
          <w:szCs w:val="21"/>
          <w:highlight w:val="none"/>
        </w:rPr>
        <w:t>、在适当位置设置垃圾中转点、餐厨垃圾收集转运点、在集中装修期间有临时建渣堆放处等；</w:t>
      </w:r>
    </w:p>
    <w:p>
      <w:p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（2）清洁、保洁实行责任制，有专职保洁人员，明确责任范围，实行标准化作业；</w:t>
      </w:r>
    </w:p>
    <w:p>
      <w:p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（3）各区域清洁要求：</w:t>
      </w:r>
    </w:p>
    <w:tbl>
      <w:tblPr>
        <w:tblStyle w:val="21"/>
        <w:tblW w:w="97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7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区域</w:t>
            </w:r>
          </w:p>
        </w:tc>
        <w:tc>
          <w:tcPr>
            <w:tcW w:w="7688"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工作要求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外围及周边道路</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地面干净无杂物、无积水，无明显污迹、油渍；明沟、窨井内无杂物、无异味；标示标牌表面干净无积尘、无水印；路灯表面干净无污渍。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绿化带及水池</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定期清除绿地杂草、杂物，花台表面干净无污渍，水池无异味。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大堂、走廊及楼道等楼内管理区域</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干净、无污渍，有光泽，保持地面材质原貌；门框、窗框、窗台、金属件表面光亮、无灰尘、无污渍；门窗玻璃干净无尘，透光性好，无明显印迹；各种金属件表面干净，无污渍，有金属光泽门把手干净、无印迹、定时消毒；天花板干净，无污渍、无蛛网；进出口地垫摆放整齐，表面干净无杂物，盆栽植物无积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值班室</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地面、墙面、干净，无灰尘、污渍；天花板、风口目视无灰尘、污渍；桌椅干净，物品摆放整齐、有序；文件柜无尘、无污垢。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楼梯及楼梯间</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梯步表面干净无污渍，防滑条（缝）干净，扶手栏杆表面干净无灰尘，防火门及闭门器表面无污渍，墙面、天花板无积尘、蛛网。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公共卫生间</w:t>
            </w:r>
          </w:p>
        </w:tc>
        <w:tc>
          <w:tcPr>
            <w:tcW w:w="7688" w:type="dxa"/>
            <w:tcBorders>
              <w:tl2br w:val="nil"/>
              <w:tr2bl w:val="nil"/>
            </w:tcBorders>
            <w:vAlign w:val="center"/>
          </w:tcPr>
          <w:p>
            <w:pPr>
              <w:tabs>
                <w:tab w:val="left" w:pos="0"/>
              </w:tabs>
              <w:autoSpaceDE w:val="0"/>
              <w:autoSpaceDN w:val="0"/>
              <w:adjustRightInd w:val="0"/>
              <w:snapToGrid w:val="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干净，无污渍、无积水，大小便器表面干净，无污渍，有光泽；各种隔断表面干净，无乱写乱画，金属饰件表面干净，无污迹，有金属光泽；墙壁表面干净，天花板无污渍、蛛网；风口或换气扇表面干净无积尘；门窗表面干净，窗台无灰尘；玻璃干净无水渍；洗手台干净无积水，面盆无污垢；各种物品摆放整齐规范；废纸篓杂物超过 2/3 应及时倾倒，卫生间内空气流通并且无明显异味。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停车场</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地面干净，无杂物，无明显油渍、污渍；墙面干净无积尘，各种指示牌表面干净有光泽；消防器材表面干净，摆放整齐；各种道闸表面无灰尘。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电梯及电梯厅</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轿厢四壁光洁明亮，操作面板无污迹、无灰尘、无印迹，地面干净，空气清新、无异味；电梯凹槽内无垃圾无杂物，按钮表面干净无印迹；电梯前厅内地面干净有光泽；轿厢四壁干净、无乱写乱贴广告。对园区内观光电梯外壁玻璃每年清洗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电器设施</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灯泡、灯管、灯罩无积尘、无污迹。装饰件无积尘、无污迹；开关、插座、配电箱无积尘、无明显污迹。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垃圾桶及果皮箱</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垃圾桶及果皮箱：按指定位置摆放，表面干净无污渍无痰迹，垃圾及时清倒，内胆应定期清洁、清毒。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设备机房、指示牌</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无卫生死角、无垃圾规程，无积尘、目视无蜘蛛网、无明显污渍、无水渍；指示牌、广告牌无灰尘、无污渍，金属件表面光亮，无痕迹。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平台、屋顶</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无垃圾堆积。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垃圾中转站</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地面无明显垃圾，垃圾日产日清。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园区水景</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水上无垃圾、落叶、水体清洁、无异味。做好湖水添加和排放的工作。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三圣河</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水上无垃圾、落叶。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建筑物外墙、</w:t>
            </w:r>
          </w:p>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玻璃幕墙</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园区所有建筑物外墙、玻璃幕墙每年清洗一次。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51" w:type="dxa"/>
            <w:tcBorders>
              <w:tl2br w:val="nil"/>
              <w:tr2bl w:val="nil"/>
            </w:tcBorders>
            <w:vAlign w:val="center"/>
          </w:tcPr>
          <w:p>
            <w:pPr>
              <w:tabs>
                <w:tab w:val="left" w:pos="0"/>
              </w:tabs>
              <w:autoSpaceDE w:val="0"/>
              <w:autoSpaceDN w:val="0"/>
              <w:adjustRightInd w:val="0"/>
              <w:snapToGrid w:val="0"/>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特别约定</w:t>
            </w:r>
          </w:p>
        </w:tc>
        <w:tc>
          <w:tcPr>
            <w:tcW w:w="7688" w:type="dxa"/>
            <w:tcBorders>
              <w:tl2br w:val="nil"/>
              <w:tr2bl w:val="nil"/>
            </w:tcBorders>
            <w:vAlign w:val="center"/>
          </w:tcPr>
          <w:p>
            <w:pPr>
              <w:tabs>
                <w:tab w:val="left" w:pos="0"/>
              </w:tabs>
              <w:autoSpaceDE w:val="0"/>
              <w:autoSpaceDN w:val="0"/>
              <w:adjustRightInd w:val="0"/>
              <w:snapToGrid w:val="0"/>
              <w:ind w:left="13" w:leftChars="6"/>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①在市/区开展城市考评或创文考察期间，需按照城市考评标准或创文标准落实保洁工作②发生重大传染病疫情期间（或疫情防控期间），电梯轿厢、各类门拉手、楼梯扶手、开关按钮、休闲桌椅、公共洗手间、垃圾房、垃圾桶、果皮箱等至少每日消毒4次（或按当地政府规定），并做好相关防疫措施及宣传工作</w:t>
            </w:r>
            <w:r>
              <w:rPr>
                <w:rFonts w:hint="eastAsia" w:ascii="宋体" w:hAnsi="宋体" w:eastAsia="宋体" w:cs="宋体"/>
                <w:color w:val="auto"/>
                <w:kern w:val="0"/>
                <w:sz w:val="21"/>
                <w:szCs w:val="21"/>
                <w:highlight w:val="none"/>
                <w:lang w:eastAsia="zh-CN"/>
              </w:rPr>
              <w:t>。</w:t>
            </w:r>
          </w:p>
        </w:tc>
      </w:tr>
    </w:tbl>
    <w:p>
      <w:pPr>
        <w:numPr>
          <w:ilvl w:val="0"/>
          <w:numId w:val="104"/>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环境消杀</w:t>
      </w:r>
    </w:p>
    <w:p>
      <w:pPr>
        <w:numPr>
          <w:ilvl w:val="0"/>
          <w:numId w:val="10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杀工具设备摆放整齐、表面清洁、标识清晰，统一存放指定场所，对消杀药品的储存、领取与使用环节进行有效控制，按危险品管理，防止意外事故发生，使用符合国家相关规定的合格药品，消杀过程做好防护措施，投放与喷施消杀药品的场所须设置醒目的警示标识，必要时采取隔离措施，防止宠物、小孩误食；如涉及高空作业等风险较高的服务项目，资质证书（根据当地政策法规规定）、作业人员上岗证须在乙方物业管理服务中心备案，并签订协议，协议中明确约定作业安全、监控责任及为作业人员购买意外险等；</w:t>
      </w:r>
    </w:p>
    <w:p>
      <w:pPr>
        <w:numPr>
          <w:ilvl w:val="0"/>
          <w:numId w:val="10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消杀人员持证上岗，通过专业消杀资质公司开展消杀工作；</w:t>
      </w:r>
    </w:p>
    <w:p>
      <w:pPr>
        <w:numPr>
          <w:ilvl w:val="0"/>
          <w:numId w:val="107"/>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消杀前（含绿化带），提前将计划在园区内公示，公示内容包括消杀时间、对象、范围、注意事项等</w:t>
      </w:r>
      <w:r>
        <w:rPr>
          <w:rFonts w:hint="eastAsia" w:ascii="宋体" w:hAnsi="宋体" w:eastAsia="宋体" w:cs="宋体"/>
          <w:color w:val="auto"/>
          <w:kern w:val="0"/>
          <w:sz w:val="21"/>
          <w:szCs w:val="21"/>
          <w:highlight w:val="none"/>
          <w:lang w:eastAsia="zh-CN"/>
        </w:rPr>
        <w:t>。</w:t>
      </w:r>
    </w:p>
    <w:p>
      <w:pPr>
        <w:numPr>
          <w:ilvl w:val="0"/>
          <w:numId w:val="104"/>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垃圾清运</w:t>
      </w:r>
    </w:p>
    <w:p>
      <w:pPr>
        <w:adjustRightInd w:val="0"/>
        <w:snapToGri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生活垃圾专人负责，日产日清；对装修、维修产生的建筑垃圾应有专人负责清理；</w:t>
      </w:r>
    </w:p>
    <w:p>
      <w:pPr>
        <w:numPr>
          <w:ilvl w:val="0"/>
          <w:numId w:val="104"/>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保洁应急处理</w:t>
      </w:r>
    </w:p>
    <w:p>
      <w:pPr>
        <w:adjustRightInd w:val="0"/>
        <w:snapToGri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如出现自来水爆管、化粪池外溢、公共性疫情等情况，应启动相应的应急预案，全力配合有关部门，保障租户人身安全，减少财产损失。</w:t>
      </w:r>
    </w:p>
    <w:p>
      <w:pPr>
        <w:numPr>
          <w:ilvl w:val="0"/>
          <w:numId w:val="104"/>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除“四害”等</w:t>
      </w:r>
    </w:p>
    <w:p>
      <w:pPr>
        <w:adjustRightInd w:val="0"/>
        <w:snapToGri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灭鼠、灭蟑螂（大蠊）、灭蝇、蚊蝇孳生地控制；夏季每月不少于2次，冬季每月不少于1次。灭蚊：每年不少于4次。以检查、防治白蚁为主，发现问题随时灭杀。在进场灭杀3个月后，经检查验收没有发现新的蚁路、蚁巢等蚊迹方为有效。园区内出现鼠患、白蚁情况的，由</w:t>
      </w:r>
      <w:r>
        <w:rPr>
          <w:rFonts w:hint="eastAsia" w:ascii="宋体" w:hAnsi="宋体" w:eastAsia="宋体" w:cs="宋体"/>
          <w:color w:val="auto"/>
          <w:kern w:val="0"/>
          <w:sz w:val="21"/>
          <w:szCs w:val="21"/>
          <w:highlight w:val="none"/>
          <w:lang w:eastAsia="zh-CN"/>
        </w:rPr>
        <w:t>乙方</w:t>
      </w:r>
      <w:r>
        <w:rPr>
          <w:rFonts w:hint="eastAsia" w:ascii="宋体" w:hAnsi="宋体" w:eastAsia="宋体" w:cs="宋体"/>
          <w:color w:val="auto"/>
          <w:kern w:val="0"/>
          <w:sz w:val="21"/>
          <w:szCs w:val="21"/>
          <w:highlight w:val="none"/>
        </w:rPr>
        <w:t>负责采用有效合理方式予以灭杀，灭杀费用包含在管理费中，如因此导致室内设施损坏的，由</w:t>
      </w:r>
      <w:r>
        <w:rPr>
          <w:rFonts w:hint="eastAsia" w:ascii="宋体" w:hAnsi="宋体" w:eastAsia="宋体" w:cs="宋体"/>
          <w:color w:val="auto"/>
          <w:kern w:val="0"/>
          <w:sz w:val="21"/>
          <w:szCs w:val="21"/>
          <w:highlight w:val="none"/>
          <w:lang w:eastAsia="zh-CN"/>
        </w:rPr>
        <w:t>乙方</w:t>
      </w:r>
      <w:r>
        <w:rPr>
          <w:rFonts w:hint="eastAsia" w:ascii="宋体" w:hAnsi="宋体" w:eastAsia="宋体" w:cs="宋体"/>
          <w:color w:val="auto"/>
          <w:kern w:val="0"/>
          <w:sz w:val="21"/>
          <w:szCs w:val="21"/>
          <w:highlight w:val="none"/>
        </w:rPr>
        <w:t>进行相应修复、赔偿。</w:t>
      </w:r>
    </w:p>
    <w:p>
      <w:pPr>
        <w:numPr>
          <w:ilvl w:val="0"/>
          <w:numId w:val="103"/>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绿化养护服务</w:t>
      </w:r>
    </w:p>
    <w:p>
      <w:pPr>
        <w:adjustRightInd w:val="0"/>
        <w:snapToGri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内公用绿地、植物养护。按照花卉的种类，保证植物、花卉水分充足，湿度适中并适时整形修剪，保持花卉表面清洁无尘，枝叶茂盛，每月一次施肥和防虫。园区绿化垃圾及时清理。园区大堂、各服务区域、园区办公室、会议室、公共区域摆放植物及养护。</w:t>
      </w:r>
    </w:p>
    <w:p>
      <w:pPr>
        <w:numPr>
          <w:ilvl w:val="0"/>
          <w:numId w:val="108"/>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基础要求</w:t>
      </w:r>
    </w:p>
    <w:p>
      <w:pPr>
        <w:numPr>
          <w:ilvl w:val="0"/>
          <w:numId w:val="10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根据植物生长习性编制年度、月度养护计划并跟进实施，向甲方备案；</w:t>
      </w:r>
    </w:p>
    <w:p>
      <w:pPr>
        <w:numPr>
          <w:ilvl w:val="0"/>
          <w:numId w:val="10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建立绿化改造管理流程，改变园林绿化原有设计、变更主要植物种类或数量、减少绿化面积的，改造前须取得甲方批准同意；</w:t>
      </w:r>
    </w:p>
    <w:p>
      <w:pPr>
        <w:numPr>
          <w:ilvl w:val="0"/>
          <w:numId w:val="10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剪草、乔木修剪等作业不影响园区租户正常经营、休息；</w:t>
      </w:r>
    </w:p>
    <w:p>
      <w:pPr>
        <w:numPr>
          <w:ilvl w:val="0"/>
          <w:numId w:val="10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至少每周对绿化养护情况进行1次检查并记录；</w:t>
      </w:r>
    </w:p>
    <w:p>
      <w:pPr>
        <w:numPr>
          <w:ilvl w:val="0"/>
          <w:numId w:val="10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进行机械作业时，作业人员须佩戴好防护用品，有现场作业标识。绿化异常区应有“修剪养护期”等提示性标识；</w:t>
      </w:r>
    </w:p>
    <w:p>
      <w:pPr>
        <w:numPr>
          <w:ilvl w:val="0"/>
          <w:numId w:val="10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补植苗木（因乙方管理疏忽导致园区内植物枯萎的，苗木补种费用由乙方承担）。</w:t>
      </w:r>
    </w:p>
    <w:p>
      <w:pPr>
        <w:numPr>
          <w:ilvl w:val="0"/>
          <w:numId w:val="108"/>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养护频次与要求</w:t>
      </w:r>
    </w:p>
    <w:p>
      <w:pPr>
        <w:numPr>
          <w:ilvl w:val="0"/>
          <w:numId w:val="11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乔木修剪至少1次/年，灌木、草坪生长季节每月修剪1次或根据实际情况确定修剪频次；</w:t>
      </w:r>
    </w:p>
    <w:p>
      <w:pPr>
        <w:numPr>
          <w:ilvl w:val="0"/>
          <w:numId w:val="11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造型植物依据实际情况确定修剪频次；</w:t>
      </w:r>
    </w:p>
    <w:p>
      <w:pPr>
        <w:numPr>
          <w:ilvl w:val="0"/>
          <w:numId w:val="11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花坛植物生长季节至少每季度松土1次或根据实际情况确定频次；</w:t>
      </w:r>
    </w:p>
    <w:p>
      <w:pPr>
        <w:numPr>
          <w:ilvl w:val="0"/>
          <w:numId w:val="11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根据实际情况适时浇水、施肥每月1次、除杂草每月2次；</w:t>
      </w:r>
    </w:p>
    <w:p>
      <w:pPr>
        <w:numPr>
          <w:ilvl w:val="0"/>
          <w:numId w:val="11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针对不同的品种和季节进行病虫害防治，每月至少1次；</w:t>
      </w:r>
    </w:p>
    <w:p>
      <w:pPr>
        <w:numPr>
          <w:ilvl w:val="0"/>
          <w:numId w:val="110"/>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做好防涝、防冻、防台风。</w:t>
      </w:r>
    </w:p>
    <w:p>
      <w:pPr>
        <w:numPr>
          <w:ilvl w:val="0"/>
          <w:numId w:val="108"/>
        </w:numPr>
        <w:adjustRightInd w:val="0"/>
        <w:snapToGrid w:val="0"/>
        <w:spacing w:line="360" w:lineRule="auto"/>
        <w:ind w:left="425" w:leftChars="0" w:hanging="425"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养护标准</w:t>
      </w:r>
    </w:p>
    <w:p>
      <w:pPr>
        <w:numPr>
          <w:ilvl w:val="0"/>
          <w:numId w:val="11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绿化养护应达到绿地及花坛内各种植物存活率 98%。绿地设施及硬质景观完好无损。植物群落完整，层次丰富，黄土不外露，有整体的观赏效果。植物季相分明，生长茂盛；</w:t>
      </w:r>
    </w:p>
    <w:p>
      <w:pPr>
        <w:numPr>
          <w:ilvl w:val="0"/>
          <w:numId w:val="11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保持土壤适度湿润，原则上“不干不浇，浇则浇透”；浇灌中流出的余水及时清理；</w:t>
      </w:r>
    </w:p>
    <w:p>
      <w:pPr>
        <w:numPr>
          <w:ilvl w:val="0"/>
          <w:numId w:val="11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草坪保持平整，高度不超过5厘米，草屑及时清理；乔木修剪科学合理，剪口光滑整齐，树冠完整美观，无徒长枝、下垂枝、枯枝，内膛不乱，通风透光，绿篱修剪整齐有型，保持观赏面枝叶丰满。花灌木花后修剪及时，无残花；</w:t>
      </w:r>
    </w:p>
    <w:p>
      <w:pPr>
        <w:numPr>
          <w:ilvl w:val="0"/>
          <w:numId w:val="11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绿地内立视应无明显杂草，土壤疏松通透；</w:t>
      </w:r>
    </w:p>
    <w:p>
      <w:pPr>
        <w:numPr>
          <w:ilvl w:val="0"/>
          <w:numId w:val="11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按植物品种、生长速度、土壤状况，适时适量施无机肥；</w:t>
      </w:r>
    </w:p>
    <w:p>
      <w:pPr>
        <w:numPr>
          <w:ilvl w:val="0"/>
          <w:numId w:val="11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预防为主，生态治理。草皮无病斑，植物枝叶无虫害咬口、排泄物、无悬挂或领队在植物上的虫茧、休眠虫体及越冬虫蛹；</w:t>
      </w:r>
    </w:p>
    <w:p>
      <w:pPr>
        <w:numPr>
          <w:ilvl w:val="0"/>
          <w:numId w:val="111"/>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绿地内无垃圾，乔木无树挂；</w:t>
      </w:r>
    </w:p>
    <w:p>
      <w:pPr>
        <w:numPr>
          <w:ilvl w:val="0"/>
          <w:numId w:val="111"/>
        </w:numPr>
        <w:adjustRightInd w:val="0"/>
        <w:snapToGrid w:val="0"/>
        <w:spacing w:line="360" w:lineRule="auto"/>
        <w:ind w:left="425" w:leftChars="0" w:hanging="425" w:firstLineChars="0"/>
        <w:rPr>
          <w:rFonts w:hint="eastAsia" w:ascii="宋体" w:hAnsi="宋体" w:eastAsia="宋体" w:cs="宋体"/>
          <w:b w:val="0"/>
          <w:bCs w:val="0"/>
          <w:color w:val="auto"/>
          <w:kern w:val="0"/>
          <w:sz w:val="21"/>
          <w:szCs w:val="21"/>
          <w:highlight w:val="none"/>
        </w:rPr>
      </w:pPr>
      <w:r>
        <w:rPr>
          <w:rFonts w:hint="eastAsia" w:ascii="宋体" w:hAnsi="宋体" w:eastAsia="宋体" w:cs="宋体"/>
          <w:color w:val="auto"/>
          <w:kern w:val="0"/>
          <w:sz w:val="21"/>
          <w:szCs w:val="21"/>
          <w:highlight w:val="none"/>
        </w:rPr>
        <w:t>园区公共服</w:t>
      </w:r>
      <w:r>
        <w:rPr>
          <w:rFonts w:hint="eastAsia" w:ascii="宋体" w:hAnsi="宋体" w:eastAsia="宋体" w:cs="宋体"/>
          <w:b w:val="0"/>
          <w:bCs w:val="0"/>
          <w:color w:val="auto"/>
          <w:kern w:val="0"/>
          <w:sz w:val="21"/>
          <w:szCs w:val="21"/>
          <w:highlight w:val="none"/>
        </w:rPr>
        <w:t>务区域（四座路演厅、八座[报告厅、会议室、展厅及走廊通道等]、园区部分公共服务区域）绿植摆放总数量不低于以下标准及数量：1.5-2.0 米植物不少于50盆；1米左右植物不少于30盆。</w:t>
      </w:r>
    </w:p>
    <w:p>
      <w:pPr>
        <w:numPr>
          <w:ilvl w:val="0"/>
          <w:numId w:val="108"/>
        </w:numPr>
        <w:adjustRightInd w:val="0"/>
        <w:snapToGrid w:val="0"/>
        <w:spacing w:line="360" w:lineRule="auto"/>
        <w:ind w:left="425" w:leftChars="0" w:hanging="425" w:firstLineChars="0"/>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在市/区开展城市考评或创文考察期间，需按照城市考评标准或创文标准落实绿化养护工作</w:t>
      </w:r>
      <w:r>
        <w:rPr>
          <w:rFonts w:hint="eastAsia" w:ascii="宋体" w:hAnsi="宋体" w:eastAsia="宋体" w:cs="宋体"/>
          <w:b w:val="0"/>
          <w:bCs w:val="0"/>
          <w:color w:val="auto"/>
          <w:kern w:val="0"/>
          <w:sz w:val="21"/>
          <w:szCs w:val="21"/>
          <w:highlight w:val="none"/>
          <w:lang w:eastAsia="zh-CN"/>
        </w:rPr>
        <w:t>。</w:t>
      </w:r>
    </w:p>
    <w:p>
      <w:pPr>
        <w:numPr>
          <w:ilvl w:val="0"/>
          <w:numId w:val="112"/>
        </w:numPr>
        <w:adjustRightInd w:val="0"/>
        <w:snapToGrid w:val="0"/>
        <w:spacing w:line="360" w:lineRule="auto"/>
        <w:ind w:left="0" w:leftChars="0" w:firstLine="0" w:firstLineChars="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费用催缴及代收服务</w:t>
      </w:r>
    </w:p>
    <w:p>
      <w:p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负责对园区企业客户费用进行催缴工作、并负责代收车辆临时停车费，并做好停车费用结算和交接。制订严格的停车费结算和财务制度。</w:t>
      </w:r>
    </w:p>
    <w:p>
      <w:pPr>
        <w:numPr>
          <w:ilvl w:val="0"/>
          <w:numId w:val="11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的管理要求，每月对入驻企业客户的租金、物业管理费、水电费进行催缴并建立台账，每月至少一次向</w:t>
      </w:r>
      <w:r>
        <w:rPr>
          <w:rFonts w:hint="eastAsia" w:ascii="宋体" w:hAnsi="宋体" w:eastAsia="宋体" w:cs="宋体"/>
          <w:color w:val="auto"/>
          <w:kern w:val="0"/>
          <w:sz w:val="21"/>
          <w:szCs w:val="21"/>
          <w:highlight w:val="none"/>
          <w:lang w:val="en-US" w:eastAsia="zh-CN"/>
        </w:rPr>
        <w:t>甲方</w:t>
      </w:r>
      <w:r>
        <w:rPr>
          <w:rFonts w:hint="eastAsia" w:ascii="宋体" w:hAnsi="宋体" w:eastAsia="宋体" w:cs="宋体"/>
          <w:color w:val="auto"/>
          <w:kern w:val="0"/>
          <w:sz w:val="21"/>
          <w:szCs w:val="21"/>
          <w:highlight w:val="none"/>
        </w:rPr>
        <w:t>书面报送租户欠缴费用的信息。经甲方书面同意，对严重欠费企业采取有关限制措施；</w:t>
      </w:r>
    </w:p>
    <w:p>
      <w:pPr>
        <w:numPr>
          <w:ilvl w:val="0"/>
          <w:numId w:val="11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严格按照规定的收费标准，收取用户的停车费，熟悉收费系统各种操作程序，快捷、准确无误地做好收费工作；</w:t>
      </w:r>
    </w:p>
    <w:p>
      <w:pPr>
        <w:numPr>
          <w:ilvl w:val="0"/>
          <w:numId w:val="11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当有车主对所缴费用产生异议时，向车主耐心解释，文明热情的服务；</w:t>
      </w:r>
    </w:p>
    <w:p>
      <w:pPr>
        <w:numPr>
          <w:ilvl w:val="0"/>
          <w:numId w:val="11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在停车场道闸系统出现故障时，对缴费客人要礼貌解释，及时通知班长并安排维护人员立即处理，并做好相关记录，并报告管理处；</w:t>
      </w:r>
    </w:p>
    <w:p>
      <w:pPr>
        <w:numPr>
          <w:ilvl w:val="0"/>
          <w:numId w:val="11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负责做好各种停车票收缴、登记工作。遇到免费的车辆，须经园区批准。并做好免费通过车辆记录、异常起杆记录。</w:t>
      </w:r>
    </w:p>
    <w:p>
      <w:pPr>
        <w:numPr>
          <w:ilvl w:val="0"/>
          <w:numId w:val="11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负责按规定做好收费的交接工作，并连同免费通过车辆记录、凭票通行车辆记录、异常起杆记录等资料报送到</w:t>
      </w:r>
      <w:r>
        <w:rPr>
          <w:rFonts w:hint="eastAsia" w:hAnsi="宋体" w:cs="宋体"/>
          <w:color w:val="auto"/>
          <w:kern w:val="0"/>
          <w:sz w:val="21"/>
          <w:szCs w:val="21"/>
          <w:highlight w:val="none"/>
          <w:lang w:eastAsia="zh-CN"/>
        </w:rPr>
        <w:t>甲方</w:t>
      </w:r>
      <w:r>
        <w:rPr>
          <w:rFonts w:hint="eastAsia" w:ascii="宋体" w:hAnsi="宋体" w:eastAsia="宋体" w:cs="宋体"/>
          <w:color w:val="auto"/>
          <w:kern w:val="0"/>
          <w:sz w:val="21"/>
          <w:szCs w:val="21"/>
          <w:highlight w:val="none"/>
        </w:rPr>
        <w:t>。</w:t>
      </w:r>
    </w:p>
    <w:p>
      <w:pPr>
        <w:numPr>
          <w:ilvl w:val="0"/>
          <w:numId w:val="113"/>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做好交接班记录，做好现金与发票的移交和接收工作。</w:t>
      </w:r>
    </w:p>
    <w:p>
      <w:pPr>
        <w:numPr>
          <w:ilvl w:val="0"/>
          <w:numId w:val="112"/>
        </w:numPr>
        <w:adjustRightInd w:val="0"/>
        <w:snapToGrid w:val="0"/>
        <w:spacing w:line="360" w:lineRule="auto"/>
        <w:ind w:left="0" w:leftChars="0" w:firstLine="0" w:firstLineChars="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园区服务</w:t>
      </w:r>
    </w:p>
    <w:p>
      <w:pPr>
        <w:numPr>
          <w:ilvl w:val="0"/>
          <w:numId w:val="114"/>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协助园区定期（季度）/或不定期宣传栏更换喷画内容、张挂宣传条幅布置维护等；协助处理园区公共关系、宣传栏的布置、后勤服务指南的制作和派发；协助开展园区文化娱乐活动；开办宣传橱窗、设立宣传栏、开展丰富多彩的活动；</w:t>
      </w:r>
    </w:p>
    <w:p>
      <w:pPr>
        <w:numPr>
          <w:ilvl w:val="0"/>
          <w:numId w:val="114"/>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负责物业管理和后勤服务工作的宣传；</w:t>
      </w:r>
    </w:p>
    <w:p>
      <w:pPr>
        <w:numPr>
          <w:ilvl w:val="0"/>
          <w:numId w:val="114"/>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负责配合有关庆典、仪式、会议、参观的安排接待。</w:t>
      </w:r>
    </w:p>
    <w:p>
      <w:pPr>
        <w:numPr>
          <w:ilvl w:val="0"/>
          <w:numId w:val="114"/>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园区活动场地包括但不限于会议室、报告厅、路演厅的布置、整理、打扫，物料搬运、摆放，会议设备调试，参会人员的指引、会场的安保，会议内部服务，会务应急管理及突发事件处理工作，配备专职会务接待人员负责会务相关工作。</w:t>
      </w:r>
    </w:p>
    <w:p>
      <w:pPr>
        <w:numPr>
          <w:ilvl w:val="0"/>
          <w:numId w:val="112"/>
        </w:numPr>
        <w:adjustRightInd w:val="0"/>
        <w:snapToGrid w:val="0"/>
        <w:spacing w:line="360" w:lineRule="auto"/>
        <w:ind w:left="0" w:leftChars="0" w:firstLine="0" w:firstLineChars="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物业管理咨询服务</w:t>
      </w:r>
    </w:p>
    <w:p>
      <w:pPr>
        <w:adjustRightInd w:val="0"/>
        <w:snapToGrid w:val="0"/>
        <w:spacing w:line="360" w:lineRule="auto"/>
        <w:ind w:left="479" w:leftChars="228"/>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根据物业管理专业领域积累的管理经验，为甲方提供千灯湖创投小镇核心区（二期）建设期间的咨询服务：</w:t>
      </w:r>
    </w:p>
    <w:p>
      <w:pPr>
        <w:numPr>
          <w:ilvl w:val="0"/>
          <w:numId w:val="115"/>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为项目建设期间的交通流线规划、安全管理、物业管理提供合理化建议；</w:t>
      </w:r>
    </w:p>
    <w:p>
      <w:pPr>
        <w:numPr>
          <w:ilvl w:val="0"/>
          <w:numId w:val="115"/>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针对项目方案设计，及时发现及提出对后期物业管理服务不利的相关问题，为完善物业建设提出建设性意见；</w:t>
      </w:r>
    </w:p>
    <w:p>
      <w:pPr>
        <w:numPr>
          <w:ilvl w:val="0"/>
          <w:numId w:val="115"/>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定期参加甲方及有关单位召开的专题会议，提供物业专业意见；</w:t>
      </w:r>
    </w:p>
    <w:p>
      <w:pPr>
        <w:numPr>
          <w:ilvl w:val="0"/>
          <w:numId w:val="115"/>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提出项目建设期间物业管理保障方案及客户沟通方案，减少施工期间对入驻租户产生的不利影响。</w:t>
      </w:r>
    </w:p>
    <w:p>
      <w:pPr>
        <w:adjustRightInd w:val="0"/>
        <w:snapToGrid w:val="0"/>
        <w:spacing w:line="360" w:lineRule="auto"/>
        <w:ind w:left="42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备注：所有建议需以报告或建议书书面提出。</w:t>
      </w:r>
    </w:p>
    <w:p>
      <w:pPr>
        <w:numPr>
          <w:ilvl w:val="0"/>
          <w:numId w:val="112"/>
        </w:numPr>
        <w:adjustRightInd w:val="0"/>
        <w:snapToGrid w:val="0"/>
        <w:spacing w:line="360" w:lineRule="auto"/>
        <w:ind w:left="0" w:leftChars="0" w:firstLine="0" w:firstLineChars="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其他事项</w:t>
      </w:r>
    </w:p>
    <w:p>
      <w:pPr>
        <w:numPr>
          <w:ilvl w:val="0"/>
          <w:numId w:val="1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配合甲方要求完成以下工作：</w:t>
      </w:r>
    </w:p>
    <w:p>
      <w:pPr>
        <w:numPr>
          <w:ilvl w:val="0"/>
          <w:numId w:val="117"/>
        </w:numPr>
        <w:adjustRightInd w:val="0"/>
        <w:snapToGrid w:val="0"/>
        <w:spacing w:line="360" w:lineRule="auto"/>
        <w:ind w:hanging="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定期抄录园区租户用水用电，建立园区能耗管理台账，包括但不限于每月的能耗表，配合实现园区的数据化管理；</w:t>
      </w:r>
    </w:p>
    <w:p>
      <w:pPr>
        <w:numPr>
          <w:ilvl w:val="0"/>
          <w:numId w:val="117"/>
        </w:numPr>
        <w:adjustRightInd w:val="0"/>
        <w:snapToGrid w:val="0"/>
        <w:spacing w:line="360" w:lineRule="auto"/>
        <w:ind w:hanging="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配合甲方收缴园区租户租金、物业费、水电费；</w:t>
      </w:r>
    </w:p>
    <w:p>
      <w:pPr>
        <w:numPr>
          <w:ilvl w:val="0"/>
          <w:numId w:val="117"/>
        </w:numPr>
        <w:adjustRightInd w:val="0"/>
        <w:snapToGrid w:val="0"/>
        <w:spacing w:line="360" w:lineRule="auto"/>
        <w:ind w:hanging="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配合甲方开展入驻企业清理等物业管理工作；</w:t>
      </w:r>
    </w:p>
    <w:p>
      <w:pPr>
        <w:numPr>
          <w:ilvl w:val="0"/>
          <w:numId w:val="117"/>
        </w:numPr>
        <w:adjustRightInd w:val="0"/>
        <w:snapToGrid w:val="0"/>
        <w:spacing w:line="360" w:lineRule="auto"/>
        <w:ind w:hanging="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向园区企业派发各宣传资料及通知文件等资料，并做好签收记录。</w:t>
      </w:r>
    </w:p>
    <w:p>
      <w:pPr>
        <w:numPr>
          <w:ilvl w:val="0"/>
          <w:numId w:val="1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按要求做好防范各类传染病（非典、登革热及类似疫情）的防疫及应急工作。</w:t>
      </w:r>
    </w:p>
    <w:p>
      <w:pPr>
        <w:numPr>
          <w:ilvl w:val="0"/>
          <w:numId w:val="1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负责防范自然灾害（台风、洪水）等应急工作，配置必要人员值班。</w:t>
      </w:r>
    </w:p>
    <w:p>
      <w:pPr>
        <w:numPr>
          <w:ilvl w:val="0"/>
          <w:numId w:val="1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负责物管服务项目其它相关工作及园区提出的其他管理工作、任务和要求。</w:t>
      </w:r>
    </w:p>
    <w:p>
      <w:pPr>
        <w:numPr>
          <w:ilvl w:val="0"/>
          <w:numId w:val="1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如向园区租户提供有偿服务须经园区同意，并将收费标准报甲方备案。</w:t>
      </w:r>
    </w:p>
    <w:p>
      <w:pPr>
        <w:numPr>
          <w:ilvl w:val="0"/>
          <w:numId w:val="1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配合甲方建立安全生产管理机制，配备专业（兼）安全管理人员（安全专员），协助建立安全生产记录和台账。</w:t>
      </w:r>
    </w:p>
    <w:p>
      <w:pPr>
        <w:numPr>
          <w:ilvl w:val="0"/>
          <w:numId w:val="1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建立全员培训制度和全员培训档案，每季度开展安全培训。</w:t>
      </w:r>
    </w:p>
    <w:p>
      <w:pPr>
        <w:numPr>
          <w:ilvl w:val="0"/>
          <w:numId w:val="116"/>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开展职业卫生培训，定期开展作业场所职业病危害因素监测和评价。</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人员要求</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日常管理须配置人数不少于42人（不含停车场安保）的服务团队（其中安保人员不少于17人，工程技术人员不少于3人、会务接待客服人员不少于2人）；北区停车场及南区停车场配置安保人员各不得少于3人，停车场保洁人员可与园区服务团队共用。</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乙方可根据实际需求对岗位提出调整设定，报甲方同意后方可实施，但总人数不得少于上述要求。乙方增加岗位人员不作限制，但甲方不会因乙方增加岗位人员数量，而对服务收费标准作出调整，如未经甲方同意擅自减少岗位编制且未在甲方要求整改的限期内补足的，除对当月物业考核进行扣分外，甲方有权额外扣减乙方的月度物业服务费用(每缺1人扣除当月物业服务费用的3%），直至乙方完成整改为止，乙方不得有任何异议。</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签订合同后，乙方需在10个日历天内向甲方提供拟派驻本项目主要人员（项目经理、主管）的简历及相关职业资格证明、证书等甲方认为与本项目服务内容相关的资格材料，如甲方认为主要人员未能满足本项目需要的，可要求乙方进行更换，乙方需无条件配合。服务期间，乙方</w:t>
      </w:r>
      <w:r>
        <w:rPr>
          <w:rFonts w:hint="eastAsia" w:ascii="宋体" w:hAnsi="宋体" w:eastAsia="宋体" w:cs="宋体"/>
          <w:color w:val="auto"/>
          <w:kern w:val="0"/>
          <w:sz w:val="21"/>
          <w:szCs w:val="21"/>
          <w:highlight w:val="none"/>
        </w:rPr>
        <w:t>主要人员变更前需征得甲方同意，且更换的人员资格不得低于原有人员，项目经理须为乙方在编人员，主要人员休假须向甲方报备；</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如甲方认为乙方派驻的人员不符合项目、合同要求的，甲方有权要求乙方在合理期限内无条件更换，乙方逾期更换的，视为该岗位缺岗，乙方应承担相应的违约责任。</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乙方对所聘用人员严格审核，保证聘用人员无违法或犯罪记录、有相应岗位的上岗资格证，并按照劳动法和相关法律规定进行聘用和管理，工作期间遵守规章制度；</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服务人员必须按照要求穿着统一整齐的工作服，统一佩戴标志，行为规范，服务主动、热情；工作服务不符合要求的，甲方有权要求做出调整，乙方应无条件配合；</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乙方必须按法律、法规及有关政策规定为其服务人员购买社会保险，所聘人员的管理必须执行国家劳动法的相关规定；</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乙方配备的所有人员的衣（工作服）、食、住、行等工作生活所需，由乙方自行解决并承担相关费用；</w:t>
      </w:r>
    </w:p>
    <w:p>
      <w:pPr>
        <w:numPr>
          <w:ilvl w:val="0"/>
          <w:numId w:val="118"/>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具体岗位及要求</w:t>
      </w:r>
    </w:p>
    <w:p>
      <w:pPr>
        <w:adjustRightInd w:val="0"/>
        <w:snapToGri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核心岗位要求如下：</w:t>
      </w:r>
    </w:p>
    <w:p>
      <w:pPr>
        <w:numPr>
          <w:ilvl w:val="0"/>
          <w:numId w:val="11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项目经理</w:t>
      </w:r>
      <w:r>
        <w:rPr>
          <w:rFonts w:hint="eastAsia" w:ascii="宋体" w:hAnsi="宋体" w:eastAsia="宋体" w:cs="宋体"/>
          <w:color w:val="auto"/>
          <w:sz w:val="21"/>
          <w:szCs w:val="21"/>
          <w:highlight w:val="none"/>
        </w:rPr>
        <w:t>（1名）</w:t>
      </w:r>
    </w:p>
    <w:p>
      <w:pPr>
        <w:numPr>
          <w:ilvl w:val="0"/>
          <w:numId w:val="120"/>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具有本科（或以上）学历，5年以上高端写字楼或商业综合体物业管理服务经验，需在乙方处工作1年以上；</w:t>
      </w:r>
    </w:p>
    <w:p>
      <w:pPr>
        <w:numPr>
          <w:ilvl w:val="0"/>
          <w:numId w:val="120"/>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ascii="Arial" w:hAnsi="Arial" w:eastAsia="宋体" w:cs="Arial"/>
          <w:i w:val="0"/>
          <w:caps w:val="0"/>
          <w:color w:val="auto"/>
          <w:spacing w:val="0"/>
          <w:sz w:val="21"/>
          <w:szCs w:val="21"/>
          <w:highlight w:val="none"/>
          <w:shd w:val="clear" w:fill="FFFFFF"/>
        </w:rPr>
        <w:t>熟悉物业管理相关</w:t>
      </w:r>
      <w:r>
        <w:rPr>
          <w:rFonts w:hint="eastAsia" w:ascii="Arial" w:hAnsi="Arial" w:eastAsia="宋体" w:cs="Arial"/>
          <w:i w:val="0"/>
          <w:caps w:val="0"/>
          <w:color w:val="auto"/>
          <w:spacing w:val="0"/>
          <w:sz w:val="21"/>
          <w:szCs w:val="21"/>
          <w:highlight w:val="none"/>
          <w:shd w:val="clear" w:fill="FFFFFF"/>
          <w:lang w:val="en-US" w:eastAsia="zh-CN"/>
        </w:rPr>
        <w:t>法律法规、</w:t>
      </w:r>
      <w:r>
        <w:rPr>
          <w:rFonts w:ascii="Arial" w:hAnsi="Arial" w:eastAsia="宋体" w:cs="Arial"/>
          <w:i w:val="0"/>
          <w:caps w:val="0"/>
          <w:color w:val="auto"/>
          <w:spacing w:val="0"/>
          <w:sz w:val="21"/>
          <w:szCs w:val="21"/>
          <w:highlight w:val="none"/>
          <w:shd w:val="clear" w:fill="FFFFFF"/>
        </w:rPr>
        <w:t>相关的工作</w:t>
      </w:r>
      <w:r>
        <w:rPr>
          <w:rFonts w:hint="eastAsia" w:ascii="Arial" w:hAnsi="Arial" w:eastAsia="宋体" w:cs="Arial"/>
          <w:i w:val="0"/>
          <w:caps w:val="0"/>
          <w:color w:val="auto"/>
          <w:spacing w:val="0"/>
          <w:sz w:val="21"/>
          <w:szCs w:val="21"/>
          <w:highlight w:val="none"/>
          <w:shd w:val="clear" w:fill="FFFFFF"/>
          <w:lang w:val="en-US" w:eastAsia="zh-CN"/>
        </w:rPr>
        <w:t>流程、</w:t>
      </w:r>
      <w:r>
        <w:rPr>
          <w:rFonts w:ascii="Arial" w:hAnsi="Arial" w:eastAsia="宋体" w:cs="Arial"/>
          <w:i w:val="0"/>
          <w:caps w:val="0"/>
          <w:color w:val="auto"/>
          <w:spacing w:val="0"/>
          <w:sz w:val="21"/>
          <w:szCs w:val="21"/>
          <w:highlight w:val="none"/>
          <w:shd w:val="clear" w:fill="FFFFFF"/>
        </w:rPr>
        <w:t>内容和技术要求</w:t>
      </w:r>
      <w:r>
        <w:rPr>
          <w:rFonts w:hint="eastAsia" w:ascii="Arial" w:hAnsi="Arial" w:eastAsia="宋体" w:cs="Arial"/>
          <w:i w:val="0"/>
          <w:caps w:val="0"/>
          <w:color w:val="auto"/>
          <w:spacing w:val="0"/>
          <w:sz w:val="21"/>
          <w:szCs w:val="21"/>
          <w:highlight w:val="none"/>
          <w:shd w:val="clear" w:fill="FFFFFF"/>
          <w:lang w:eastAsia="zh-CN"/>
        </w:rPr>
        <w:t>，</w:t>
      </w:r>
      <w:r>
        <w:rPr>
          <w:rFonts w:ascii="Arial" w:hAnsi="Arial" w:eastAsia="宋体" w:cs="Arial"/>
          <w:i w:val="0"/>
          <w:caps w:val="0"/>
          <w:color w:val="auto"/>
          <w:spacing w:val="0"/>
          <w:sz w:val="21"/>
          <w:szCs w:val="21"/>
          <w:highlight w:val="none"/>
          <w:shd w:val="clear" w:fill="FFFFFF"/>
        </w:rPr>
        <w:t>具备物业全盘管理经验</w:t>
      </w:r>
      <w:r>
        <w:rPr>
          <w:rFonts w:hint="eastAsia" w:ascii="宋体" w:hAnsi="宋体" w:eastAsia="宋体" w:cs="宋体"/>
          <w:color w:val="auto"/>
          <w:sz w:val="21"/>
          <w:szCs w:val="21"/>
          <w:highlight w:val="none"/>
        </w:rPr>
        <w:t>；</w:t>
      </w:r>
    </w:p>
    <w:p>
      <w:pPr>
        <w:numPr>
          <w:ilvl w:val="0"/>
          <w:numId w:val="120"/>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在物业</w:t>
      </w:r>
      <w:r>
        <w:rPr>
          <w:rFonts w:hint="eastAsia" w:ascii="宋体" w:hAnsi="宋体" w:eastAsia="宋体" w:cs="宋体"/>
          <w:color w:val="auto"/>
          <w:sz w:val="21"/>
          <w:szCs w:val="21"/>
          <w:highlight w:val="none"/>
        </w:rPr>
        <w:t>服务品质保障、园区</w:t>
      </w:r>
      <w:r>
        <w:rPr>
          <w:rFonts w:hint="eastAsia" w:ascii="宋体" w:hAnsi="宋体" w:cs="宋体"/>
          <w:color w:val="auto"/>
          <w:sz w:val="21"/>
          <w:szCs w:val="21"/>
          <w:highlight w:val="none"/>
          <w:lang w:val="en-US" w:eastAsia="zh-CN"/>
        </w:rPr>
        <w:t>维护管理方面</w:t>
      </w:r>
      <w:r>
        <w:rPr>
          <w:rFonts w:hint="eastAsia" w:ascii="宋体" w:hAnsi="宋体" w:eastAsia="宋体" w:cs="宋体"/>
          <w:color w:val="auto"/>
          <w:sz w:val="21"/>
          <w:szCs w:val="21"/>
          <w:highlight w:val="none"/>
        </w:rPr>
        <w:t>具丰富实践经验</w:t>
      </w:r>
      <w:r>
        <w:rPr>
          <w:rFonts w:hint="eastAsia" w:ascii="宋体" w:hAnsi="宋体" w:cs="宋体"/>
          <w:color w:val="auto"/>
          <w:sz w:val="21"/>
          <w:szCs w:val="21"/>
          <w:highlight w:val="none"/>
          <w:lang w:eastAsia="zh-CN"/>
        </w:rPr>
        <w:t>；</w:t>
      </w:r>
    </w:p>
    <w:p>
      <w:pPr>
        <w:numPr>
          <w:ilvl w:val="0"/>
          <w:numId w:val="120"/>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Arial" w:hAnsi="Arial" w:eastAsia="宋体" w:cs="Arial"/>
          <w:i w:val="0"/>
          <w:caps w:val="0"/>
          <w:color w:val="auto"/>
          <w:spacing w:val="0"/>
          <w:sz w:val="21"/>
          <w:szCs w:val="21"/>
          <w:highlight w:val="none"/>
          <w:shd w:val="clear" w:fill="FFFFFF"/>
          <w:lang w:val="en-US" w:eastAsia="zh-CN"/>
        </w:rPr>
        <w:t>具备</w:t>
      </w:r>
      <w:r>
        <w:rPr>
          <w:rFonts w:ascii="Arial" w:hAnsi="Arial" w:eastAsia="宋体" w:cs="Arial"/>
          <w:i w:val="0"/>
          <w:caps w:val="0"/>
          <w:color w:val="auto"/>
          <w:spacing w:val="0"/>
          <w:sz w:val="21"/>
          <w:szCs w:val="21"/>
          <w:highlight w:val="none"/>
          <w:shd w:val="clear" w:fill="FFFFFF"/>
        </w:rPr>
        <w:t>良好的沟通协调能力和团队管理能力</w:t>
      </w:r>
      <w:r>
        <w:rPr>
          <w:rFonts w:hint="eastAsia" w:ascii="Arial" w:hAnsi="Arial" w:eastAsia="宋体" w:cs="Arial"/>
          <w:i w:val="0"/>
          <w:caps w:val="0"/>
          <w:color w:val="auto"/>
          <w:spacing w:val="0"/>
          <w:sz w:val="21"/>
          <w:szCs w:val="21"/>
          <w:highlight w:val="none"/>
          <w:shd w:val="clear" w:fill="FFFFFF"/>
          <w:lang w:eastAsia="zh-CN"/>
        </w:rPr>
        <w:t>，</w:t>
      </w:r>
      <w:r>
        <w:rPr>
          <w:rFonts w:hint="eastAsia" w:ascii="Arial" w:hAnsi="Arial" w:eastAsia="宋体" w:cs="Arial"/>
          <w:i w:val="0"/>
          <w:caps w:val="0"/>
          <w:color w:val="auto"/>
          <w:spacing w:val="0"/>
          <w:sz w:val="21"/>
          <w:szCs w:val="21"/>
          <w:highlight w:val="none"/>
          <w:shd w:val="clear" w:fill="FFFFFF"/>
          <w:lang w:val="en-US" w:eastAsia="zh-CN"/>
        </w:rPr>
        <w:t>服务意识强、执行力强</w:t>
      </w:r>
      <w:r>
        <w:rPr>
          <w:rFonts w:hint="eastAsia" w:ascii="宋体" w:hAnsi="宋体" w:cs="宋体"/>
          <w:color w:val="auto"/>
          <w:sz w:val="21"/>
          <w:szCs w:val="21"/>
          <w:highlight w:val="none"/>
          <w:lang w:eastAsia="zh-CN"/>
        </w:rPr>
        <w:t>。</w:t>
      </w:r>
    </w:p>
    <w:p>
      <w:pPr>
        <w:numPr>
          <w:ilvl w:val="0"/>
          <w:numId w:val="11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安保负责人</w:t>
      </w:r>
      <w:r>
        <w:rPr>
          <w:rFonts w:hint="eastAsia" w:ascii="宋体" w:hAnsi="宋体" w:eastAsia="宋体" w:cs="宋体"/>
          <w:color w:val="auto"/>
          <w:sz w:val="21"/>
          <w:szCs w:val="21"/>
          <w:highlight w:val="none"/>
        </w:rPr>
        <w:t>（1名）</w:t>
      </w:r>
    </w:p>
    <w:p>
      <w:pPr>
        <w:numPr>
          <w:ilvl w:val="0"/>
          <w:numId w:val="121"/>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具有大专（或以上）学历；</w:t>
      </w:r>
    </w:p>
    <w:p>
      <w:pPr>
        <w:numPr>
          <w:ilvl w:val="0"/>
          <w:numId w:val="121"/>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具备5年以上安保服务从业经验，2年以上写字楼或商业综合体物业服务经验，需在乙方处工作1年以上；</w:t>
      </w:r>
    </w:p>
    <w:p>
      <w:pPr>
        <w:numPr>
          <w:ilvl w:val="0"/>
          <w:numId w:val="121"/>
        </w:numPr>
        <w:adjustRightInd w:val="0"/>
        <w:snapToGrid w:val="0"/>
        <w:spacing w:line="360" w:lineRule="auto"/>
        <w:ind w:left="425" w:hanging="425"/>
        <w:rPr>
          <w:rFonts w:hint="eastAsia"/>
          <w:color w:val="auto"/>
          <w:highlight w:val="none"/>
        </w:rPr>
      </w:pPr>
      <w:r>
        <w:rPr>
          <w:rFonts w:hint="eastAsia" w:ascii="宋体" w:hAnsi="宋体" w:cs="宋体"/>
          <w:color w:val="auto"/>
          <w:sz w:val="21"/>
          <w:szCs w:val="21"/>
          <w:highlight w:val="none"/>
          <w:lang w:val="en-US" w:eastAsia="zh-CN"/>
        </w:rPr>
        <w:t>责任心强，</w:t>
      </w:r>
      <w:r>
        <w:rPr>
          <w:rFonts w:hint="eastAsia" w:ascii="宋体" w:hAnsi="宋体" w:eastAsia="宋体" w:cs="宋体"/>
          <w:color w:val="auto"/>
          <w:sz w:val="21"/>
          <w:szCs w:val="21"/>
          <w:highlight w:val="none"/>
        </w:rPr>
        <w:t>熟悉安全管理工作</w:t>
      </w:r>
      <w:r>
        <w:rPr>
          <w:rFonts w:hint="eastAsia" w:ascii="宋体" w:hAnsi="宋体" w:cs="宋体"/>
          <w:color w:val="auto"/>
          <w:sz w:val="21"/>
          <w:szCs w:val="21"/>
          <w:highlight w:val="none"/>
          <w:lang w:val="en-US" w:eastAsia="zh-CN"/>
        </w:rPr>
        <w:t>相关法律法规及工作</w:t>
      </w:r>
      <w:r>
        <w:rPr>
          <w:rFonts w:hint="eastAsia" w:ascii="宋体" w:hAnsi="宋体" w:eastAsia="宋体" w:cs="宋体"/>
          <w:color w:val="auto"/>
          <w:sz w:val="21"/>
          <w:szCs w:val="21"/>
          <w:highlight w:val="none"/>
        </w:rPr>
        <w:t>流程，具备处理突发事件的能力</w:t>
      </w:r>
      <w:r>
        <w:rPr>
          <w:rFonts w:hint="eastAsia" w:ascii="宋体" w:hAnsi="宋体" w:cs="宋体"/>
          <w:color w:val="auto"/>
          <w:sz w:val="21"/>
          <w:szCs w:val="21"/>
          <w:highlight w:val="none"/>
          <w:lang w:eastAsia="zh-CN"/>
        </w:rPr>
        <w:t>；</w:t>
      </w:r>
    </w:p>
    <w:p>
      <w:pPr>
        <w:numPr>
          <w:ilvl w:val="0"/>
          <w:numId w:val="121"/>
        </w:numPr>
        <w:adjustRightInd w:val="0"/>
        <w:snapToGrid w:val="0"/>
        <w:spacing w:line="360" w:lineRule="auto"/>
        <w:ind w:left="425" w:hanging="425"/>
        <w:rPr>
          <w:rFonts w:hint="eastAsia"/>
          <w:color w:val="auto"/>
          <w:highlight w:val="none"/>
        </w:rPr>
      </w:pPr>
      <w:r>
        <w:rPr>
          <w:rFonts w:hint="eastAsia"/>
          <w:color w:val="auto"/>
          <w:highlight w:val="none"/>
        </w:rPr>
        <w:t>持有服务内容相关专业</w:t>
      </w:r>
      <w:r>
        <w:rPr>
          <w:rFonts w:hint="eastAsia"/>
          <w:color w:val="auto"/>
          <w:highlight w:val="none"/>
          <w:lang w:val="en-US" w:eastAsia="zh-CN"/>
        </w:rPr>
        <w:t>资格证、</w:t>
      </w:r>
      <w:r>
        <w:rPr>
          <w:rFonts w:hint="eastAsia"/>
          <w:color w:val="auto"/>
          <w:highlight w:val="none"/>
        </w:rPr>
        <w:t>操作证</w:t>
      </w:r>
      <w:r>
        <w:rPr>
          <w:rFonts w:hint="eastAsia"/>
          <w:color w:val="auto"/>
          <w:highlight w:val="none"/>
          <w:lang w:val="en-US" w:eastAsia="zh-CN"/>
        </w:rPr>
        <w:t>或</w:t>
      </w:r>
      <w:r>
        <w:rPr>
          <w:rFonts w:hint="eastAsia"/>
          <w:color w:val="auto"/>
          <w:highlight w:val="none"/>
        </w:rPr>
        <w:t>上岗证</w:t>
      </w:r>
      <w:r>
        <w:rPr>
          <w:rFonts w:hint="eastAsia"/>
          <w:color w:val="auto"/>
          <w:highlight w:val="none"/>
          <w:lang w:eastAsia="zh-CN"/>
        </w:rPr>
        <w:t>。</w:t>
      </w:r>
    </w:p>
    <w:p>
      <w:pPr>
        <w:pStyle w:val="2"/>
        <w:rPr>
          <w:rFonts w:hint="eastAsia"/>
          <w:color w:val="auto"/>
          <w:highlight w:val="none"/>
        </w:rPr>
      </w:pPr>
    </w:p>
    <w:p>
      <w:pPr>
        <w:numPr>
          <w:ilvl w:val="0"/>
          <w:numId w:val="11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工程负责人</w:t>
      </w:r>
      <w:r>
        <w:rPr>
          <w:rFonts w:hint="eastAsia" w:ascii="宋体" w:hAnsi="宋体" w:eastAsia="宋体" w:cs="宋体"/>
          <w:color w:val="auto"/>
          <w:sz w:val="21"/>
          <w:szCs w:val="21"/>
          <w:highlight w:val="none"/>
        </w:rPr>
        <w:t>（1名）</w:t>
      </w:r>
    </w:p>
    <w:p>
      <w:pPr>
        <w:numPr>
          <w:ilvl w:val="0"/>
          <w:numId w:val="122"/>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具有大专（或以上）学历；</w:t>
      </w:r>
    </w:p>
    <w:p>
      <w:pPr>
        <w:numPr>
          <w:ilvl w:val="0"/>
          <w:numId w:val="122"/>
        </w:numPr>
        <w:adjustRightInd w:val="0"/>
        <w:snapToGrid w:val="0"/>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具备5年以上工程服务从业经验，2年以上写字楼或商业综合体物业服务经验，需在乙方处工作1年以上；</w:t>
      </w:r>
    </w:p>
    <w:p>
      <w:pPr>
        <w:numPr>
          <w:ilvl w:val="0"/>
          <w:numId w:val="122"/>
        </w:numPr>
        <w:adjustRightInd w:val="0"/>
        <w:snapToGrid w:val="0"/>
        <w:spacing w:line="360" w:lineRule="auto"/>
        <w:ind w:left="425" w:hanging="425"/>
        <w:rPr>
          <w:rFonts w:hint="eastAsia"/>
          <w:color w:val="auto"/>
          <w:highlight w:val="none"/>
        </w:rPr>
      </w:pPr>
      <w:r>
        <w:rPr>
          <w:rFonts w:hint="eastAsia" w:ascii="宋体" w:hAnsi="宋体" w:eastAsia="宋体" w:cs="宋体"/>
          <w:color w:val="auto"/>
          <w:sz w:val="21"/>
          <w:szCs w:val="21"/>
          <w:highlight w:val="none"/>
        </w:rPr>
        <w:t>熟悉</w:t>
      </w:r>
      <w:r>
        <w:rPr>
          <w:rFonts w:hint="eastAsia" w:ascii="宋体" w:hAnsi="宋体" w:cs="宋体"/>
          <w:color w:val="auto"/>
          <w:sz w:val="21"/>
          <w:szCs w:val="21"/>
          <w:highlight w:val="none"/>
          <w:lang w:val="en-US" w:eastAsia="zh-CN"/>
        </w:rPr>
        <w:t>产业园区、</w:t>
      </w:r>
      <w:r>
        <w:rPr>
          <w:rFonts w:hint="eastAsia" w:ascii="宋体" w:hAnsi="宋体" w:eastAsia="宋体" w:cs="宋体"/>
          <w:color w:val="auto"/>
          <w:sz w:val="21"/>
          <w:szCs w:val="21"/>
          <w:highlight w:val="none"/>
        </w:rPr>
        <w:t>商写楼宇工程设备</w:t>
      </w:r>
      <w:r>
        <w:rPr>
          <w:rFonts w:hint="eastAsia" w:ascii="宋体" w:hAnsi="宋体" w:cs="宋体"/>
          <w:color w:val="auto"/>
          <w:sz w:val="21"/>
          <w:szCs w:val="21"/>
          <w:highlight w:val="none"/>
          <w:lang w:val="en-US" w:eastAsia="zh-CN"/>
        </w:rPr>
        <w:t>设施</w:t>
      </w:r>
      <w:r>
        <w:rPr>
          <w:rFonts w:hint="eastAsia" w:ascii="宋体" w:hAnsi="宋体" w:eastAsia="宋体" w:cs="宋体"/>
          <w:color w:val="auto"/>
          <w:sz w:val="21"/>
          <w:szCs w:val="21"/>
          <w:highlight w:val="none"/>
        </w:rPr>
        <w:t>的维护与保养周期，具备判断与处理故障的能力；</w:t>
      </w:r>
    </w:p>
    <w:p>
      <w:pPr>
        <w:numPr>
          <w:ilvl w:val="0"/>
          <w:numId w:val="122"/>
        </w:numPr>
        <w:adjustRightInd w:val="0"/>
        <w:snapToGrid w:val="0"/>
        <w:spacing w:line="360" w:lineRule="auto"/>
        <w:ind w:left="425" w:hanging="425"/>
        <w:rPr>
          <w:rFonts w:hint="eastAsia"/>
          <w:color w:val="auto"/>
          <w:highlight w:val="none"/>
        </w:rPr>
      </w:pPr>
      <w:r>
        <w:rPr>
          <w:rFonts w:hint="eastAsia" w:ascii="宋体" w:hAnsi="宋体" w:cs="宋体"/>
          <w:color w:val="auto"/>
          <w:kern w:val="0"/>
          <w:szCs w:val="21"/>
          <w:highlight w:val="none"/>
          <w:lang w:val="en-US" w:eastAsia="zh-CN"/>
        </w:rPr>
        <w:t>持有</w:t>
      </w:r>
      <w:r>
        <w:rPr>
          <w:rFonts w:hint="eastAsia" w:ascii="宋体" w:hAnsi="宋体" w:cs="宋体"/>
          <w:color w:val="auto"/>
          <w:kern w:val="0"/>
          <w:szCs w:val="21"/>
          <w:highlight w:val="none"/>
        </w:rPr>
        <w:t>服务内容相关专业</w:t>
      </w:r>
      <w:r>
        <w:rPr>
          <w:rFonts w:hint="eastAsia" w:ascii="宋体" w:hAnsi="宋体" w:cs="宋体"/>
          <w:color w:val="auto"/>
          <w:kern w:val="0"/>
          <w:szCs w:val="21"/>
          <w:highlight w:val="none"/>
          <w:lang w:val="en-US" w:eastAsia="zh-CN"/>
        </w:rPr>
        <w:t>资格证、</w:t>
      </w:r>
      <w:r>
        <w:rPr>
          <w:rFonts w:hint="eastAsia" w:ascii="宋体" w:hAnsi="宋体" w:cs="宋体"/>
          <w:color w:val="auto"/>
          <w:kern w:val="0"/>
          <w:szCs w:val="21"/>
          <w:highlight w:val="none"/>
        </w:rPr>
        <w:t>操作证</w:t>
      </w:r>
      <w:r>
        <w:rPr>
          <w:rFonts w:hint="eastAsia" w:ascii="宋体" w:hAnsi="宋体" w:cs="宋体"/>
          <w:color w:val="auto"/>
          <w:kern w:val="0"/>
          <w:szCs w:val="21"/>
          <w:highlight w:val="none"/>
          <w:lang w:val="en-US" w:eastAsia="zh-CN"/>
        </w:rPr>
        <w:t>或</w:t>
      </w:r>
      <w:r>
        <w:rPr>
          <w:rFonts w:hint="eastAsia" w:ascii="宋体" w:hAnsi="宋体" w:cs="宋体"/>
          <w:color w:val="auto"/>
          <w:kern w:val="0"/>
          <w:szCs w:val="21"/>
          <w:highlight w:val="none"/>
        </w:rPr>
        <w:t>上岗证</w:t>
      </w:r>
      <w:r>
        <w:rPr>
          <w:rFonts w:hint="eastAsia" w:ascii="宋体" w:hAnsi="宋体" w:cs="宋体"/>
          <w:color w:val="auto"/>
          <w:kern w:val="0"/>
          <w:szCs w:val="21"/>
          <w:highlight w:val="none"/>
          <w:lang w:eastAsia="zh-CN"/>
        </w:rPr>
        <w:t>。</w:t>
      </w:r>
    </w:p>
    <w:p>
      <w:pPr>
        <w:numPr>
          <w:ilvl w:val="0"/>
          <w:numId w:val="11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客服负责人</w:t>
      </w:r>
      <w:r>
        <w:rPr>
          <w:rFonts w:hint="eastAsia" w:ascii="宋体" w:hAnsi="宋体" w:eastAsia="宋体" w:cs="宋体"/>
          <w:color w:val="auto"/>
          <w:sz w:val="21"/>
          <w:szCs w:val="21"/>
          <w:highlight w:val="none"/>
        </w:rPr>
        <w:t>（1名）</w:t>
      </w:r>
    </w:p>
    <w:p>
      <w:pPr>
        <w:numPr>
          <w:ilvl w:val="0"/>
          <w:numId w:val="123"/>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具有大专（或以上）学历</w:t>
      </w:r>
      <w:r>
        <w:rPr>
          <w:rFonts w:hint="eastAsia" w:ascii="宋体" w:hAnsi="宋体" w:eastAsia="宋体" w:cs="宋体"/>
          <w:color w:val="auto"/>
          <w:kern w:val="0"/>
          <w:sz w:val="21"/>
          <w:szCs w:val="21"/>
          <w:highlight w:val="none"/>
        </w:rPr>
        <w:t>；</w:t>
      </w:r>
    </w:p>
    <w:p>
      <w:pPr>
        <w:numPr>
          <w:ilvl w:val="0"/>
          <w:numId w:val="123"/>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具备5年以上相关客户服务从业经验，2年以上写字楼或商业综合体物业服务经验，需在</w:t>
      </w:r>
      <w:r>
        <w:rPr>
          <w:rFonts w:hint="eastAsia" w:ascii="宋体" w:hAnsi="宋体" w:eastAsia="宋体" w:cs="宋体"/>
          <w:color w:val="auto"/>
          <w:sz w:val="21"/>
          <w:szCs w:val="21"/>
          <w:highlight w:val="none"/>
        </w:rPr>
        <w:t>乙方处</w:t>
      </w:r>
      <w:r>
        <w:rPr>
          <w:rFonts w:hint="eastAsia" w:ascii="宋体" w:hAnsi="宋体" w:eastAsia="宋体" w:cs="宋体"/>
          <w:color w:val="auto"/>
          <w:kern w:val="0"/>
          <w:sz w:val="21"/>
          <w:szCs w:val="21"/>
          <w:highlight w:val="none"/>
        </w:rPr>
        <w:t>工作1年以上；</w:t>
      </w:r>
    </w:p>
    <w:p>
      <w:pPr>
        <w:numPr>
          <w:ilvl w:val="0"/>
          <w:numId w:val="123"/>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形象气质佳，有良好</w:t>
      </w:r>
      <w:r>
        <w:rPr>
          <w:rFonts w:hint="eastAsia" w:ascii="宋体" w:hAnsi="宋体" w:cs="宋体"/>
          <w:color w:val="auto"/>
          <w:kern w:val="0"/>
          <w:sz w:val="21"/>
          <w:szCs w:val="21"/>
          <w:highlight w:val="none"/>
          <w:lang w:val="en-US" w:eastAsia="zh-CN"/>
        </w:rPr>
        <w:t>沟通</w:t>
      </w:r>
      <w:r>
        <w:rPr>
          <w:rFonts w:hint="eastAsia" w:ascii="宋体" w:hAnsi="宋体" w:eastAsia="宋体" w:cs="宋体"/>
          <w:color w:val="auto"/>
          <w:kern w:val="0"/>
          <w:sz w:val="21"/>
          <w:szCs w:val="21"/>
          <w:highlight w:val="none"/>
          <w:lang w:eastAsia="zh-CN"/>
        </w:rPr>
        <w:t>组织</w:t>
      </w:r>
      <w:r>
        <w:rPr>
          <w:rFonts w:hint="eastAsia" w:ascii="宋体" w:hAnsi="宋体" w:cs="宋体"/>
          <w:color w:val="auto"/>
          <w:kern w:val="0"/>
          <w:sz w:val="21"/>
          <w:szCs w:val="21"/>
          <w:highlight w:val="none"/>
          <w:lang w:val="en-US" w:eastAsia="zh-CN"/>
        </w:rPr>
        <w:t>协调</w:t>
      </w:r>
      <w:r>
        <w:rPr>
          <w:rFonts w:hint="eastAsia" w:ascii="宋体" w:hAnsi="宋体" w:eastAsia="宋体" w:cs="宋体"/>
          <w:color w:val="auto"/>
          <w:kern w:val="0"/>
          <w:sz w:val="21"/>
          <w:szCs w:val="21"/>
          <w:highlight w:val="none"/>
          <w:lang w:eastAsia="zh-CN"/>
        </w:rPr>
        <w:t>能力</w:t>
      </w:r>
      <w:r>
        <w:rPr>
          <w:rFonts w:hint="eastAsia" w:ascii="宋体" w:hAnsi="宋体" w:cs="宋体"/>
          <w:color w:val="auto"/>
          <w:kern w:val="0"/>
          <w:sz w:val="21"/>
          <w:szCs w:val="21"/>
          <w:highlight w:val="none"/>
          <w:lang w:val="en-US" w:eastAsia="zh-CN"/>
        </w:rPr>
        <w:t>，在客户关系维护、投诉处理方面</w:t>
      </w:r>
      <w:r>
        <w:rPr>
          <w:rFonts w:hint="eastAsia" w:ascii="宋体" w:hAnsi="宋体" w:eastAsia="宋体" w:cs="宋体"/>
          <w:color w:val="auto"/>
          <w:sz w:val="21"/>
          <w:szCs w:val="21"/>
          <w:highlight w:val="none"/>
        </w:rPr>
        <w:t>具</w:t>
      </w:r>
      <w:r>
        <w:rPr>
          <w:rFonts w:hint="eastAsia" w:ascii="宋体" w:hAnsi="宋体" w:cs="宋体"/>
          <w:color w:val="auto"/>
          <w:sz w:val="21"/>
          <w:szCs w:val="21"/>
          <w:highlight w:val="none"/>
          <w:lang w:val="en-US" w:eastAsia="zh-CN"/>
        </w:rPr>
        <w:t>丰富</w:t>
      </w:r>
      <w:r>
        <w:rPr>
          <w:rFonts w:hint="eastAsia" w:ascii="宋体" w:hAnsi="宋体" w:eastAsia="宋体" w:cs="宋体"/>
          <w:color w:val="auto"/>
          <w:sz w:val="21"/>
          <w:szCs w:val="21"/>
          <w:highlight w:val="none"/>
        </w:rPr>
        <w:t>实践经验</w:t>
      </w:r>
      <w:r>
        <w:rPr>
          <w:rFonts w:hint="eastAsia" w:ascii="宋体" w:hAnsi="宋体" w:cs="宋体"/>
          <w:color w:val="auto"/>
          <w:kern w:val="0"/>
          <w:sz w:val="21"/>
          <w:szCs w:val="21"/>
          <w:highlight w:val="none"/>
          <w:lang w:eastAsia="zh-CN"/>
        </w:rPr>
        <w:t>；</w:t>
      </w:r>
    </w:p>
    <w:p>
      <w:pPr>
        <w:numPr>
          <w:ilvl w:val="0"/>
          <w:numId w:val="123"/>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hAnsi="宋体" w:cs="宋体"/>
          <w:color w:val="auto"/>
          <w:kern w:val="0"/>
          <w:sz w:val="21"/>
          <w:szCs w:val="21"/>
          <w:highlight w:val="none"/>
          <w:lang w:val="en-US" w:eastAsia="zh-CN"/>
        </w:rPr>
        <w:t>国、粤语标准，满足一般接待、会议场合的外语沟通能力</w:t>
      </w:r>
      <w:r>
        <w:rPr>
          <w:rFonts w:hint="eastAsia" w:ascii="宋体" w:hAnsi="宋体" w:eastAsia="宋体" w:cs="宋体"/>
          <w:color w:val="auto"/>
          <w:kern w:val="0"/>
          <w:sz w:val="21"/>
          <w:szCs w:val="21"/>
          <w:highlight w:val="none"/>
          <w:lang w:eastAsia="zh-CN"/>
        </w:rPr>
        <w:t>。</w:t>
      </w:r>
    </w:p>
    <w:p>
      <w:pPr>
        <w:numPr>
          <w:ilvl w:val="0"/>
          <w:numId w:val="119"/>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环境负责人</w:t>
      </w:r>
      <w:r>
        <w:rPr>
          <w:rFonts w:hint="eastAsia" w:ascii="宋体" w:hAnsi="宋体" w:eastAsia="宋体" w:cs="宋体"/>
          <w:color w:val="auto"/>
          <w:sz w:val="21"/>
          <w:szCs w:val="21"/>
          <w:highlight w:val="none"/>
        </w:rPr>
        <w:t>（1名）</w:t>
      </w:r>
    </w:p>
    <w:p>
      <w:pPr>
        <w:numPr>
          <w:ilvl w:val="0"/>
          <w:numId w:val="124"/>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具有大专（或以上）学历；</w:t>
      </w:r>
    </w:p>
    <w:p>
      <w:pPr>
        <w:numPr>
          <w:ilvl w:val="0"/>
          <w:numId w:val="124"/>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具备5年以上相关环境保洁服务从业经验，2年以上写字楼或商业综合体物业服务经验，需要在</w:t>
      </w:r>
      <w:r>
        <w:rPr>
          <w:rFonts w:hint="eastAsia" w:ascii="宋体" w:hAnsi="宋体" w:eastAsia="宋体" w:cs="宋体"/>
          <w:color w:val="auto"/>
          <w:sz w:val="21"/>
          <w:szCs w:val="21"/>
          <w:highlight w:val="none"/>
        </w:rPr>
        <w:t>乙方处</w:t>
      </w:r>
      <w:r>
        <w:rPr>
          <w:rFonts w:hint="eastAsia" w:ascii="宋体" w:hAnsi="宋体" w:eastAsia="宋体" w:cs="宋体"/>
          <w:color w:val="auto"/>
          <w:kern w:val="0"/>
          <w:sz w:val="21"/>
          <w:szCs w:val="21"/>
          <w:highlight w:val="none"/>
        </w:rPr>
        <w:t>工作1年以上；</w:t>
      </w:r>
    </w:p>
    <w:p>
      <w:pPr>
        <w:numPr>
          <w:ilvl w:val="0"/>
          <w:numId w:val="124"/>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熟悉产业园区</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商写楼宇</w:t>
      </w:r>
      <w:r>
        <w:rPr>
          <w:rFonts w:hint="eastAsia" w:ascii="宋体" w:hAnsi="宋体" w:eastAsia="宋体" w:cs="宋体"/>
          <w:color w:val="auto"/>
          <w:kern w:val="0"/>
          <w:sz w:val="21"/>
          <w:szCs w:val="21"/>
          <w:highlight w:val="none"/>
        </w:rPr>
        <w:t>环境板块工作流程，</w:t>
      </w:r>
      <w:r>
        <w:rPr>
          <w:rFonts w:hint="eastAsia" w:ascii="宋体" w:hAnsi="宋体" w:cs="宋体"/>
          <w:color w:val="auto"/>
          <w:kern w:val="0"/>
          <w:sz w:val="21"/>
          <w:szCs w:val="21"/>
          <w:highlight w:val="none"/>
          <w:lang w:val="en-US" w:eastAsia="zh-CN"/>
        </w:rPr>
        <w:t>在</w:t>
      </w:r>
      <w:r>
        <w:rPr>
          <w:rFonts w:ascii="Arial" w:hAnsi="Arial" w:eastAsia="宋体" w:cs="Arial"/>
          <w:i w:val="0"/>
          <w:caps w:val="0"/>
          <w:color w:val="auto"/>
          <w:spacing w:val="0"/>
          <w:sz w:val="21"/>
          <w:szCs w:val="21"/>
          <w:highlight w:val="none"/>
          <w:shd w:val="clear" w:fill="FFFFFF"/>
        </w:rPr>
        <w:t>绿化</w:t>
      </w:r>
      <w:r>
        <w:rPr>
          <w:rFonts w:hint="eastAsia" w:ascii="Arial" w:hAnsi="Arial" w:eastAsia="宋体" w:cs="Arial"/>
          <w:i w:val="0"/>
          <w:caps w:val="0"/>
          <w:color w:val="auto"/>
          <w:spacing w:val="0"/>
          <w:sz w:val="21"/>
          <w:szCs w:val="21"/>
          <w:highlight w:val="none"/>
          <w:shd w:val="clear" w:fill="FFFFFF"/>
          <w:lang w:val="en-US" w:eastAsia="zh-CN"/>
        </w:rPr>
        <w:t>养护管理方面有丰富实践经验</w:t>
      </w:r>
      <w:r>
        <w:rPr>
          <w:rFonts w:hint="eastAsia" w:ascii="宋体" w:hAnsi="宋体" w:cs="宋体"/>
          <w:color w:val="auto"/>
          <w:kern w:val="0"/>
          <w:sz w:val="21"/>
          <w:szCs w:val="21"/>
          <w:highlight w:val="none"/>
          <w:lang w:eastAsia="zh-CN"/>
        </w:rPr>
        <w:t>；</w:t>
      </w:r>
    </w:p>
    <w:p>
      <w:pPr>
        <w:numPr>
          <w:ilvl w:val="0"/>
          <w:numId w:val="124"/>
        </w:numPr>
        <w:adjustRightInd w:val="0"/>
        <w:snapToGrid w:val="0"/>
        <w:spacing w:line="360" w:lineRule="auto"/>
        <w:ind w:left="425" w:leftChars="0" w:hanging="425" w:firstLineChars="0"/>
        <w:rPr>
          <w:rFonts w:hint="eastAsia" w:ascii="宋体" w:hAnsi="宋体" w:eastAsia="宋体" w:cs="宋体"/>
          <w:color w:val="auto"/>
          <w:kern w:val="0"/>
          <w:sz w:val="21"/>
          <w:szCs w:val="21"/>
          <w:highlight w:val="none"/>
        </w:rPr>
      </w:pPr>
      <w:r>
        <w:rPr>
          <w:rFonts w:hint="eastAsia" w:ascii="宋体" w:hAnsi="宋体" w:cs="宋体"/>
          <w:color w:val="auto"/>
          <w:kern w:val="0"/>
          <w:szCs w:val="21"/>
          <w:highlight w:val="none"/>
        </w:rPr>
        <w:t>持有服务内容相关专业</w:t>
      </w:r>
      <w:r>
        <w:rPr>
          <w:rFonts w:hint="eastAsia" w:ascii="宋体" w:hAnsi="宋体" w:cs="宋体"/>
          <w:color w:val="auto"/>
          <w:kern w:val="0"/>
          <w:szCs w:val="21"/>
          <w:highlight w:val="none"/>
          <w:lang w:val="en-US" w:eastAsia="zh-CN"/>
        </w:rPr>
        <w:t>资格证、</w:t>
      </w:r>
      <w:r>
        <w:rPr>
          <w:rFonts w:hint="eastAsia" w:ascii="宋体" w:hAnsi="宋体" w:cs="宋体"/>
          <w:color w:val="auto"/>
          <w:kern w:val="0"/>
          <w:szCs w:val="21"/>
          <w:highlight w:val="none"/>
        </w:rPr>
        <w:t>操作证</w:t>
      </w:r>
      <w:r>
        <w:rPr>
          <w:rFonts w:hint="eastAsia" w:ascii="宋体" w:hAnsi="宋体" w:cs="宋体"/>
          <w:color w:val="auto"/>
          <w:kern w:val="0"/>
          <w:szCs w:val="21"/>
          <w:highlight w:val="none"/>
          <w:lang w:val="en-US" w:eastAsia="zh-CN"/>
        </w:rPr>
        <w:t>或</w:t>
      </w:r>
      <w:r>
        <w:rPr>
          <w:rFonts w:hint="eastAsia" w:ascii="宋体" w:hAnsi="宋体" w:cs="宋体"/>
          <w:color w:val="auto"/>
          <w:kern w:val="0"/>
          <w:szCs w:val="21"/>
          <w:highlight w:val="none"/>
        </w:rPr>
        <w:t>上岗证。</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管理服务质量要求</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服务范围内无因乙方管理不当而发生重大刑事案件、重大交通及重大火灾等安全事故，社区监控范围内无被盗等治安案件的发生，无纵火、爆炸、投毒等恶性事（案）件发生、无外事纠纷、泄密等事（案）件发生。如因乙方管理不当导致上述事（案）件的发生，所产生的损失和责任全部由乙方承担。</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严格遵守有关消防管理规定，确保无因乙方管理不当而发生消防事故，消防设备完好率100%。如因乙方管理不当导致发生消防事故，所产生的损失和责任全部由乙方承担。</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园区内设施、机电设备无操作管理、使用责任事故发生。全部外包项目及园区内施工工程无因乙方监管不到位而发生安全事故。如因乙方管理不当导致发生安全事故，所产生的损失和责任全部由乙方承担。</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各项设施设备的维修保养工作，必须按甲方要求的时限，高效、保质、保量完成。</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除因基建质量、设备质量在保修期内等特殊原因外，房屋及配套设施、设备完好；零星维修、急修（5小时内完成）及时率达100%（专业设施除外）。</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管理范围内照明、化粪池、雨水井、污水井、排水管、明暗沟、停车场、道路完好。</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房屋及配套设施、设备完好率达100%；维修、急修（5小时内完成）及时率达100%。</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管理范围内照明、化粪池、雨水井、污水井、排水管、明暗沟、停车场、道路完好率100%。</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实行动态保洁，卫生清洁保洁率100%。</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物业管理服务满意率在80%以上；投诉处理率100%。</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根据甲方制定的园区管理相关规定和需求，乙方拟定详细的管理服务细则或拟定详细的管理服务的实施方案，且经甲方认可后方能实施。</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乙方一切管理服务工作的实施，必须以服从于甲方的工作需要为前提，以方便园区为原则。维修保养等工作一般情况下在物业使用人非工作时间内进行。</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在园区安排24小时保安不定时对进行安全巡查，检查园区内重点部位及各层门窗设施设备、水电、消防等情况。</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设施进行维护保养，严禁在辖区人行道上停车以及在办公楼外围张贴、摆卖或闲坐等。</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乙方不得擅自对管理的各设施进行占用和改变使用功能，如需在改、扩建或完善配套项目，须经甲方书面同意后批准方可启动和实施。</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经甲方书面授权，乙方对违反物业管理法规和规章制度的行为进行处理：包括责令停工、责令赔偿经济损失以及停水停电等措施。</w:t>
      </w:r>
    </w:p>
    <w:p>
      <w:pPr>
        <w:numPr>
          <w:ilvl w:val="0"/>
          <w:numId w:val="125"/>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设备设施投入要求：乙方进驻并开展正常工作所必备的其他物资装备：警用安防信息化对讲系统，物业智能信息化管理系统；交通工具、通讯工具、办公家具、办公设备、全部人员的服装、安防装备、维修工具、绿化工具、清洁工具等。</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bCs w:val="0"/>
          <w:color w:val="auto"/>
          <w:kern w:val="0"/>
          <w:sz w:val="21"/>
          <w:szCs w:val="21"/>
          <w:highlight w:val="none"/>
        </w:rPr>
      </w:pPr>
      <w:r>
        <w:rPr>
          <w:rFonts w:hint="eastAsia" w:ascii="宋体" w:hAnsi="宋体" w:eastAsia="宋体" w:cs="宋体"/>
          <w:b/>
          <w:bCs w:val="0"/>
          <w:color w:val="auto"/>
          <w:kern w:val="2"/>
          <w:sz w:val="21"/>
          <w:szCs w:val="21"/>
          <w:highlight w:val="none"/>
          <w:lang w:val="en-US" w:eastAsia="zh-CN" w:bidi="ar-SA"/>
        </w:rPr>
        <w:t>物业管理费用说明</w:t>
      </w:r>
    </w:p>
    <w:p>
      <w:pPr>
        <w:adjustRightInd w:val="0"/>
        <w:snapToGrid w:val="0"/>
        <w:spacing w:line="360" w:lineRule="auto"/>
        <w:ind w:left="420" w:leftChars="0" w:hanging="420" w:hanging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费用包括乙方履行本合同物业日常管理服务所发生一切费用，包括但不限于：</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工资：正常工资、年终奖、法定节假日加班费等（需符合《中华人民共和国劳动法》工资保障制度）；</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福利保险：福利费（奖金补贴）、培训费、工会及活动经费、节假日慰问费、防寒御暑费、员工生日福利、节假日慰问金、经济补偿金、残疾人就业保障金、员工伙食补贴、佛山市规定的各种社会保险等，否则交由劳动部门处理；</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办公费用：办公室水电费、通讯费（含电话通讯费、传真费、网络费）、办公设备维护和办公用品、档案管理、差旅费、员工行政管理费用等；</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秩序（安防）费用：安防工具物料消耗（包括对讲机、自行车、警具、雪糕筒、水马、围栏、警戒线等消耗费用）、保安管理费（公安部门收取）、各种装备维护保养费、消防工具（含枪头、水带、灭火器充装等消耗费用）等；</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清洁、保洁、消杀费用：清洁工具、物料消耗费、化粪池清理（每年清掏不少于1次）、供水箱清洗（每季度清洗一次，以及根据使用情况更换零部件）、消杀四害（夏季每月不少于2次，冬季每月1次）和防治白蚁（每年不少于4次）、环卫设施的更换维护保养、垃圾清运及处理费、建筑物外墙及玻璃幕墙清洗费（每年清洗1次）、防范各类传染病（非典、登革热及类似疫情）的各项防疫及应急工作的费用；</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绿化维护保养费用：工具物料消耗、剪草机汽油费、施肥、病虫害防治费、苗木补种（包括草皮、树苗及支撑杆等消耗）、绿化垃圾清运费用；</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园区公共设施设备运行及保养费用，包含但不限于以下部分：</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公共照明设施维保费：路灯、景观灯、射灯、吊灯、壁灯、天花灯槽、开关线路等维修保养；</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消防系统维保费: 发电机、变压器、电箱及线路等的维修、更换、清洁、保养，消防远程监控系统设备等；</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智能化弱电系统维保费:门禁道闸、对讲及防盗视频等弱电系统、电子巡更系统的维修保养；</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水泵及供水管道维保费: 水泵、水泵控制柜、管道、阀门、水龙头、冲水阀、水箱、接水管等给水系统的维修、保养、更换、刷漆等；</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电梯维保费、年检费：园区内所有电梯日常维护、保养、维修，非核心零部件的更换，以及电梯年检；</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防雷设施维护费：园区内所有防雷设施的检测、保养、维修、更换等；</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设备设施及房屋附属设施维修费：设备设施的小修、中修，零星维修，门窗、公厕、公共装饰设施等公共设施的保养、维修等；</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空调系统：园区公共区域、管理办公区域空调设施的管理维护；</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停车场管理系统维护费：园区临时停车场道闸软硬件故障维修、零部件更换。</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道路和排污排水管沟维保费：室外道路路面、路沿石、广场砖、地砖、道路标线、其他交通设施及各种检查井、排水管、排污管等的；包括化粪池、雨水井、污水井、排水管、明暗沟的清疏费用；</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电房内高低压电力设施的维护费用；</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公共责任险：根据园区要求及实际需要配置公共责任险，保单中应包含但不限于：承担园区内因管理过失导致的意外事故的人身财产损失，累计赔偿限额不低于人民币200万元；</w:t>
      </w:r>
    </w:p>
    <w:p>
      <w:pPr>
        <w:adjustRightInd w:val="0"/>
        <w:snapToGri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注：保单中，甲方应为被保人或受益人，免赔额部分由甲方承担。</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开办费用清单：乙方进驻并开展正常工作所必备的物资装备费用主要有：交通工具、通讯工具、办公家具、办公设备、全部人员的服装、安防装备、维修工具、绿化工具、保洁工具；</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不可预测费用；</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管理酬金；</w:t>
      </w:r>
    </w:p>
    <w:p>
      <w:pPr>
        <w:numPr>
          <w:ilvl w:val="0"/>
          <w:numId w:val="127"/>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税金。</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费用不包括的事项：</w:t>
      </w:r>
    </w:p>
    <w:p>
      <w:pPr>
        <w:numPr>
          <w:ilvl w:val="0"/>
          <w:numId w:val="12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项人民币2000元以上（不包含人民币2000元）的物业、设施设备的维修费由甲方承担（该类项目由乙方向甲方作事项申请，确认由甲方负责实施的，在支付给乙方的月度物业服务费中予以扣除人民币2000元/项，每月5项封顶，因建筑原始结构问题导致的房屋漏水渗水问题、地下旧有供水管道破裂的维修事项、对园区环境设施实施的提升改造事项不作扣除）。</w:t>
      </w:r>
    </w:p>
    <w:p>
      <w:pPr>
        <w:numPr>
          <w:ilvl w:val="0"/>
          <w:numId w:val="128"/>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其它本项目服务内容外，需要甲方和乙方协商的费用。</w:t>
      </w:r>
    </w:p>
    <w:p>
      <w:pPr>
        <w:numPr>
          <w:ilvl w:val="0"/>
          <w:numId w:val="126"/>
        </w:numPr>
        <w:adjustRightInd w:val="0"/>
        <w:snapToGrid w:val="0"/>
        <w:spacing w:line="36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费用说明：</w:t>
      </w:r>
    </w:p>
    <w:p>
      <w:pPr>
        <w:numPr>
          <w:ilvl w:val="0"/>
          <w:numId w:val="129"/>
        </w:numPr>
        <w:adjustRightInd w:val="0"/>
        <w:snapToGrid w:val="0"/>
        <w:spacing w:line="360" w:lineRule="auto"/>
        <w:ind w:left="425" w:leftChars="20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特种设施或专业设施的维保托管事项，由乙方向甲方提交聘请第三方机构的相关资料（含专业资质），经甲方备案后，由乙方或委托第三方公司进行维保，费用由乙方承担；特种设施或专业设施维保托管单位在管理期内发生安全事故或劳资、合同纠纷的，所有责任由乙方全部承担；</w:t>
      </w:r>
    </w:p>
    <w:p>
      <w:pPr>
        <w:numPr>
          <w:ilvl w:val="0"/>
          <w:numId w:val="129"/>
        </w:numPr>
        <w:adjustRightInd w:val="0"/>
        <w:snapToGrid w:val="0"/>
        <w:spacing w:line="360" w:lineRule="auto"/>
        <w:ind w:left="425" w:leftChars="20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内发生物业损坏时，由乙方向甲方提交修复明细以及拟委托第三方公司的相关资质，经甲方备案后，由乙方自行或委托第三方公司施工，费用由乙方承担；第三方施工单位在施工期内发生安全事故、劳资、合同纠纷或对甲方、施工人员、第三人造成人身、财产损害的，所有责任由乙方全部承担。</w:t>
      </w:r>
    </w:p>
    <w:p>
      <w:pPr>
        <w:adjustRightInd w:val="0"/>
        <w:snapToGrid w:val="0"/>
        <w:spacing w:line="360" w:lineRule="auto"/>
        <w:ind w:left="425" w:leftChars="20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注：物业维保费用包含：物业维修、保养及零件更换。</w:t>
      </w:r>
    </w:p>
    <w:p>
      <w:pPr>
        <w:numPr>
          <w:ilvl w:val="0"/>
          <w:numId w:val="129"/>
        </w:numPr>
        <w:adjustRightInd w:val="0"/>
        <w:snapToGrid w:val="0"/>
        <w:spacing w:line="360" w:lineRule="auto"/>
        <w:ind w:left="425" w:leftChars="20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其他约定：</w:t>
      </w:r>
    </w:p>
    <w:p>
      <w:pPr>
        <w:numPr>
          <w:ilvl w:val="0"/>
          <w:numId w:val="0"/>
        </w:numPr>
        <w:adjustRightInd w:val="0"/>
        <w:snapToGrid w:val="0"/>
        <w:spacing w:line="360" w:lineRule="auto"/>
        <w:ind w:left="425" w:leftChars="20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甲方免费提供配套办公用房,乙方使用上述房屋产生的费用（如办公费、水电费用、用品更换费用、设施设备购置费用等）自理。</w:t>
      </w:r>
    </w:p>
    <w:p>
      <w:pPr>
        <w:numPr>
          <w:ilvl w:val="0"/>
          <w:numId w:val="129"/>
        </w:numPr>
        <w:adjustRightInd w:val="0"/>
        <w:snapToGrid w:val="0"/>
        <w:spacing w:line="360" w:lineRule="auto"/>
        <w:ind w:left="425" w:leftChars="200" w:hanging="5" w:firstLineChars="0"/>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由于乙方维护保养不善，物业损坏而导致甲方或第三方财产损失，由乙方承担相应责任及费用</w:t>
      </w:r>
      <w:r>
        <w:rPr>
          <w:rFonts w:hint="eastAsia" w:hAnsi="宋体" w:cs="宋体"/>
          <w:color w:val="auto"/>
          <w:kern w:val="0"/>
          <w:sz w:val="21"/>
          <w:szCs w:val="21"/>
          <w:highlight w:val="none"/>
          <w:lang w:eastAsia="zh-CN"/>
        </w:rPr>
        <w:t>。</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物业管理工作绩效考核办法</w:t>
      </w:r>
    </w:p>
    <w:p>
      <w:pPr>
        <w:numPr>
          <w:ilvl w:val="0"/>
          <w:numId w:val="130"/>
        </w:numPr>
        <w:adjustRightInd w:val="0"/>
        <w:snapToGrid w:val="0"/>
        <w:spacing w:line="360" w:lineRule="auto"/>
        <w:ind w:left="0" w:leftChars="0" w:firstLine="42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月度考核</w:t>
      </w:r>
    </w:p>
    <w:p>
      <w:pPr>
        <w:numPr>
          <w:ilvl w:val="0"/>
          <w:numId w:val="131"/>
        </w:numPr>
        <w:adjustRightInd w:val="0"/>
        <w:snapToGrid w:val="0"/>
        <w:spacing w:line="360" w:lineRule="auto"/>
        <w:ind w:left="425" w:leftChars="0" w:hanging="5"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月度考核指标</w:t>
      </w:r>
    </w:p>
    <w:tbl>
      <w:tblPr>
        <w:tblStyle w:val="21"/>
        <w:tblW w:w="92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0"/>
        <w:gridCol w:w="630"/>
        <w:gridCol w:w="4290"/>
        <w:gridCol w:w="1200"/>
        <w:gridCol w:w="21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tcBorders>
              <w:tl2br w:val="nil"/>
              <w:tr2bl w:val="nil"/>
            </w:tcBorders>
            <w:vAlign w:val="center"/>
          </w:tcPr>
          <w:p>
            <w:pPr>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类 别</w:t>
            </w:r>
          </w:p>
        </w:tc>
        <w:tc>
          <w:tcPr>
            <w:tcW w:w="630" w:type="dxa"/>
            <w:tcBorders>
              <w:tl2br w:val="nil"/>
              <w:tr2bl w:val="nil"/>
            </w:tcBorders>
            <w:vAlign w:val="center"/>
          </w:tcPr>
          <w:p>
            <w:pPr>
              <w:spacing w:line="240" w:lineRule="auto"/>
              <w:ind w:right="115"/>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序号</w:t>
            </w:r>
          </w:p>
        </w:tc>
        <w:tc>
          <w:tcPr>
            <w:tcW w:w="4290" w:type="dxa"/>
            <w:tcBorders>
              <w:tl2br w:val="nil"/>
              <w:tr2bl w:val="nil"/>
            </w:tcBorders>
            <w:vAlign w:val="center"/>
          </w:tcPr>
          <w:p>
            <w:pPr>
              <w:spacing w:line="240" w:lineRule="auto"/>
              <w:ind w:left="1620"/>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考核内容</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扣减分数</w:t>
            </w:r>
          </w:p>
        </w:tc>
        <w:tc>
          <w:tcPr>
            <w:tcW w:w="2190" w:type="dxa"/>
            <w:tcBorders>
              <w:tl2br w:val="nil"/>
              <w:tr2bl w:val="nil"/>
            </w:tcBorders>
            <w:vAlign w:val="center"/>
          </w:tcPr>
          <w:p>
            <w:pPr>
              <w:spacing w:line="240" w:lineRule="auto"/>
              <w:ind w:left="-2"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评分依据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5"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物业服务不到位、不及时，被客户有效投诉，或对客户的相关投诉处理未跟踪解决。</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客户投诉，调查属实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38"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未定期对客户进行走访、回访和意见调查(每月5户)，无相关记录。</w:t>
            </w:r>
          </w:p>
        </w:tc>
        <w:tc>
          <w:tcPr>
            <w:tcW w:w="1200" w:type="dxa"/>
            <w:tcBorders>
              <w:tl2br w:val="nil"/>
              <w:tr2bl w:val="nil"/>
            </w:tcBorders>
            <w:vAlign w:val="center"/>
          </w:tcPr>
          <w:p>
            <w:pPr>
              <w:spacing w:line="240" w:lineRule="auto"/>
              <w:ind w:left="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查被访客户及相关</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办理客户入驻、接待装修申报及报修受理(当天)不及时。</w:t>
            </w:r>
          </w:p>
        </w:tc>
        <w:tc>
          <w:tcPr>
            <w:tcW w:w="1200" w:type="dxa"/>
            <w:tcBorders>
              <w:tl2br w:val="nil"/>
              <w:tr2bl w:val="nil"/>
            </w:tcBorders>
            <w:vAlign w:val="center"/>
          </w:tcPr>
          <w:p>
            <w:pPr>
              <w:spacing w:line="240" w:lineRule="auto"/>
              <w:ind w:left="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客户投诉，调查属</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员工仪表仪容不整、行为不规范，未使用文明用语，不按规定制服着装、不佩带胸牌。</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定期检查和随机抽查培训记录、抽查现场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未对员工定期进行业务培训。</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抽查培训记录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未按要求、按时提交工作计划、工作报告、改进方案等</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定期检查和随机抽查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工作期间管理人员手机无法接通或不接听电话，对讲机呼叫无应答或对讲机处于关机状态。客服电话、24小时服务电话长时间无法接通、无人接听</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46"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未经甲方同意更换项目经理、主管人员</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可能影响园区、客户经营的重大事项（如消防、安防、供水供电设施损坏、园区发生消防、安防、停水停电事件等）未报告或隐瞒不报</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未经甲方同意擅自减少岗位编制，或未按合同要求配足人员的。</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纪律</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未按时完成交办的工作任务，酿成不良后果</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查记录通知、现场工作记录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主管负责人督查不严，导致管理工作出现重大失误，影响甲方公司或园区形象、或造成较大经济损失</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当班饮酒或酒后上班。 注：若给</w:t>
            </w:r>
            <w:r>
              <w:rPr>
                <w:rFonts w:hint="eastAsia" w:ascii="宋体" w:hAnsi="宋体" w:eastAsia="宋体" w:cs="宋体"/>
                <w:color w:val="auto"/>
                <w:sz w:val="21"/>
                <w:szCs w:val="21"/>
                <w:highlight w:val="none"/>
                <w:lang w:val="en-US" w:eastAsia="zh-CN"/>
              </w:rPr>
              <w:t>甲方、租户、第三方</w:t>
            </w:r>
            <w:r>
              <w:rPr>
                <w:rFonts w:hint="eastAsia" w:ascii="宋体" w:hAnsi="宋体" w:eastAsia="宋体" w:cs="宋体"/>
                <w:color w:val="auto"/>
                <w:sz w:val="21"/>
                <w:szCs w:val="21"/>
                <w:highlight w:val="none"/>
              </w:rPr>
              <w:t>造成损失的，另行处理</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当班期间串岗、脱岗、睡岗。注：若给</w:t>
            </w:r>
            <w:r>
              <w:rPr>
                <w:rFonts w:hint="eastAsia" w:ascii="宋体" w:hAnsi="宋体" w:eastAsia="宋体" w:cs="宋体"/>
                <w:color w:val="auto"/>
                <w:sz w:val="21"/>
                <w:szCs w:val="21"/>
                <w:highlight w:val="none"/>
                <w:lang w:val="en-US" w:eastAsia="zh-CN"/>
              </w:rPr>
              <w:t>甲方或租户</w:t>
            </w:r>
            <w:r>
              <w:rPr>
                <w:rFonts w:hint="eastAsia" w:ascii="宋体" w:hAnsi="宋体" w:eastAsia="宋体" w:cs="宋体"/>
                <w:color w:val="auto"/>
                <w:sz w:val="21"/>
                <w:szCs w:val="21"/>
                <w:highlight w:val="none"/>
              </w:rPr>
              <w:t>造成损失的，另行处理</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当班吵架、打架、赌博。 注：情节严重者另行处理</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办公室内扎堆闲聊、上网游戏、看电影或在岗长时间聊私人电话</w:t>
            </w:r>
          </w:p>
        </w:tc>
        <w:tc>
          <w:tcPr>
            <w:tcW w:w="1200" w:type="dxa"/>
            <w:tcBorders>
              <w:tl2br w:val="nil"/>
              <w:tr2bl w:val="nil"/>
            </w:tcBorders>
            <w:vAlign w:val="center"/>
          </w:tcPr>
          <w:p>
            <w:pPr>
              <w:spacing w:line="240" w:lineRule="auto"/>
              <w:ind w:left="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96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未做到每月自检资料完整</w:t>
            </w:r>
          </w:p>
        </w:tc>
        <w:tc>
          <w:tcPr>
            <w:tcW w:w="1200" w:type="dxa"/>
            <w:tcBorders>
              <w:tl2br w:val="nil"/>
              <w:tr2bl w:val="nil"/>
            </w:tcBorders>
            <w:vAlign w:val="center"/>
          </w:tcPr>
          <w:p>
            <w:pPr>
              <w:spacing w:line="240" w:lineRule="auto"/>
              <w:ind w:left="6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治安</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保卫</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园区发生重大安全事故(实行一票否决制，并追究主要责任人和直接责任人的责任)</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未做好园区内防火、防盗、防爆炸及预防治安案件的“四防”工作，每发生一起案件</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对园区内存在的安全隐患排查不力、整改措施不到位或整改措施计划未按期完成</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调查现场及整改计划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未执行（或执行不力）园区内安保的定期和不定期巡查，且巡查记录不全</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现场随机抽查、</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园区交付保管的固有资产失窃、损坏（经核算后赔付或修复）</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发生重大传染病疫情期间（或疫情防控期间），未按政府、园区相关规定做好防疫工作的</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费用</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收取</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未建立各项收费台账，未保管好发票及收据</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查收费台账、发票、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vMerge w:val="restart"/>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vMerge w:val="restart"/>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未做到岗亭严格按照收费标准收取停车管理费，未按时报账</w:t>
            </w:r>
          </w:p>
        </w:tc>
        <w:tc>
          <w:tcPr>
            <w:tcW w:w="1200" w:type="dxa"/>
            <w:vMerge w:val="restart"/>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vMerge w:val="restart"/>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4290" w:type="dxa"/>
            <w:vMerge w:val="continue"/>
            <w:tcBorders>
              <w:tl2br w:val="nil"/>
              <w:tr2bl w:val="nil"/>
            </w:tcBorders>
            <w:vAlign w:val="center"/>
          </w:tcPr>
          <w:p>
            <w:pPr>
              <w:spacing w:line="240" w:lineRule="auto"/>
              <w:rPr>
                <w:rFonts w:hint="eastAsia" w:ascii="宋体" w:hAnsi="宋体" w:eastAsia="宋体" w:cs="宋体"/>
                <w:color w:val="auto"/>
                <w:sz w:val="21"/>
                <w:szCs w:val="21"/>
                <w:highlight w:val="none"/>
              </w:rPr>
            </w:pPr>
          </w:p>
        </w:tc>
        <w:tc>
          <w:tcPr>
            <w:tcW w:w="120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2190" w:type="dxa"/>
            <w:vMerge w:val="continue"/>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5"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水电、租金、管理费催缴，客户通知情况、反馈情况未记录详细，未做到相关签收文件齐全，每月移交一次</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未及时准确上报欠缴费</w:t>
            </w:r>
            <w:r>
              <w:rPr>
                <w:rFonts w:hint="eastAsia" w:ascii="宋体" w:hAnsi="宋体" w:eastAsia="宋体" w:cs="宋体"/>
                <w:color w:val="auto"/>
                <w:sz w:val="21"/>
                <w:szCs w:val="21"/>
                <w:highlight w:val="none"/>
                <w:lang w:val="en-US" w:eastAsia="zh-CN"/>
              </w:rPr>
              <w:t>租户</w:t>
            </w:r>
            <w:r>
              <w:rPr>
                <w:rFonts w:hint="eastAsia" w:ascii="宋体" w:hAnsi="宋体" w:eastAsia="宋体" w:cs="宋体"/>
                <w:color w:val="auto"/>
                <w:sz w:val="21"/>
                <w:szCs w:val="21"/>
                <w:highlight w:val="none"/>
              </w:rPr>
              <w:t>名单明细，延时或不准确。</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查报表并登记上报</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未及时上报特殊起杆（强行起杆）、免收费等车辆信息登记表</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操作不当造成设备设施损坏，物品丢失</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擅自允许非工作人员进入岗亭或休息室内。</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未核对水电费抄表数据，出现错误导致客户投诉或拒缴水电费的(客户拒缴差额部分由物业管理公司负责协调解决)，每发生一起</w:t>
            </w:r>
          </w:p>
        </w:tc>
        <w:tc>
          <w:tcPr>
            <w:tcW w:w="1200"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vMerge w:val="restart"/>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4290" w:type="dxa"/>
            <w:vMerge w:val="restart"/>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贪污款项、乱收费</w:t>
            </w:r>
          </w:p>
        </w:tc>
        <w:tc>
          <w:tcPr>
            <w:tcW w:w="1200" w:type="dxa"/>
            <w:vMerge w:val="restart"/>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vMerge w:val="restart"/>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有效投诉、现场取证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4290" w:type="dxa"/>
            <w:vMerge w:val="continue"/>
            <w:tcBorders>
              <w:tl2br w:val="nil"/>
              <w:tr2bl w:val="nil"/>
            </w:tcBorders>
            <w:vAlign w:val="center"/>
          </w:tcPr>
          <w:p>
            <w:pPr>
              <w:spacing w:line="240" w:lineRule="auto"/>
              <w:rPr>
                <w:rFonts w:hint="eastAsia" w:ascii="宋体" w:hAnsi="宋体" w:eastAsia="宋体" w:cs="宋体"/>
                <w:color w:val="auto"/>
                <w:sz w:val="21"/>
                <w:szCs w:val="21"/>
                <w:highlight w:val="none"/>
              </w:rPr>
            </w:pPr>
          </w:p>
        </w:tc>
        <w:tc>
          <w:tcPr>
            <w:tcW w:w="1200" w:type="dxa"/>
            <w:vMerge w:val="continue"/>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p>
        </w:tc>
        <w:tc>
          <w:tcPr>
            <w:tcW w:w="2190" w:type="dxa"/>
            <w:vMerge w:val="continue"/>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restart"/>
            <w:tcBorders>
              <w:tl2br w:val="nil"/>
              <w:tr2bl w:val="nil"/>
            </w:tcBorders>
            <w:vAlign w:val="center"/>
          </w:tcPr>
          <w:p>
            <w:pPr>
              <w:spacing w:line="240" w:lineRule="auto"/>
              <w:ind w:firstLine="210" w:firstLineChars="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装修</w:t>
            </w:r>
          </w:p>
          <w:p>
            <w:pPr>
              <w:spacing w:line="240" w:lineRule="auto"/>
              <w:ind w:firstLine="210" w:firstLineChars="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tc>
        <w:tc>
          <w:tcPr>
            <w:tcW w:w="63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毛坯场所管理巡查不力，场地垃圾堆积、闲杂人员聚焦、设备设施失修</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未办装修许可手续，私自动工装修，物业因巡查不力未及时发现和制止，酿成不良后果 10分/次 查装修登记、巡查记录及现场  </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对违章装修、违章搭建和影响房屋结构安全的装修未第一时间阻止，未及时上报管理单位</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因违规装修、违规施工造成的重大安全事故</w:t>
            </w:r>
          </w:p>
        </w:tc>
        <w:tc>
          <w:tcPr>
            <w:tcW w:w="1200" w:type="dxa"/>
            <w:tcBorders>
              <w:tl2br w:val="nil"/>
              <w:tr2bl w:val="nil"/>
            </w:tcBorders>
            <w:vAlign w:val="center"/>
          </w:tcPr>
          <w:p>
            <w:pPr>
              <w:spacing w:line="240" w:lineRule="auto"/>
              <w:ind w:firstLine="105" w:firstLine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查记录、方案和现场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停车场</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停车场各车辆未按规定车位有序停泊</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停车场道路交通管理不善，影响车辆正常通行</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54"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停车场未按期打扫或明显不清洁</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290" w:type="dxa"/>
            <w:tcBorders>
              <w:tl2br w:val="nil"/>
              <w:tr2bl w:val="nil"/>
            </w:tcBorders>
            <w:vAlign w:val="center"/>
          </w:tcPr>
          <w:p>
            <w:pPr>
              <w:spacing w:line="24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擅自允许非工作人员进入岗亭或休息室内</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4"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4290" w:type="dxa"/>
            <w:tcBorders>
              <w:tl2br w:val="nil"/>
              <w:tr2bl w:val="nil"/>
            </w:tcBorders>
            <w:vAlign w:val="center"/>
          </w:tcPr>
          <w:p>
            <w:pPr>
              <w:spacing w:line="24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园区交付保管的固有资产失窃、损坏（经核算后赔付或修复）</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7"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429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可能影响</w:t>
            </w:r>
            <w:r>
              <w:rPr>
                <w:rFonts w:hint="eastAsia" w:ascii="宋体" w:hAnsi="宋体" w:eastAsia="宋体" w:cs="宋体"/>
                <w:color w:val="auto"/>
                <w:sz w:val="21"/>
                <w:szCs w:val="21"/>
                <w:highlight w:val="none"/>
                <w:lang w:val="en-US" w:eastAsia="zh-CN"/>
              </w:rPr>
              <w:t>停车场正常使用的</w:t>
            </w:r>
            <w:r>
              <w:rPr>
                <w:rFonts w:hint="eastAsia" w:ascii="宋体" w:hAnsi="宋体" w:eastAsia="宋体" w:cs="宋体"/>
                <w:color w:val="auto"/>
                <w:sz w:val="21"/>
                <w:szCs w:val="21"/>
                <w:highlight w:val="none"/>
              </w:rPr>
              <w:t>（如安防、</w:t>
            </w:r>
            <w:r>
              <w:rPr>
                <w:rFonts w:hint="eastAsia" w:ascii="宋体" w:hAnsi="宋体" w:eastAsia="宋体" w:cs="宋体"/>
                <w:color w:val="auto"/>
                <w:sz w:val="21"/>
                <w:szCs w:val="21"/>
                <w:highlight w:val="none"/>
                <w:lang w:val="en-US" w:eastAsia="zh-CN"/>
              </w:rPr>
              <w:t>停电、设备</w:t>
            </w:r>
            <w:r>
              <w:rPr>
                <w:rFonts w:hint="eastAsia" w:ascii="宋体" w:hAnsi="宋体" w:eastAsia="宋体" w:cs="宋体"/>
                <w:color w:val="auto"/>
                <w:sz w:val="21"/>
                <w:szCs w:val="21"/>
                <w:highlight w:val="none"/>
              </w:rPr>
              <w:t>设施损坏）未报告或隐瞒不报</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429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因乙方人员原因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管理原因</w:t>
            </w:r>
            <w:r>
              <w:rPr>
                <w:rFonts w:hint="eastAsia" w:ascii="宋体" w:hAnsi="宋体" w:eastAsia="宋体" w:cs="宋体"/>
                <w:color w:val="auto"/>
                <w:sz w:val="21"/>
                <w:szCs w:val="21"/>
                <w:highlight w:val="none"/>
              </w:rPr>
              <w:t>导致停车场内造成第三人人身损害或财产损失的</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消防</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未按要求设立专门消防专员，专员未持证上岗。</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查现场并调查取证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未按要求建立义务消防员制，未明确火灾现场通信联络、灭火、疏散、救护、保卫等任务的负责人，未定期进行培训和演习</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现场随机抽查、 查</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未按要求明确消防控制室管理值班人员的职责，未制订24小时值班制度和交接班的程序，值班记录不完整</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未按要求确保消防设施和消防电源始终处于正常运行状态；需要维修时，未采取相应的措施，维修完成后，未按要求立即恢复到正常运行状态的</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未按要求建立健全园区各项设施、设备检查和维修整改记录、台账</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2分/项</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查台账、记录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设备设施实行定期专项检查，未定期检查或无记录的</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查检查记录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设施、设备维保不到位，不能正常使用</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加强园区各类设施、设备的巡检，确保安全运行无事故，每发生一起重大安全事故。</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查巡检记录和现场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客户报修（报修内容属实为前提）处理及时率未达到100%</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2分/百分点</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查记录、现场、客户投诉调查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各类设备定期维保完成率未达到100%</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2分/百分点</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68"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绿化</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保持园区主要干道、各楼道（包括楼道内墙壁、门窗等广告的清理）、洗手间、电梯轿箱、水景的清洁卫生，未按要求、未按期打扫、清理或明显不清洁</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60" w:type="dxa"/>
            <w:vMerge w:val="continue"/>
            <w:tcBorders>
              <w:tl2br w:val="nil"/>
              <w:tr2bl w:val="nil"/>
            </w:tcBorders>
            <w:vAlign w:val="bottom"/>
          </w:tcPr>
          <w:p>
            <w:pPr>
              <w:spacing w:line="240" w:lineRule="auto"/>
              <w:jc w:val="center"/>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楼道扶手及电梯轿箱抹擦和拖地，未按期打扫或明显不清洁</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地下停车场、草坪灯、楼宇门、信报箱等未按期打扫或明显不清洁</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p>
            <w:pPr>
              <w:spacing w:line="240" w:lineRule="auto"/>
              <w:jc w:val="center"/>
              <w:rPr>
                <w:rFonts w:hint="eastAsia" w:ascii="宋体" w:hAnsi="宋体" w:eastAsia="宋体" w:cs="宋体"/>
                <w:color w:val="auto"/>
                <w:sz w:val="21"/>
                <w:szCs w:val="21"/>
                <w:highlight w:val="none"/>
              </w:rPr>
            </w:pP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 抽查现场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指示标牌、垃圾箱及园区走廊等地面有明显浮尘或污迹</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2分/项</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6"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因装修管理不力，装潢垃圾未按指定地点存放或未及时组织外运</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9"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未及时与环卫部门联系，对园区各垃圾池、箱定期及时清理</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定期检查或随机抽</w:t>
            </w:r>
          </w:p>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2"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未定期清理屋顶露台，以防爆竹渣、塑</w:t>
            </w:r>
          </w:p>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料袋等杂物堵塞下水口</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4"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4290" w:type="dxa"/>
            <w:tcBorders>
              <w:tl2br w:val="nil"/>
              <w:tr2bl w:val="nil"/>
            </w:tcBorders>
            <w:vAlign w:val="center"/>
          </w:tcPr>
          <w:p>
            <w:pPr>
              <w:spacing w:line="240" w:lineRule="auto"/>
              <w:ind w:left="105" w:left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未按要求加强园区绿化的护理，定期浇水、施肥、剪枝、治虫</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53"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4290" w:type="dxa"/>
            <w:tcBorders>
              <w:tl2br w:val="nil"/>
              <w:tr2bl w:val="nil"/>
            </w:tcBorders>
            <w:vAlign w:val="center"/>
          </w:tcPr>
          <w:p>
            <w:pPr>
              <w:spacing w:line="240" w:lineRule="auto"/>
              <w:ind w:left="105" w:left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未做好垃圾分类及创文工作（包括对园区租户的宣传，相关标识的张贴等），未及时按照有关部门新发布的工作要求进行调整导致园区被扣分的</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2分/次</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定期检查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960" w:type="dxa"/>
            <w:vMerge w:val="restart"/>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事项</w:t>
            </w:r>
          </w:p>
        </w:tc>
        <w:tc>
          <w:tcPr>
            <w:tcW w:w="630" w:type="dxa"/>
            <w:tcBorders>
              <w:tl2br w:val="nil"/>
              <w:tr2bl w:val="nil"/>
            </w:tcBorders>
            <w:vAlign w:val="center"/>
          </w:tcPr>
          <w:p>
            <w:pPr>
              <w:spacing w:line="240" w:lineRule="auto"/>
              <w:ind w:right="1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290" w:type="dxa"/>
            <w:tcBorders>
              <w:tl2br w:val="nil"/>
              <w:tr2bl w:val="nil"/>
            </w:tcBorders>
            <w:vAlign w:val="center"/>
          </w:tcPr>
          <w:p>
            <w:pPr>
              <w:spacing w:line="240" w:lineRule="auto"/>
              <w:ind w:left="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未履行或违反合同约定事项和管理要求事项，视情节轻重予以扣分</w:t>
            </w:r>
          </w:p>
        </w:tc>
        <w:tc>
          <w:tcPr>
            <w:tcW w:w="120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5-10分/项</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抽查、查记录、现场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960" w:type="dxa"/>
            <w:vMerge w:val="continue"/>
            <w:tcBorders>
              <w:tl2br w:val="nil"/>
              <w:tr2bl w:val="nil"/>
            </w:tcBorders>
            <w:vAlign w:val="bottom"/>
          </w:tcPr>
          <w:p>
            <w:pPr>
              <w:spacing w:line="240" w:lineRule="auto"/>
              <w:rPr>
                <w:rFonts w:hint="eastAsia" w:ascii="宋体" w:hAnsi="宋体" w:eastAsia="宋体" w:cs="宋体"/>
                <w:color w:val="auto"/>
                <w:sz w:val="21"/>
                <w:szCs w:val="21"/>
                <w:highlight w:val="none"/>
              </w:rPr>
            </w:pPr>
          </w:p>
        </w:tc>
        <w:tc>
          <w:tcPr>
            <w:tcW w:w="63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4290" w:type="dxa"/>
            <w:tcBorders>
              <w:tl2br w:val="nil"/>
              <w:tr2bl w:val="nil"/>
            </w:tcBorders>
            <w:vAlign w:val="center"/>
          </w:tcPr>
          <w:p>
            <w:pPr>
              <w:spacing w:line="240" w:lineRule="auto"/>
              <w:ind w:left="105" w:leftChar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对上述扣分事项，发出整改通知后未及时进行整改或采取整改措施的</w:t>
            </w:r>
          </w:p>
        </w:tc>
        <w:tc>
          <w:tcPr>
            <w:tcW w:w="1200" w:type="dxa"/>
            <w:tcBorders>
              <w:tl2br w:val="nil"/>
              <w:tr2bl w:val="nil"/>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5-10分/项</w:t>
            </w:r>
          </w:p>
        </w:tc>
        <w:tc>
          <w:tcPr>
            <w:tcW w:w="2190" w:type="dxa"/>
            <w:tcBorders>
              <w:tl2br w:val="nil"/>
              <w:tr2bl w:val="nil"/>
            </w:tcBorders>
            <w:vAlign w:val="center"/>
          </w:tcPr>
          <w:p>
            <w:pPr>
              <w:spacing w:line="240" w:lineRule="auto"/>
              <w:ind w:left="10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查记录</w:t>
            </w:r>
          </w:p>
        </w:tc>
      </w:tr>
    </w:tbl>
    <w:p>
      <w:pPr>
        <w:numPr>
          <w:ilvl w:val="0"/>
          <w:numId w:val="1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检查发现问题时，由甲方直接扣分和发出整改通知。检查扣分和整改通知以甲方或甲方授权代表确认签名为准，物业方无须签名确认。评核记录：物业日常工作的现场检查、记录表格、现场问答、客户投诉、视频图片、电子通讯等记录。</w:t>
      </w:r>
    </w:p>
    <w:p>
      <w:pPr>
        <w:numPr>
          <w:ilvl w:val="0"/>
          <w:numId w:val="1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以上考核标准，甲方有权根据</w:t>
      </w:r>
      <w:r>
        <w:rPr>
          <w:rFonts w:hint="eastAsia" w:ascii="宋体" w:hAnsi="宋体" w:eastAsia="宋体" w:cs="宋体"/>
          <w:color w:val="auto"/>
          <w:kern w:val="0"/>
          <w:sz w:val="21"/>
          <w:szCs w:val="21"/>
          <w:highlight w:val="none"/>
          <w:lang w:val="en-US" w:eastAsia="zh-CN"/>
        </w:rPr>
        <w:t>本合同约定的服务内容、园区管理的</w:t>
      </w:r>
      <w:r>
        <w:rPr>
          <w:rFonts w:hint="eastAsia" w:ascii="宋体" w:hAnsi="宋体" w:eastAsia="宋体" w:cs="宋体"/>
          <w:color w:val="auto"/>
          <w:kern w:val="0"/>
          <w:sz w:val="21"/>
          <w:szCs w:val="21"/>
          <w:highlight w:val="none"/>
        </w:rPr>
        <w:t>实际</w:t>
      </w:r>
      <w:r>
        <w:rPr>
          <w:rFonts w:hint="eastAsia" w:ascii="宋体" w:hAnsi="宋体" w:eastAsia="宋体" w:cs="宋体"/>
          <w:color w:val="auto"/>
          <w:kern w:val="0"/>
          <w:sz w:val="21"/>
          <w:szCs w:val="21"/>
          <w:highlight w:val="none"/>
          <w:lang w:val="en-US" w:eastAsia="zh-CN"/>
        </w:rPr>
        <w:t>需要</w:t>
      </w:r>
      <w:r>
        <w:rPr>
          <w:rFonts w:hint="eastAsia" w:ascii="宋体" w:hAnsi="宋体" w:eastAsia="宋体" w:cs="宋体"/>
          <w:color w:val="auto"/>
          <w:kern w:val="0"/>
          <w:sz w:val="21"/>
          <w:szCs w:val="21"/>
          <w:highlight w:val="none"/>
        </w:rPr>
        <w:t>对考核标准内容作出相应调整修改，甲方调整修改考核标准后应及时通知乙方，如乙方存在异议应自收到通知后两个工作日内提出，否则视为乙方同意甲方的调整修改意见。</w:t>
      </w:r>
    </w:p>
    <w:p>
      <w:pPr>
        <w:numPr>
          <w:ilvl w:val="0"/>
          <w:numId w:val="131"/>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甲方每月定期组织有关代表（甲方员工代表、园区运营单位代表、乙方员工代表）依据考核标准对乙方服务质量进行全面考核，根据考核指标逐项打分，对存在问题下发书面整改通知书，并可附带提供证言、照片、监控记录、刷卡记录等。每次检查总分为100分，考核组对照考核标准逐条逐项进行量化打分，最低为0分。</w:t>
      </w:r>
    </w:p>
    <w:p>
      <w:pPr>
        <w:adjustRightInd w:val="0"/>
        <w:snapToGrid w:val="0"/>
        <w:spacing w:line="360" w:lineRule="auto"/>
        <w:ind w:left="359" w:leftChars="171" w:firstLine="472" w:firstLineChars="225"/>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处罚办法：</w:t>
      </w:r>
    </w:p>
    <w:p>
      <w:pPr>
        <w:numPr>
          <w:ilvl w:val="0"/>
          <w:numId w:val="1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得分 88—90分（不含）的，责令整改，并写出书面整改报告。</w:t>
      </w:r>
    </w:p>
    <w:p>
      <w:pPr>
        <w:numPr>
          <w:ilvl w:val="0"/>
          <w:numId w:val="1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得分 80—88分（不含）的，除了责令其整改，写出书面整改报告之外，扣除当月物业管理费用总额的10%。</w:t>
      </w:r>
    </w:p>
    <w:p>
      <w:pPr>
        <w:numPr>
          <w:ilvl w:val="0"/>
          <w:numId w:val="1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得分 70—80分（不含）的，除了责令其整改，写出书面整改报告之外，扣除当月物业管理费用总额的20%。</w:t>
      </w:r>
    </w:p>
    <w:p>
      <w:pPr>
        <w:numPr>
          <w:ilvl w:val="0"/>
          <w:numId w:val="1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得分不满70分，除了责令其整改，写出书面整改报告之外，扣除当月物业管理费用总额的30%。</w:t>
      </w:r>
    </w:p>
    <w:p>
      <w:pPr>
        <w:numPr>
          <w:ilvl w:val="0"/>
          <w:numId w:val="132"/>
        </w:numPr>
        <w:adjustRightInd w:val="0"/>
        <w:snapToGrid w:val="0"/>
        <w:spacing w:line="360" w:lineRule="auto"/>
        <w:ind w:left="425" w:leftChars="0" w:hanging="5"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连续两个月得分不满80分，甲方有权要求乙方撤换项目经理或相应工作主管负责人，所产生的费用及责任由乙方承担。</w:t>
      </w:r>
    </w:p>
    <w:p>
      <w:pPr>
        <w:numPr>
          <w:ilvl w:val="0"/>
          <w:numId w:val="132"/>
        </w:numPr>
        <w:adjustRightInd w:val="0"/>
        <w:snapToGrid w:val="0"/>
        <w:spacing w:line="360" w:lineRule="auto"/>
        <w:ind w:left="425" w:leftChars="0" w:hanging="5" w:firstLineChars="0"/>
        <w:rPr>
          <w:rFonts w:hint="eastAsia" w:ascii="宋体" w:hAnsi="宋体" w:eastAsia="宋体" w:cs="宋体"/>
          <w:b w:val="0"/>
          <w:bCs w:val="0"/>
          <w:color w:val="auto"/>
          <w:kern w:val="0"/>
          <w:sz w:val="21"/>
          <w:szCs w:val="21"/>
          <w:highlight w:val="none"/>
        </w:rPr>
      </w:pPr>
      <w:r>
        <w:rPr>
          <w:rFonts w:hint="eastAsia" w:ascii="宋体" w:hAnsi="宋体" w:eastAsia="宋体" w:cs="宋体"/>
          <w:color w:val="auto"/>
          <w:kern w:val="0"/>
          <w:sz w:val="21"/>
          <w:szCs w:val="21"/>
          <w:highlight w:val="none"/>
        </w:rPr>
        <w:t>一个合同年内累计有三个月得分不满70分的，除扣除相应物业管理费用外，甲方有权单方解除合同并没收履约保证金而无需承担任何违约责任，乙方须与甲方聘请的新物业管理服务企业</w:t>
      </w:r>
      <w:r>
        <w:rPr>
          <w:rFonts w:hint="eastAsia" w:ascii="宋体" w:hAnsi="宋体" w:eastAsia="宋体" w:cs="宋体"/>
          <w:b w:val="0"/>
          <w:bCs w:val="0"/>
          <w:color w:val="auto"/>
          <w:kern w:val="0"/>
          <w:sz w:val="21"/>
          <w:szCs w:val="21"/>
          <w:highlight w:val="none"/>
        </w:rPr>
        <w:t>办妥相关的交接手续。</w:t>
      </w:r>
    </w:p>
    <w:p>
      <w:pPr>
        <w:numPr>
          <w:ilvl w:val="0"/>
          <w:numId w:val="130"/>
        </w:numPr>
        <w:adjustRightInd w:val="0"/>
        <w:snapToGrid w:val="0"/>
        <w:spacing w:line="360" w:lineRule="auto"/>
        <w:ind w:left="0" w:leftChars="0" w:firstLine="42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rPr>
        <w:t>年度考核</w:t>
      </w:r>
    </w:p>
    <w:p>
      <w:pPr>
        <w:numPr>
          <w:ilvl w:val="0"/>
          <w:numId w:val="0"/>
        </w:numPr>
        <w:adjustRightInd w:val="0"/>
        <w:snapToGrid w:val="0"/>
        <w:spacing w:line="360" w:lineRule="auto"/>
        <w:ind w:firstLine="420" w:firstLineChars="200"/>
        <w:rPr>
          <w:rFonts w:hint="eastAsia" w:ascii="宋体" w:hAnsi="宋体" w:eastAsia="宋体" w:cs="宋体"/>
          <w:b/>
          <w:color w:val="auto"/>
          <w:sz w:val="21"/>
          <w:szCs w:val="21"/>
          <w:highlight w:val="none"/>
          <w:lang w:eastAsia="zh-CN"/>
        </w:rPr>
      </w:pPr>
      <w:r>
        <w:rPr>
          <w:rFonts w:hint="eastAsia" w:ascii="宋体" w:hAnsi="宋体" w:eastAsia="宋体" w:cs="宋体"/>
          <w:color w:val="auto"/>
          <w:kern w:val="0"/>
          <w:sz w:val="21"/>
          <w:szCs w:val="21"/>
          <w:highlight w:val="none"/>
        </w:rPr>
        <w:t>甲方每合同年年末制定并组织向企业发放《物业管理服务满意度调查表》，园区租户通过调查表反映乙方的工作情况。每次调查满意度最高值100%，园区租户对乙方的工作情况平均满意率低于80%的，甲方有权单方解除合同并没收履约保证金而无需承担任何违约责任，乙方须与甲方聘请的新物业管理服务企业办妥相关的交接手续</w:t>
      </w:r>
      <w:r>
        <w:rPr>
          <w:rFonts w:hint="eastAsia" w:ascii="宋体" w:hAnsi="宋体" w:eastAsia="宋体" w:cs="宋体"/>
          <w:color w:val="auto"/>
          <w:kern w:val="0"/>
          <w:sz w:val="21"/>
          <w:szCs w:val="21"/>
          <w:highlight w:val="none"/>
          <w:lang w:eastAsia="zh-CN"/>
        </w:rPr>
        <w:t>。</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其他要求</w:t>
      </w:r>
    </w:p>
    <w:p>
      <w:pPr>
        <w:numPr>
          <w:ilvl w:val="0"/>
          <w:numId w:val="13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如乙方的人员出现违法违规行为，乙方应把处理方案以及处理结果以书面形式送达甲方备案。</w:t>
      </w:r>
    </w:p>
    <w:p>
      <w:pPr>
        <w:numPr>
          <w:ilvl w:val="0"/>
          <w:numId w:val="13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乙方应不定时组织人员的培训工作，提升工作人员的工作素质和质量。</w:t>
      </w:r>
    </w:p>
    <w:p>
      <w:pPr>
        <w:numPr>
          <w:ilvl w:val="0"/>
          <w:numId w:val="13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乙方要准时支付工作人员的工资，如因乙方原因拖欠工资或发生劳动争议纠纷等一切责任由乙方承担，与甲方无关。</w:t>
      </w:r>
    </w:p>
    <w:p>
      <w:pPr>
        <w:numPr>
          <w:ilvl w:val="0"/>
          <w:numId w:val="13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乙方要按相关法律法规规定为工作人员购买社保及保险，乙方工作人员在工作期间因各类事故导致的人身伤害，由乙方全部承担，与甲方无关。</w:t>
      </w:r>
    </w:p>
    <w:p>
      <w:pPr>
        <w:numPr>
          <w:ilvl w:val="0"/>
          <w:numId w:val="13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不得把项目转包、转让予第三方公司或分公司，否则甲方有权单方解除合同并没收履约保证金而无需承担任何违约责任，乙方须与甲方聘请的新物业管理服务企业办妥相关的交接手续。如履约保证金不足以赔偿甲方损失时，甲方还有权继续对乙方进行追讨。</w:t>
      </w:r>
    </w:p>
    <w:p>
      <w:pPr>
        <w:numPr>
          <w:ilvl w:val="0"/>
          <w:numId w:val="13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甲方同意，乙方可委托专业公司对甲方设备、设施、维护、维修、保养及承担本物业的专项维护、管理与服务业务，但不得将本项目的管理责任转让给第三方，同时乙方应保证甲方相关设施、设备的正常管理、运行，有关费用已计入本合同总价，超出部分由乙方承担。</w:t>
      </w:r>
    </w:p>
    <w:p>
      <w:pPr>
        <w:numPr>
          <w:ilvl w:val="0"/>
          <w:numId w:val="13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乙方在临时停车场代甲方收取的费用，全部归甲方所有，与乙方无关，乙方不得侵占、挪用，乙方收取的停车费用转至甲方账户前，由乙方做好保管工作并承担相应责任，因乙方人员原因造成甲方损失的，甲方有权追究乙方赔偿责任。</w:t>
      </w:r>
    </w:p>
    <w:p>
      <w:pPr>
        <w:numPr>
          <w:ilvl w:val="0"/>
          <w:numId w:val="133"/>
        </w:numPr>
        <w:spacing w:line="360" w:lineRule="auto"/>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合同履行期间及合同解除或终止后，乙方因自身合同纠纷或劳资纠纷等问题及相关法律责任与甲方无关，由乙方自行解决。若上述问题对甲方、园区入驻企业正常经营造成影响的，甲方有权向乙方追究相关法律责任，由此造成的甲方经济损失、园区入驻企业经济损失由乙方承担。</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w:t>
      </w:r>
    </w:p>
    <w:p>
      <w:pPr>
        <w:keepNext w:val="0"/>
        <w:keepLines w:val="0"/>
        <w:pageBreakBefore w:val="0"/>
        <w:widowControl w:val="0"/>
        <w:numPr>
          <w:ilvl w:val="0"/>
          <w:numId w:val="134"/>
        </w:numPr>
        <w:kinsoku/>
        <w:wordWrap w:val="0"/>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乙方需在合同签订之日起5个工作日内将履约保证金</w:t>
      </w:r>
      <w:r>
        <w:rPr>
          <w:rFonts w:hint="eastAsia" w:ascii="宋体" w:hAnsi="宋体" w:eastAsia="宋体" w:cs="宋体"/>
          <w:color w:val="auto"/>
          <w:sz w:val="21"/>
          <w:szCs w:val="21"/>
          <w:highlight w:val="none"/>
          <w:u w:val="single"/>
        </w:rPr>
        <w:t xml:space="preserve">人民币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元</w:t>
      </w:r>
      <w:r>
        <w:rPr>
          <w:rFonts w:hint="eastAsia" w:ascii="宋体" w:hAnsi="宋体" w:eastAsia="宋体" w:cs="宋体"/>
          <w:color w:val="auto"/>
          <w:sz w:val="21"/>
          <w:szCs w:val="21"/>
          <w:highlight w:val="none"/>
          <w:u w:val="none"/>
        </w:rPr>
        <w:t>）（合同总价的5%）</w:t>
      </w:r>
      <w:r>
        <w:rPr>
          <w:rFonts w:hint="eastAsia" w:ascii="宋体" w:hAnsi="宋体" w:eastAsia="宋体" w:cs="宋体"/>
          <w:color w:val="auto"/>
          <w:sz w:val="21"/>
          <w:szCs w:val="21"/>
          <w:highlight w:val="none"/>
        </w:rPr>
        <w:t>汇至甲方指定账户，合同终止后在满足合同相关条款规定且乙方已切实履行与本项目有关的涉及人、财、物、事的所有责任与义务，且合同期满并完成结算和移交工作并经甲</w:t>
      </w:r>
      <w:r>
        <w:rPr>
          <w:rFonts w:hint="eastAsia" w:ascii="宋体" w:hAnsi="宋体" w:eastAsia="宋体" w:cs="宋体"/>
          <w:b w:val="0"/>
          <w:bCs w:val="0"/>
          <w:color w:val="auto"/>
          <w:sz w:val="21"/>
          <w:szCs w:val="21"/>
          <w:highlight w:val="none"/>
        </w:rPr>
        <w:t>方确认后 60 天内，甲方应将履约保证金不计利息划回乙方账户。</w:t>
      </w:r>
    </w:p>
    <w:p>
      <w:pPr>
        <w:keepNext w:val="0"/>
        <w:keepLines w:val="0"/>
        <w:pageBreakBefore w:val="0"/>
        <w:widowControl w:val="0"/>
        <w:numPr>
          <w:ilvl w:val="0"/>
          <w:numId w:val="134"/>
        </w:numPr>
        <w:kinsoku/>
        <w:wordWrap w:val="0"/>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终止后若乙方有意拖延、拒绝履行与本项目有关的涉及人、财、物、事等方面责任与义务或处理不力时，甲方有权动用履约保证金，解决前述相关事项问题和偿付甲方因此造成的损失，乙方不得有异议。若履约保证金不足以偿付上述解决、处理费用以及甲方的损失时，乙方应继续承担赔偿责任。</w:t>
      </w:r>
    </w:p>
    <w:p>
      <w:pPr>
        <w:keepNext w:val="0"/>
        <w:keepLines w:val="0"/>
        <w:pageBreakBefore w:val="0"/>
        <w:widowControl w:val="0"/>
        <w:numPr>
          <w:ilvl w:val="0"/>
          <w:numId w:val="134"/>
        </w:numPr>
        <w:kinsoku/>
        <w:wordWrap w:val="0"/>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乙方必须在签订合同生效、收到甲方进场通知后 15 个日历天内按甲方要求配置齐全全部人员、车辆和设备，同时承诺上述全部人员、车辆和设备必须专门用于本项目。否则，甲方有权没收乙方的履约保证金，并解除合同。</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违约责任与赔偿损失</w:t>
      </w:r>
    </w:p>
    <w:p>
      <w:pPr>
        <w:numPr>
          <w:ilvl w:val="0"/>
          <w:numId w:val="135"/>
        </w:numPr>
        <w:tabs>
          <w:tab w:val="left" w:pos="425"/>
        </w:tabs>
        <w:adjustRightInd w:val="0"/>
        <w:snapToGrid w:val="0"/>
        <w:spacing w:line="360" w:lineRule="auto"/>
        <w:ind w:left="600" w:leftChars="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提供的服务不符合采购文件、报价文件或本合同规定的，甲方有权拒绝接受服务，并且乙方须向甲方支付本合同总价15%的违约金，经催告整改之日起15日内，乙方仍未整改完毕提供符合约定的服务的，甲方有权解除合同，不再向乙方支付物业服务费并没收履约保证金，由此造成的甲方经济损失由乙方承担。</w:t>
      </w:r>
    </w:p>
    <w:p>
      <w:pPr>
        <w:numPr>
          <w:ilvl w:val="0"/>
          <w:numId w:val="135"/>
        </w:numPr>
        <w:tabs>
          <w:tab w:val="left" w:pos="425"/>
        </w:tabs>
        <w:adjustRightInd w:val="0"/>
        <w:snapToGrid w:val="0"/>
        <w:spacing w:line="360" w:lineRule="auto"/>
        <w:ind w:left="600" w:leftChars="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未能按本合同约定的时间提供服务的，从逾期之日起每日按本合同总价3‰的数额向甲方支付违约金；逾期半个月以上的，甲方有权终止合同，不再向乙方支付物业服务费并没收履约保证金，由此造成的甲方经济损失由乙方承担。</w:t>
      </w:r>
    </w:p>
    <w:p>
      <w:pPr>
        <w:numPr>
          <w:ilvl w:val="0"/>
          <w:numId w:val="135"/>
        </w:numPr>
        <w:tabs>
          <w:tab w:val="left" w:pos="425"/>
        </w:tabs>
        <w:adjustRightInd w:val="0"/>
        <w:snapToGrid w:val="0"/>
        <w:spacing w:line="360" w:lineRule="auto"/>
        <w:ind w:left="600" w:leftChars="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甲方无正当理由拒绝接受服务，提前解除合同的，应向乙方支付本合同总价5%的违约金。如甲方违约逾期付款，则每日按应付未付金额的3‰向乙方偿付违约金。</w:t>
      </w:r>
    </w:p>
    <w:p>
      <w:pPr>
        <w:numPr>
          <w:ilvl w:val="0"/>
          <w:numId w:val="135"/>
        </w:numPr>
        <w:tabs>
          <w:tab w:val="left" w:pos="425"/>
        </w:tabs>
        <w:adjustRightInd w:val="0"/>
        <w:snapToGrid w:val="0"/>
        <w:spacing w:line="360" w:lineRule="auto"/>
        <w:ind w:left="600" w:leftChars="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因甲方追究乙方违约责任所造成包括但不限于律师费、诉讼费、仲裁费、差旅费、保全费、公证费等损失的，概由乙方承担赔偿责任。</w:t>
      </w:r>
    </w:p>
    <w:p>
      <w:pPr>
        <w:numPr>
          <w:ilvl w:val="0"/>
          <w:numId w:val="135"/>
        </w:numPr>
        <w:tabs>
          <w:tab w:val="left" w:pos="425"/>
        </w:tabs>
        <w:adjustRightInd w:val="0"/>
        <w:snapToGrid w:val="0"/>
        <w:spacing w:line="360" w:lineRule="auto"/>
        <w:ind w:left="600" w:leftChars="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其它违约责任按《中华人民共和国民法典》处理。</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争议的解决</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因履行本合同或因本合同发生的争议纠纷，双方应友好协商，协商不成的，一方可向甲方所在地人民法院提起诉讼。</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不可抗力</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税费</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在中国境内、外发生的与本合同执行有关的一切税费均由乙方负担。</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合同变更、终止和解除</w:t>
      </w:r>
    </w:p>
    <w:p>
      <w:pPr>
        <w:numPr>
          <w:ilvl w:val="0"/>
          <w:numId w:val="136"/>
        </w:numPr>
        <w:tabs>
          <w:tab w:val="left" w:pos="425"/>
        </w:tabs>
        <w:adjustRightInd w:val="0"/>
        <w:snapToGrid w:val="0"/>
        <w:spacing w:line="360" w:lineRule="auto"/>
        <w:ind w:left="60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本合同自双方签字盖章之日起生效。</w:t>
      </w:r>
    </w:p>
    <w:p>
      <w:pPr>
        <w:numPr>
          <w:ilvl w:val="0"/>
          <w:numId w:val="136"/>
        </w:numPr>
        <w:tabs>
          <w:tab w:val="left" w:pos="425"/>
        </w:tabs>
        <w:adjustRightInd w:val="0"/>
        <w:snapToGrid w:val="0"/>
        <w:spacing w:line="360" w:lineRule="auto"/>
        <w:ind w:left="60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在合同执行期间，除非合同有明确约定，双方均不得无故变更本合同。如确需变更，经双方协商一致后以书面形式做出。</w:t>
      </w:r>
    </w:p>
    <w:p>
      <w:pPr>
        <w:numPr>
          <w:ilvl w:val="0"/>
          <w:numId w:val="136"/>
        </w:numPr>
        <w:tabs>
          <w:tab w:val="left" w:pos="425"/>
        </w:tabs>
        <w:adjustRightInd w:val="0"/>
        <w:snapToGrid w:val="0"/>
        <w:spacing w:line="360" w:lineRule="auto"/>
        <w:ind w:left="60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若乙方的服务不符合合同约定，经甲方两次书面通知仍不能满足合同约定，甲方有权提前解除合同，只需提前一个月通知乙方，不视为甲方违约。</w:t>
      </w:r>
    </w:p>
    <w:p>
      <w:pPr>
        <w:numPr>
          <w:ilvl w:val="0"/>
          <w:numId w:val="136"/>
        </w:numPr>
        <w:tabs>
          <w:tab w:val="left" w:pos="425"/>
        </w:tabs>
        <w:adjustRightInd w:val="0"/>
        <w:snapToGrid w:val="0"/>
        <w:spacing w:line="360" w:lineRule="auto"/>
        <w:ind w:left="60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如发生因乙方本身及其所属员工失职或不规范履行职责，造成较大社会负面影响的，甲方有权提前解除合同，只需提前一个月通知乙方，不视为甲方违约。</w:t>
      </w:r>
    </w:p>
    <w:p>
      <w:pPr>
        <w:numPr>
          <w:ilvl w:val="0"/>
          <w:numId w:val="136"/>
        </w:numPr>
        <w:tabs>
          <w:tab w:val="left" w:pos="425"/>
        </w:tabs>
        <w:adjustRightInd w:val="0"/>
        <w:snapToGrid w:val="0"/>
        <w:spacing w:line="360" w:lineRule="auto"/>
        <w:ind w:left="60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因不可抗力或政府政策影响，造成合同不能继续履行的，双方可协商变更、中止或解除合同，均不承担违约责任。</w:t>
      </w:r>
    </w:p>
    <w:p>
      <w:pPr>
        <w:numPr>
          <w:ilvl w:val="0"/>
          <w:numId w:val="136"/>
        </w:numPr>
        <w:tabs>
          <w:tab w:val="left" w:pos="425"/>
        </w:tabs>
        <w:adjustRightInd w:val="0"/>
        <w:snapToGrid w:val="0"/>
        <w:spacing w:line="360" w:lineRule="auto"/>
        <w:ind w:left="600" w:hanging="60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合同期内发生责任事故，经相关部门认定确属</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人员失职造成的，由乙方承担相应赔偿责任；责任事故在相关部门认定之前，暂由乙方承担责任；责任归属未查清之前，双方仍按合同规定履行各自职责</w:t>
      </w:r>
      <w:r>
        <w:rPr>
          <w:rFonts w:hint="eastAsia" w:ascii="宋体" w:hAnsi="宋体" w:eastAsia="宋体" w:cs="宋体"/>
          <w:color w:val="auto"/>
          <w:sz w:val="21"/>
          <w:szCs w:val="21"/>
          <w:highlight w:val="none"/>
          <w:lang w:eastAsia="zh-CN"/>
        </w:rPr>
        <w:t>。</w:t>
      </w:r>
    </w:p>
    <w:p>
      <w:pPr>
        <w:numPr>
          <w:ilvl w:val="0"/>
          <w:numId w:val="136"/>
        </w:numPr>
        <w:tabs>
          <w:tab w:val="left" w:pos="425"/>
        </w:tabs>
        <w:adjustRightInd w:val="0"/>
        <w:snapToGrid w:val="0"/>
        <w:spacing w:line="360" w:lineRule="auto"/>
        <w:ind w:left="600" w:hanging="60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本合同解除</w:t>
      </w:r>
      <w:r>
        <w:rPr>
          <w:rFonts w:hint="eastAsia" w:hAnsi="宋体" w:cs="宋体"/>
          <w:color w:val="auto"/>
          <w:sz w:val="21"/>
          <w:szCs w:val="21"/>
          <w:highlight w:val="none"/>
          <w:lang w:val="en-US" w:eastAsia="zh-CN"/>
        </w:rPr>
        <w:t>或</w:t>
      </w:r>
      <w:r>
        <w:rPr>
          <w:rFonts w:hint="eastAsia" w:ascii="宋体" w:hAnsi="宋体" w:eastAsia="宋体" w:cs="宋体"/>
          <w:color w:val="auto"/>
          <w:sz w:val="21"/>
          <w:szCs w:val="21"/>
          <w:highlight w:val="none"/>
          <w:lang w:eastAsia="zh-CN"/>
        </w:rPr>
        <w:t>终止后，乙方</w:t>
      </w:r>
      <w:r>
        <w:rPr>
          <w:rFonts w:hint="eastAsia" w:hAnsi="宋体" w:cs="宋体"/>
          <w:color w:val="auto"/>
          <w:sz w:val="21"/>
          <w:szCs w:val="21"/>
          <w:highlight w:val="none"/>
          <w:lang w:val="en-US" w:eastAsia="zh-CN"/>
        </w:rPr>
        <w:t>需</w:t>
      </w:r>
      <w:r>
        <w:rPr>
          <w:rFonts w:hint="eastAsia" w:ascii="宋体" w:hAnsi="宋体" w:eastAsia="宋体" w:cs="宋体"/>
          <w:color w:val="auto"/>
          <w:sz w:val="21"/>
          <w:szCs w:val="21"/>
          <w:highlight w:val="none"/>
          <w:lang w:eastAsia="zh-CN"/>
        </w:rPr>
        <w:t>与甲方聘请的新物业管理服务企业办妥相关交接手续（包括但不限于人员培训、项目相关档案、资料的交接），拒不配合的，甲方有权动用履约保证金，解决前述相关事项问题和偿付甲方因此造成的损失，乙方不得有异议。若履约保证金不足以偿付上述解决、处理费用以及甲方的损失时，乙方应继续承担赔偿责任。</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其它</w:t>
      </w:r>
    </w:p>
    <w:p>
      <w:pPr>
        <w:numPr>
          <w:ilvl w:val="0"/>
          <w:numId w:val="137"/>
        </w:numPr>
        <w:tabs>
          <w:tab w:val="left" w:pos="425"/>
        </w:tabs>
        <w:adjustRightInd w:val="0"/>
        <w:snapToGrid w:val="0"/>
        <w:spacing w:line="360" w:lineRule="auto"/>
        <w:ind w:left="600" w:leftChars="0" w:hanging="60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本合同所有附件、采购文件、投标文件、中标通知书均为合同的有效组成部分，与本合同具有同等法律效力。</w:t>
      </w:r>
    </w:p>
    <w:p>
      <w:pPr>
        <w:numPr>
          <w:ilvl w:val="0"/>
          <w:numId w:val="137"/>
        </w:numPr>
        <w:tabs>
          <w:tab w:val="left" w:pos="425"/>
        </w:tabs>
        <w:adjustRightInd w:val="0"/>
        <w:snapToGrid w:val="0"/>
        <w:spacing w:line="360" w:lineRule="auto"/>
        <w:ind w:left="600" w:leftChars="0" w:hanging="60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在执行本合同的过程中，所有经双方签署确认的文件（包括会议纪要、补充协议、往来信函）即成为本合同的有效组成部分。</w:t>
      </w:r>
    </w:p>
    <w:p>
      <w:pPr>
        <w:numPr>
          <w:ilvl w:val="0"/>
          <w:numId w:val="137"/>
        </w:numPr>
        <w:tabs>
          <w:tab w:val="left" w:pos="425"/>
        </w:tabs>
        <w:adjustRightInd w:val="0"/>
        <w:snapToGrid w:val="0"/>
        <w:spacing w:line="360" w:lineRule="auto"/>
        <w:ind w:left="600" w:leftChars="0" w:hanging="60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通知条款：</w:t>
      </w:r>
    </w:p>
    <w:p>
      <w:pPr>
        <w:numPr>
          <w:ilvl w:val="0"/>
          <w:numId w:val="138"/>
        </w:numPr>
        <w:tabs>
          <w:tab w:val="left" w:pos="425"/>
        </w:tabs>
        <w:adjustRightInd w:val="0"/>
        <w:snapToGrid w:val="0"/>
        <w:spacing w:line="360" w:lineRule="auto"/>
        <w:ind w:left="425" w:leftChars="0" w:hanging="425"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乙双方向对方发送通知、文件等以合同所列联系方式进行送达（包括但不限于邮寄、电子送达、将书面通知张贴在联系地址处等），一方寄出相关文件后，另一方签收文件时或寄出满七个工作日，或电子通知发送完毕或粘贴通知完毕之日即视为送达。若双方出现争议需要通过诉讼解决的，甲、乙双方的联系地址即为双方的法律文书送达收件地址，法律文书通过人民法院寄出，到达之日即为送达之日。</w:t>
      </w:r>
    </w:p>
    <w:p>
      <w:pPr>
        <w:numPr>
          <w:ilvl w:val="0"/>
          <w:numId w:val="138"/>
        </w:numPr>
        <w:tabs>
          <w:tab w:val="left" w:pos="425"/>
        </w:tabs>
        <w:adjustRightInd w:val="0"/>
        <w:snapToGrid w:val="0"/>
        <w:spacing w:line="360" w:lineRule="auto"/>
        <w:ind w:left="425" w:leftChars="0" w:hanging="425"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一方需要变更联系地址和联系方式的，应提前三个工作日书面通知另一方，否则联系方式仍以合同载明为准。</w:t>
      </w:r>
    </w:p>
    <w:p>
      <w:pPr>
        <w:numPr>
          <w:ilvl w:val="0"/>
          <w:numId w:val="138"/>
        </w:numPr>
        <w:tabs>
          <w:tab w:val="left" w:pos="425"/>
        </w:tabs>
        <w:adjustRightInd w:val="0"/>
        <w:snapToGrid w:val="0"/>
        <w:spacing w:line="360" w:lineRule="auto"/>
        <w:ind w:left="425" w:leftChars="0" w:hanging="425"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因合同所列双方的联系地址、联系方式不准确；或者联系地址变更后未及时通知另一方；或者当事人或指定联系人拒收；或者由他人签收等原因，导致通知等信函文件和有关法律文书材料未能被当事人实际接收的，均视为已送达。</w:t>
      </w:r>
    </w:p>
    <w:p>
      <w:pPr>
        <w:numPr>
          <w:ilvl w:val="0"/>
          <w:numId w:val="137"/>
        </w:numPr>
        <w:tabs>
          <w:tab w:val="left" w:pos="425"/>
        </w:tabs>
        <w:adjustRightInd w:val="0"/>
        <w:snapToGrid w:val="0"/>
        <w:spacing w:line="360" w:lineRule="auto"/>
        <w:ind w:left="600" w:leftChars="0" w:hanging="600" w:firstLineChars="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除甲方事先书面同意外，乙方不得部分或全部转让其应履行的合同项下的义务</w:t>
      </w:r>
      <w:r>
        <w:rPr>
          <w:rFonts w:hint="eastAsia" w:ascii="宋体" w:hAnsi="宋体" w:eastAsia="宋体" w:cs="宋体"/>
          <w:color w:val="auto"/>
          <w:sz w:val="21"/>
          <w:szCs w:val="21"/>
          <w:highlight w:val="none"/>
        </w:rPr>
        <w:t>。</w:t>
      </w:r>
    </w:p>
    <w:p>
      <w:pPr>
        <w:numPr>
          <w:ilvl w:val="0"/>
          <w:numId w:val="90"/>
        </w:numPr>
        <w:tabs>
          <w:tab w:val="left" w:pos="426"/>
          <w:tab w:val="clear" w:pos="420"/>
        </w:tabs>
        <w:autoSpaceDE w:val="0"/>
        <w:autoSpaceDN w:val="0"/>
        <w:adjustRightIn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pPr>
        <w:numPr>
          <w:ilvl w:val="0"/>
          <w:numId w:val="139"/>
        </w:numPr>
        <w:tabs>
          <w:tab w:val="left" w:pos="425"/>
        </w:tabs>
        <w:adjustRightInd w:val="0"/>
        <w:snapToGrid w:val="0"/>
        <w:spacing w:line="360" w:lineRule="auto"/>
        <w:ind w:left="600" w:leftChars="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本合同在甲乙双方法人代表或其授权代表签字、甲乙双方盖章之日起生效。</w:t>
      </w:r>
    </w:p>
    <w:p>
      <w:pPr>
        <w:numPr>
          <w:ilvl w:val="0"/>
          <w:numId w:val="139"/>
        </w:numPr>
        <w:tabs>
          <w:tab w:val="left" w:pos="425"/>
        </w:tabs>
        <w:adjustRightInd w:val="0"/>
        <w:snapToGrid w:val="0"/>
        <w:spacing w:line="360" w:lineRule="auto"/>
        <w:ind w:left="600" w:leftChars="0" w:hanging="60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合同壹式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份，每份均具有同等法律效力，甲方执</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份，乙方执</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招标代理机构执</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份，</w:t>
      </w:r>
      <w:r>
        <w:rPr>
          <w:rFonts w:hint="eastAsia" w:ascii="宋体" w:hAnsi="宋体" w:eastAsia="宋体" w:cs="宋体"/>
          <w:color w:val="auto"/>
          <w:kern w:val="0"/>
          <w:sz w:val="21"/>
          <w:szCs w:val="21"/>
          <w:highlight w:val="none"/>
        </w:rPr>
        <w:t>佛山市南海公有资产流转服务有限公司</w:t>
      </w:r>
      <w:r>
        <w:rPr>
          <w:rFonts w:hint="eastAsia" w:ascii="宋体" w:hAnsi="宋体" w:eastAsia="宋体" w:cs="宋体"/>
          <w:color w:val="auto"/>
          <w:sz w:val="21"/>
          <w:szCs w:val="21"/>
          <w:highlight w:val="none"/>
          <w:lang w:val="en-US" w:eastAsia="zh-CN"/>
        </w:rPr>
        <w:t>执</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份</w:t>
      </w:r>
      <w:r>
        <w:rPr>
          <w:rFonts w:hint="eastAsia" w:ascii="宋体" w:hAnsi="宋体" w:eastAsia="宋体" w:cs="宋体"/>
          <w:color w:val="auto"/>
          <w:sz w:val="21"/>
          <w:szCs w:val="21"/>
          <w:highlight w:val="none"/>
        </w:rPr>
        <w:t>。</w:t>
      </w:r>
    </w:p>
    <w:p>
      <w:pPr>
        <w:spacing w:line="360" w:lineRule="auto"/>
        <w:jc w:val="center"/>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（此行以下无正文）</w:t>
      </w:r>
    </w:p>
    <w:tbl>
      <w:tblPr>
        <w:tblStyle w:val="21"/>
        <w:tblW w:w="9099" w:type="dxa"/>
        <w:tblInd w:w="0" w:type="dxa"/>
        <w:tblLayout w:type="fixed"/>
        <w:tblCellMar>
          <w:top w:w="0" w:type="dxa"/>
          <w:left w:w="108" w:type="dxa"/>
          <w:bottom w:w="0" w:type="dxa"/>
          <w:right w:w="108" w:type="dxa"/>
        </w:tblCellMar>
      </w:tblPr>
      <w:tblGrid>
        <w:gridCol w:w="4549"/>
        <w:gridCol w:w="4550"/>
      </w:tblGrid>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甲方（盖章）：</w:t>
            </w:r>
          </w:p>
        </w:tc>
        <w:tc>
          <w:tcPr>
            <w:tcW w:w="4550"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乙方（盖章）：</w:t>
            </w:r>
          </w:p>
        </w:tc>
      </w:tr>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p>
        </w:tc>
        <w:tc>
          <w:tcPr>
            <w:tcW w:w="4550" w:type="dxa"/>
          </w:tcPr>
          <w:p>
            <w:pPr>
              <w:spacing w:line="400" w:lineRule="exact"/>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法定代表人或委托代表人（签字）：</w:t>
            </w:r>
          </w:p>
        </w:tc>
        <w:tc>
          <w:tcPr>
            <w:tcW w:w="4550"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法定代表人或授权代理人（签字）：</w:t>
            </w:r>
          </w:p>
        </w:tc>
      </w:tr>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p>
        </w:tc>
        <w:tc>
          <w:tcPr>
            <w:tcW w:w="4550" w:type="dxa"/>
          </w:tcPr>
          <w:p>
            <w:pPr>
              <w:spacing w:line="400" w:lineRule="exact"/>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tc>
        <w:tc>
          <w:tcPr>
            <w:tcW w:w="4550"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p>
        </w:tc>
      </w:tr>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tc>
        <w:tc>
          <w:tcPr>
            <w:tcW w:w="4550"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tc>
      </w:tr>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p>
        </w:tc>
        <w:tc>
          <w:tcPr>
            <w:tcW w:w="4550"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p>
        </w:tc>
      </w:tr>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tc>
        <w:tc>
          <w:tcPr>
            <w:tcW w:w="4550" w:type="dxa"/>
          </w:tcPr>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      年    月    日</w:t>
            </w:r>
          </w:p>
        </w:tc>
      </w:tr>
      <w:tr>
        <w:tblPrEx>
          <w:tblCellMar>
            <w:top w:w="0" w:type="dxa"/>
            <w:left w:w="108" w:type="dxa"/>
            <w:bottom w:w="0" w:type="dxa"/>
            <w:right w:w="108" w:type="dxa"/>
          </w:tblCellMar>
        </w:tblPrEx>
        <w:trPr>
          <w:trHeight w:val="505" w:hRule="atLeast"/>
        </w:trPr>
        <w:tc>
          <w:tcPr>
            <w:tcW w:w="4549" w:type="dxa"/>
          </w:tcPr>
          <w:p>
            <w:pPr>
              <w:spacing w:line="400" w:lineRule="exact"/>
              <w:rPr>
                <w:rFonts w:hint="eastAsia" w:ascii="宋体" w:hAnsi="宋体" w:eastAsia="宋体" w:cs="宋体"/>
                <w:color w:val="auto"/>
                <w:sz w:val="21"/>
                <w:szCs w:val="21"/>
                <w:highlight w:val="none"/>
              </w:rPr>
            </w:pPr>
          </w:p>
        </w:tc>
        <w:tc>
          <w:tcPr>
            <w:tcW w:w="4550" w:type="dxa"/>
          </w:tcPr>
          <w:p>
            <w:pPr>
              <w:spacing w:line="400" w:lineRule="exact"/>
              <w:jc w:val="left"/>
              <w:rPr>
                <w:rFonts w:hint="eastAsia" w:ascii="宋体" w:hAnsi="宋体" w:eastAsia="宋体" w:cs="宋体"/>
                <w:color w:val="auto"/>
                <w:sz w:val="21"/>
                <w:szCs w:val="21"/>
                <w:highlight w:val="none"/>
              </w:rPr>
            </w:pPr>
          </w:p>
        </w:tc>
      </w:tr>
    </w:tbl>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pStyle w:val="52"/>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千灯湖创投小镇核心区</w:t>
      </w:r>
      <w:r>
        <w:rPr>
          <w:rFonts w:hint="eastAsia" w:ascii="宋体" w:hAnsi="宋体" w:eastAsia="宋体" w:cs="宋体"/>
          <w:color w:val="auto"/>
          <w:sz w:val="21"/>
          <w:szCs w:val="21"/>
          <w:highlight w:val="none"/>
        </w:rPr>
        <w:t>规划平面图</w:t>
      </w:r>
    </w:p>
    <w:p>
      <w:pPr>
        <w:tabs>
          <w:tab w:val="left" w:pos="525"/>
          <w:tab w:val="left" w:pos="1155"/>
          <w:tab w:val="left" w:pos="5940"/>
        </w:tabs>
        <w:spacing w:line="400" w:lineRule="exact"/>
        <w:ind w:firstLine="312" w:firstLineChars="149"/>
        <w:rPr>
          <w:rFonts w:hint="eastAsia" w:ascii="宋体" w:hAnsi="宋体" w:eastAsia="宋体" w:cs="宋体"/>
          <w:bCs/>
          <w:color w:val="auto"/>
          <w:sz w:val="21"/>
          <w:szCs w:val="21"/>
          <w:highlight w:val="none"/>
        </w:rPr>
      </w:pP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4384" behindDoc="0" locked="0" layoutInCell="1" allowOverlap="1">
                <wp:simplePos x="0" y="0"/>
                <wp:positionH relativeFrom="column">
                  <wp:posOffset>1860550</wp:posOffset>
                </wp:positionH>
                <wp:positionV relativeFrom="paragraph">
                  <wp:posOffset>1933575</wp:posOffset>
                </wp:positionV>
                <wp:extent cx="1553845" cy="415925"/>
                <wp:effectExtent l="0" t="0" r="0" b="0"/>
                <wp:wrapNone/>
                <wp:docPr id="15" name="文本框 15"/>
                <wp:cNvGraphicFramePr/>
                <a:graphic xmlns:a="http://schemas.openxmlformats.org/drawingml/2006/main">
                  <a:graphicData uri="http://schemas.microsoft.com/office/word/2010/wordprocessingShape">
                    <wps:wsp>
                      <wps:cNvSpPr txBox="1"/>
                      <wps:spPr>
                        <a:xfrm>
                          <a:off x="2957195" y="3696970"/>
                          <a:ext cx="1553845" cy="415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sz w:val="16"/>
                                <w:szCs w:val="20"/>
                                <w:lang w:val="en-US" w:eastAsia="zh-CN"/>
                              </w:rPr>
                            </w:pPr>
                            <w:r>
                              <w:rPr>
                                <w:rFonts w:hint="eastAsia"/>
                                <w:color w:val="FF0000"/>
                                <w:sz w:val="16"/>
                                <w:szCs w:val="20"/>
                                <w:lang w:val="en-US" w:eastAsia="zh-CN"/>
                              </w:rPr>
                              <w:t>（目前为橄榄球场）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5pt;margin-top:152.25pt;height:32.75pt;width:122.35pt;z-index:251664384;mso-width-relative:page;mso-height-relative:page;" filled="f" stroked="f" coordsize="21600,21600" o:gfxdata="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OxZTcAAAACwEAAA8AAAAA&#10;AAAAAQAgAAAAIgAAAGRycy9kb3ducmV2LnhtbFBLAQIUABQAAAAIAIdO4kCfs38oSQIAAHQEAAAO&#10;AAAAAAAAAAEAIAAAACsBAABkcnMvZTJvRG9jLnhtbFBLBQYAAAAABgAGAFkBAADmBQAAAAA=&#10;">
                <v:fill on="f" focussize="0,0"/>
                <v:stroke on="f" weight="0.5pt"/>
                <v:imagedata o:title=""/>
                <o:lock v:ext="edit" aspectratio="f"/>
                <v:textbox>
                  <w:txbxContent>
                    <w:p>
                      <w:pPr>
                        <w:rPr>
                          <w:rFonts w:hint="eastAsia" w:eastAsia="宋体"/>
                          <w:color w:val="FF0000"/>
                          <w:sz w:val="16"/>
                          <w:szCs w:val="20"/>
                          <w:lang w:val="en-US" w:eastAsia="zh-CN"/>
                        </w:rPr>
                      </w:pPr>
                      <w:r>
                        <w:rPr>
                          <w:rFonts w:hint="eastAsia"/>
                          <w:color w:val="FF0000"/>
                          <w:sz w:val="16"/>
                          <w:szCs w:val="20"/>
                          <w:lang w:val="en-US" w:eastAsia="zh-CN"/>
                        </w:rPr>
                        <w:t>（目前为橄榄球场）</w:t>
                      </w:r>
                    </w:p>
                  </w:txbxContent>
                </v:textbox>
              </v:shape>
            </w:pict>
          </mc:Fallback>
        </mc:AlternateContent>
      </w:r>
      <w:r>
        <w:rPr>
          <w:rFonts w:hint="eastAsia" w:ascii="宋体" w:hAnsi="宋体" w:eastAsia="宋体" w:cs="宋体"/>
          <w:color w:val="auto"/>
          <w:sz w:val="21"/>
          <w:szCs w:val="21"/>
          <w:highlight w:val="none"/>
        </w:rPr>
        <w:drawing>
          <wp:inline distT="0" distB="0" distL="114300" distR="114300">
            <wp:extent cx="5259070" cy="7254240"/>
            <wp:effectExtent l="0" t="0" r="11430" b="10160"/>
            <wp:docPr id="16" name="图片 3" descr="小镇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小镇平面图"/>
                    <pic:cNvPicPr>
                      <a:picLocks noChangeAspect="1"/>
                    </pic:cNvPicPr>
                  </pic:nvPicPr>
                  <pic:blipFill>
                    <a:blip r:embed="rId12"/>
                    <a:stretch>
                      <a:fillRect/>
                    </a:stretch>
                  </pic:blipFill>
                  <pic:spPr>
                    <a:xfrm>
                      <a:off x="0" y="0"/>
                      <a:ext cx="5259070" cy="7254240"/>
                    </a:xfrm>
                    <a:prstGeom prst="rect">
                      <a:avLst/>
                    </a:prstGeom>
                    <a:noFill/>
                    <a:ln w="9525">
                      <a:noFill/>
                    </a:ln>
                  </pic:spPr>
                </pic:pic>
              </a:graphicData>
            </a:graphic>
          </wp:inline>
        </w:drawing>
      </w:r>
    </w:p>
    <w:p>
      <w:pPr>
        <w:spacing w:after="78"/>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pStyle w:val="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附件1-2 南区临时停车场平面图</w:t>
      </w:r>
    </w:p>
    <w:p>
      <w:pPr>
        <w:pStyle w:val="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488940" cy="7658100"/>
            <wp:effectExtent l="0" t="0" r="1016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5488940" cy="7658100"/>
                    </a:xfrm>
                    <a:prstGeom prst="rect">
                      <a:avLst/>
                    </a:prstGeom>
                    <a:noFill/>
                    <a:ln w="9525">
                      <a:noFill/>
                    </a:ln>
                  </pic:spPr>
                </pic:pic>
              </a:graphicData>
            </a:graphic>
          </wp:inline>
        </w:drawing>
      </w:r>
    </w:p>
    <w:p>
      <w:pPr>
        <w:pStyle w:val="3"/>
        <w:rPr>
          <w:rFonts w:hint="eastAsia" w:ascii="宋体" w:hAnsi="宋体" w:eastAsia="宋体" w:cs="宋体"/>
          <w:color w:val="auto"/>
          <w:sz w:val="21"/>
          <w:szCs w:val="21"/>
          <w:highlight w:val="none"/>
        </w:rPr>
      </w:pPr>
    </w:p>
    <w:p>
      <w:pPr>
        <w:pStyle w:val="52"/>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 功能分区图</w:t>
      </w:r>
    </w:p>
    <w:p>
      <w:pPr>
        <w:pStyle w:val="52"/>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5713095" cy="7627620"/>
            <wp:effectExtent l="0" t="0" r="1905" b="5080"/>
            <wp:docPr id="18" name="图片 4" descr="附件3   招商功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附件3   招商功能规划图"/>
                    <pic:cNvPicPr>
                      <a:picLocks noChangeAspect="1"/>
                    </pic:cNvPicPr>
                  </pic:nvPicPr>
                  <pic:blipFill>
                    <a:blip r:embed="rId14"/>
                    <a:stretch>
                      <a:fillRect/>
                    </a:stretch>
                  </pic:blipFill>
                  <pic:spPr>
                    <a:xfrm>
                      <a:off x="0" y="0"/>
                      <a:ext cx="5713095" cy="7627620"/>
                    </a:xfrm>
                    <a:prstGeom prst="rect">
                      <a:avLst/>
                    </a:prstGeom>
                    <a:noFill/>
                    <a:ln w="9525">
                      <a:noFill/>
                    </a:ln>
                  </pic:spPr>
                </pic:pic>
              </a:graphicData>
            </a:graphic>
          </wp:inline>
        </w:drawing>
      </w:r>
    </w:p>
    <w:p>
      <w:pPr>
        <w:pStyle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附件3  停车场管理规定</w:t>
      </w:r>
    </w:p>
    <w:p>
      <w:pPr>
        <w:pStyle w:val="4"/>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千灯湖创投小镇核心区临时停车场停车场管理规定</w:t>
      </w:r>
    </w:p>
    <w:p>
      <w:pPr>
        <w:widowControl w:val="0"/>
        <w:ind w:firstLine="0" w:firstLineChars="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1.目的</w:t>
      </w:r>
    </w:p>
    <w:p>
      <w:pPr>
        <w:pStyle w:val="48"/>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规范管理服务区域内停车场的秩序管控，维护车辆行驶与停放秩序和安全。</w:t>
      </w:r>
    </w:p>
    <w:p>
      <w:pPr>
        <w:pStyle w:val="48"/>
        <w:ind w:firstLine="0" w:firstLineChars="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2.范围</w:t>
      </w:r>
    </w:p>
    <w:p>
      <w:pPr>
        <w:ind w:left="105" w:firstLine="105" w:firstLineChars="50"/>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rPr>
        <w:t>适用于</w:t>
      </w:r>
      <w:r>
        <w:rPr>
          <w:rFonts w:hint="eastAsia" w:ascii="宋体" w:hAnsi="宋体" w:eastAsia="宋体" w:cs="宋体"/>
          <w:color w:val="auto"/>
          <w:sz w:val="21"/>
          <w:szCs w:val="21"/>
          <w:highlight w:val="none"/>
        </w:rPr>
        <w:t>千灯湖创投小镇</w:t>
      </w:r>
      <w:r>
        <w:rPr>
          <w:rFonts w:hint="eastAsia" w:ascii="宋体" w:hAnsi="宋体" w:eastAsia="宋体" w:cs="宋体"/>
          <w:color w:val="auto"/>
          <w:sz w:val="21"/>
          <w:szCs w:val="21"/>
          <w:highlight w:val="none"/>
          <w:lang w:val="en-US" w:eastAsia="zh-CN"/>
        </w:rPr>
        <w:t>核心区南、北临时停车场</w:t>
      </w:r>
    </w:p>
    <w:p>
      <w:pPr>
        <w:widowControl w:val="0"/>
        <w:numPr>
          <w:ilvl w:val="0"/>
          <w:numId w:val="0"/>
        </w:numPr>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lang w:val="en-US" w:eastAsia="zh-CN"/>
        </w:rPr>
        <w:t>3.</w:t>
      </w:r>
      <w:r>
        <w:rPr>
          <w:rFonts w:hint="eastAsia" w:ascii="宋体" w:hAnsi="宋体" w:eastAsia="宋体" w:cs="宋体"/>
          <w:b/>
          <w:snapToGrid w:val="0"/>
          <w:color w:val="auto"/>
          <w:sz w:val="21"/>
          <w:szCs w:val="21"/>
          <w:highlight w:val="none"/>
        </w:rPr>
        <w:t>职责</w:t>
      </w:r>
    </w:p>
    <w:tbl>
      <w:tblPr>
        <w:tblStyle w:val="2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7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vAlign w:val="center"/>
          </w:tcPr>
          <w:p>
            <w:pPr>
              <w:adjustRightInd w:val="0"/>
              <w:snapToGrid w:val="0"/>
              <w:ind w:left="680" w:right="-23" w:hanging="68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岗位</w:t>
            </w:r>
          </w:p>
        </w:tc>
        <w:tc>
          <w:tcPr>
            <w:tcW w:w="7187" w:type="dxa"/>
            <w:vAlign w:val="center"/>
          </w:tcPr>
          <w:p>
            <w:pPr>
              <w:adjustRightInd w:val="0"/>
              <w:snapToGrid w:val="0"/>
              <w:ind w:left="680" w:right="-23" w:hanging="68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9" w:type="dxa"/>
            <w:vAlign w:val="center"/>
          </w:tcPr>
          <w:p>
            <w:pPr>
              <w:adjustRightInd w:val="0"/>
              <w:snapToGrid w:val="0"/>
              <w:ind w:left="680" w:right="-23" w:hanging="6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物业公司</w:t>
            </w:r>
          </w:p>
        </w:tc>
        <w:tc>
          <w:tcPr>
            <w:tcW w:w="7187" w:type="dxa"/>
            <w:vAlign w:val="center"/>
          </w:tcPr>
          <w:p>
            <w:pPr>
              <w:pStyle w:val="48"/>
              <w:numPr>
                <w:ilvl w:val="0"/>
                <w:numId w:val="0"/>
              </w:numPr>
              <w:ind w:leftChars="0" w:right="-20" w:rightChars="0"/>
              <w:rPr>
                <w:rFonts w:hint="eastAsia" w:ascii="宋体" w:hAnsi="宋体" w:eastAsia="宋体" w:cs="宋体"/>
                <w:color w:val="auto"/>
                <w:sz w:val="21"/>
                <w:szCs w:val="21"/>
                <w:highlight w:val="none"/>
              </w:rPr>
            </w:pPr>
            <w:r>
              <w:rPr>
                <w:rFonts w:hint="eastAsia" w:ascii="宋体" w:hAnsi="宋体" w:eastAsia="宋体" w:cs="宋体"/>
                <w:color w:val="auto"/>
                <w:position w:val="-1"/>
                <w:sz w:val="21"/>
                <w:szCs w:val="21"/>
                <w:highlight w:val="none"/>
                <w:lang w:val="en-US" w:eastAsia="zh-CN"/>
              </w:rPr>
              <w:t>1.</w:t>
            </w:r>
            <w:r>
              <w:rPr>
                <w:rFonts w:hint="eastAsia" w:ascii="宋体" w:hAnsi="宋体" w:eastAsia="宋体" w:cs="宋体"/>
                <w:color w:val="auto"/>
                <w:position w:val="-1"/>
                <w:sz w:val="21"/>
                <w:szCs w:val="21"/>
                <w:highlight w:val="none"/>
              </w:rPr>
              <w:t>负责</w:t>
            </w:r>
            <w:r>
              <w:rPr>
                <w:rFonts w:hint="eastAsia" w:ascii="宋体" w:hAnsi="宋体" w:eastAsia="宋体" w:cs="宋体"/>
                <w:color w:val="auto"/>
                <w:spacing w:val="-2"/>
                <w:position w:val="-1"/>
                <w:sz w:val="21"/>
                <w:szCs w:val="21"/>
                <w:highlight w:val="none"/>
              </w:rPr>
              <w:t>根</w:t>
            </w:r>
            <w:r>
              <w:rPr>
                <w:rFonts w:hint="eastAsia" w:ascii="宋体" w:hAnsi="宋体" w:eastAsia="宋体" w:cs="宋体"/>
                <w:color w:val="auto"/>
                <w:position w:val="-1"/>
                <w:sz w:val="21"/>
                <w:szCs w:val="21"/>
                <w:highlight w:val="none"/>
              </w:rPr>
              <w:t>据</w:t>
            </w:r>
            <w:r>
              <w:rPr>
                <w:rFonts w:hint="eastAsia" w:ascii="宋体" w:hAnsi="宋体" w:eastAsia="宋体" w:cs="宋体"/>
                <w:color w:val="auto"/>
                <w:spacing w:val="-2"/>
                <w:position w:val="-1"/>
                <w:sz w:val="21"/>
                <w:szCs w:val="21"/>
                <w:highlight w:val="none"/>
              </w:rPr>
              <w:t>本</w:t>
            </w:r>
            <w:r>
              <w:rPr>
                <w:rFonts w:hint="eastAsia" w:ascii="宋体" w:hAnsi="宋体" w:eastAsia="宋体" w:cs="宋体"/>
                <w:color w:val="auto"/>
                <w:position w:val="-1"/>
                <w:sz w:val="21"/>
                <w:szCs w:val="21"/>
                <w:highlight w:val="none"/>
              </w:rPr>
              <w:t>指</w:t>
            </w:r>
            <w:r>
              <w:rPr>
                <w:rFonts w:hint="eastAsia" w:ascii="宋体" w:hAnsi="宋体" w:eastAsia="宋体" w:cs="宋体"/>
                <w:color w:val="auto"/>
                <w:spacing w:val="-2"/>
                <w:position w:val="-1"/>
                <w:sz w:val="21"/>
                <w:szCs w:val="21"/>
                <w:highlight w:val="none"/>
              </w:rPr>
              <w:t>导</w:t>
            </w:r>
            <w:r>
              <w:rPr>
                <w:rFonts w:hint="eastAsia" w:ascii="宋体" w:hAnsi="宋体" w:eastAsia="宋体" w:cs="宋体"/>
                <w:color w:val="auto"/>
                <w:position w:val="-1"/>
                <w:sz w:val="21"/>
                <w:szCs w:val="21"/>
                <w:highlight w:val="none"/>
              </w:rPr>
              <w:t>书</w:t>
            </w:r>
            <w:r>
              <w:rPr>
                <w:rFonts w:hint="eastAsia" w:ascii="宋体" w:hAnsi="宋体" w:eastAsia="宋体" w:cs="宋体"/>
                <w:color w:val="auto"/>
                <w:spacing w:val="-2"/>
                <w:position w:val="-1"/>
                <w:sz w:val="21"/>
                <w:szCs w:val="21"/>
                <w:highlight w:val="none"/>
              </w:rPr>
              <w:t>编</w:t>
            </w:r>
            <w:r>
              <w:rPr>
                <w:rFonts w:hint="eastAsia" w:ascii="宋体" w:hAnsi="宋体" w:eastAsia="宋体" w:cs="宋体"/>
                <w:color w:val="auto"/>
                <w:position w:val="-1"/>
                <w:sz w:val="21"/>
                <w:szCs w:val="21"/>
                <w:highlight w:val="none"/>
              </w:rPr>
              <w:t>制</w:t>
            </w:r>
            <w:r>
              <w:rPr>
                <w:rFonts w:hint="eastAsia" w:ascii="宋体" w:hAnsi="宋体" w:eastAsia="宋体" w:cs="宋体"/>
                <w:color w:val="auto"/>
                <w:spacing w:val="-2"/>
                <w:position w:val="-1"/>
                <w:sz w:val="21"/>
                <w:szCs w:val="21"/>
                <w:highlight w:val="none"/>
              </w:rPr>
              <w:t>、</w:t>
            </w:r>
            <w:r>
              <w:rPr>
                <w:rFonts w:hint="eastAsia" w:ascii="宋体" w:hAnsi="宋体" w:eastAsia="宋体" w:cs="宋体"/>
                <w:color w:val="auto"/>
                <w:position w:val="-1"/>
                <w:sz w:val="21"/>
                <w:szCs w:val="21"/>
                <w:highlight w:val="none"/>
              </w:rPr>
              <w:t>完善停</w:t>
            </w:r>
            <w:r>
              <w:rPr>
                <w:rFonts w:hint="eastAsia" w:ascii="宋体" w:hAnsi="宋体" w:eastAsia="宋体" w:cs="宋体"/>
                <w:color w:val="auto"/>
                <w:spacing w:val="-2"/>
                <w:position w:val="-1"/>
                <w:sz w:val="21"/>
                <w:szCs w:val="21"/>
                <w:highlight w:val="none"/>
              </w:rPr>
              <w:t>车</w:t>
            </w:r>
            <w:r>
              <w:rPr>
                <w:rFonts w:hint="eastAsia" w:ascii="宋体" w:hAnsi="宋体" w:eastAsia="宋体" w:cs="宋体"/>
                <w:color w:val="auto"/>
                <w:position w:val="-1"/>
                <w:sz w:val="21"/>
                <w:szCs w:val="21"/>
                <w:highlight w:val="none"/>
              </w:rPr>
              <w:t>场</w:t>
            </w:r>
            <w:r>
              <w:rPr>
                <w:rFonts w:hint="eastAsia" w:ascii="宋体" w:hAnsi="宋体" w:eastAsia="宋体" w:cs="宋体"/>
                <w:color w:val="auto"/>
                <w:spacing w:val="-2"/>
                <w:position w:val="-1"/>
                <w:sz w:val="21"/>
                <w:szCs w:val="21"/>
                <w:highlight w:val="none"/>
              </w:rPr>
              <w:t>管</w:t>
            </w:r>
            <w:r>
              <w:rPr>
                <w:rFonts w:hint="eastAsia" w:ascii="宋体" w:hAnsi="宋体" w:eastAsia="宋体" w:cs="宋体"/>
                <w:color w:val="auto"/>
                <w:position w:val="-1"/>
                <w:sz w:val="21"/>
                <w:szCs w:val="21"/>
                <w:highlight w:val="none"/>
              </w:rPr>
              <w:t>理细</w:t>
            </w:r>
            <w:r>
              <w:rPr>
                <w:rFonts w:hint="eastAsia" w:ascii="宋体" w:hAnsi="宋体" w:eastAsia="宋体" w:cs="宋体"/>
                <w:color w:val="auto"/>
                <w:spacing w:val="-2"/>
                <w:position w:val="-1"/>
                <w:sz w:val="21"/>
                <w:szCs w:val="21"/>
                <w:highlight w:val="none"/>
              </w:rPr>
              <w:t>则</w:t>
            </w:r>
            <w:r>
              <w:rPr>
                <w:rFonts w:hint="eastAsia" w:ascii="宋体" w:hAnsi="宋体" w:eastAsia="宋体" w:cs="宋体"/>
                <w:color w:val="auto"/>
                <w:position w:val="-1"/>
                <w:sz w:val="21"/>
                <w:szCs w:val="21"/>
                <w:highlight w:val="none"/>
              </w:rPr>
              <w:t>，</w:t>
            </w:r>
            <w:r>
              <w:rPr>
                <w:rFonts w:hint="eastAsia" w:ascii="宋体" w:hAnsi="宋体" w:eastAsia="宋体" w:cs="宋体"/>
                <w:color w:val="auto"/>
                <w:spacing w:val="-2"/>
                <w:position w:val="-1"/>
                <w:sz w:val="21"/>
                <w:szCs w:val="21"/>
                <w:highlight w:val="none"/>
              </w:rPr>
              <w:t>并</w:t>
            </w:r>
            <w:r>
              <w:rPr>
                <w:rFonts w:hint="eastAsia" w:ascii="宋体" w:hAnsi="宋体" w:eastAsia="宋体" w:cs="宋体"/>
                <w:color w:val="auto"/>
                <w:position w:val="-1"/>
                <w:sz w:val="21"/>
                <w:szCs w:val="21"/>
                <w:highlight w:val="none"/>
              </w:rPr>
              <w:t>落</w:t>
            </w:r>
            <w:r>
              <w:rPr>
                <w:rFonts w:hint="eastAsia" w:ascii="宋体" w:hAnsi="宋体" w:eastAsia="宋体" w:cs="宋体"/>
                <w:color w:val="auto"/>
                <w:spacing w:val="-2"/>
                <w:position w:val="-1"/>
                <w:sz w:val="21"/>
                <w:szCs w:val="21"/>
                <w:highlight w:val="none"/>
              </w:rPr>
              <w:t>实</w:t>
            </w:r>
            <w:r>
              <w:rPr>
                <w:rFonts w:hint="eastAsia" w:ascii="宋体" w:hAnsi="宋体" w:eastAsia="宋体" w:cs="宋体"/>
                <w:color w:val="auto"/>
                <w:position w:val="-1"/>
                <w:sz w:val="21"/>
                <w:szCs w:val="21"/>
                <w:highlight w:val="none"/>
              </w:rPr>
              <w:t>；</w:t>
            </w:r>
          </w:p>
          <w:p>
            <w:pPr>
              <w:pStyle w:val="48"/>
              <w:numPr>
                <w:ilvl w:val="0"/>
                <w:numId w:val="0"/>
              </w:numPr>
              <w:adjustRightInd w:val="0"/>
              <w:snapToGrid w:val="0"/>
              <w:ind w:leftChars="0" w:right="-23" w:rightChars="0"/>
              <w:rPr>
                <w:rFonts w:hint="eastAsia" w:ascii="宋体" w:hAnsi="宋体" w:eastAsia="宋体" w:cs="宋体"/>
                <w:color w:val="auto"/>
                <w:sz w:val="21"/>
                <w:szCs w:val="21"/>
                <w:highlight w:val="none"/>
              </w:rPr>
            </w:pPr>
            <w:r>
              <w:rPr>
                <w:rFonts w:hint="eastAsia" w:ascii="宋体" w:hAnsi="宋体" w:eastAsia="宋体" w:cs="宋体"/>
                <w:color w:val="auto"/>
                <w:position w:val="-2"/>
                <w:sz w:val="21"/>
                <w:szCs w:val="21"/>
                <w:highlight w:val="none"/>
                <w:lang w:val="en-US" w:eastAsia="zh-CN"/>
              </w:rPr>
              <w:t>2.</w:t>
            </w:r>
            <w:r>
              <w:rPr>
                <w:rFonts w:hint="eastAsia" w:ascii="宋体" w:hAnsi="宋体" w:eastAsia="宋体" w:cs="宋体"/>
                <w:color w:val="auto"/>
                <w:position w:val="-2"/>
                <w:sz w:val="21"/>
                <w:szCs w:val="21"/>
                <w:highlight w:val="none"/>
              </w:rPr>
              <w:t>负责</w:t>
            </w:r>
            <w:r>
              <w:rPr>
                <w:rFonts w:hint="eastAsia" w:ascii="宋体" w:hAnsi="宋体" w:eastAsia="宋体" w:cs="宋体"/>
                <w:color w:val="auto"/>
                <w:spacing w:val="-2"/>
                <w:position w:val="-2"/>
                <w:sz w:val="21"/>
                <w:szCs w:val="21"/>
                <w:highlight w:val="none"/>
              </w:rPr>
              <w:t>停</w:t>
            </w:r>
            <w:r>
              <w:rPr>
                <w:rFonts w:hint="eastAsia" w:ascii="宋体" w:hAnsi="宋体" w:eastAsia="宋体" w:cs="宋体"/>
                <w:color w:val="auto"/>
                <w:position w:val="-2"/>
                <w:sz w:val="21"/>
                <w:szCs w:val="21"/>
                <w:highlight w:val="none"/>
              </w:rPr>
              <w:t>车</w:t>
            </w:r>
            <w:r>
              <w:rPr>
                <w:rFonts w:hint="eastAsia" w:ascii="宋体" w:hAnsi="宋体" w:eastAsia="宋体" w:cs="宋体"/>
                <w:color w:val="auto"/>
                <w:spacing w:val="-2"/>
                <w:position w:val="-2"/>
                <w:sz w:val="21"/>
                <w:szCs w:val="21"/>
                <w:highlight w:val="none"/>
              </w:rPr>
              <w:t>场</w:t>
            </w:r>
            <w:r>
              <w:rPr>
                <w:rFonts w:hint="eastAsia" w:ascii="宋体" w:hAnsi="宋体" w:eastAsia="宋体" w:cs="宋体"/>
                <w:color w:val="auto"/>
                <w:position w:val="-2"/>
                <w:sz w:val="21"/>
                <w:szCs w:val="21"/>
                <w:highlight w:val="none"/>
              </w:rPr>
              <w:t>证</w:t>
            </w:r>
            <w:r>
              <w:rPr>
                <w:rFonts w:hint="eastAsia" w:ascii="宋体" w:hAnsi="宋体" w:eastAsia="宋体" w:cs="宋体"/>
                <w:color w:val="auto"/>
                <w:spacing w:val="-2"/>
                <w:position w:val="-2"/>
                <w:sz w:val="21"/>
                <w:szCs w:val="21"/>
                <w:highlight w:val="none"/>
              </w:rPr>
              <w:t>照</w:t>
            </w:r>
            <w:r>
              <w:rPr>
                <w:rFonts w:hint="eastAsia" w:ascii="宋体" w:hAnsi="宋体" w:eastAsia="宋体" w:cs="宋体"/>
                <w:color w:val="auto"/>
                <w:position w:val="-2"/>
                <w:sz w:val="21"/>
                <w:szCs w:val="21"/>
                <w:highlight w:val="none"/>
              </w:rPr>
              <w:t>办</w:t>
            </w:r>
            <w:r>
              <w:rPr>
                <w:rFonts w:hint="eastAsia" w:ascii="宋体" w:hAnsi="宋体" w:eastAsia="宋体" w:cs="宋体"/>
                <w:color w:val="auto"/>
                <w:spacing w:val="-2"/>
                <w:position w:val="-2"/>
                <w:sz w:val="21"/>
                <w:szCs w:val="21"/>
                <w:highlight w:val="none"/>
              </w:rPr>
              <w:t>理</w:t>
            </w:r>
            <w:r>
              <w:rPr>
                <w:rFonts w:hint="eastAsia" w:ascii="宋体" w:hAnsi="宋体" w:eastAsia="宋体" w:cs="宋体"/>
                <w:color w:val="auto"/>
                <w:position w:val="-2"/>
                <w:sz w:val="21"/>
                <w:szCs w:val="21"/>
                <w:highlight w:val="none"/>
              </w:rPr>
              <w:t>、</w:t>
            </w:r>
            <w:r>
              <w:rPr>
                <w:rFonts w:hint="eastAsia" w:ascii="宋体" w:hAnsi="宋体" w:eastAsia="宋体" w:cs="宋体"/>
                <w:color w:val="auto"/>
                <w:spacing w:val="-2"/>
                <w:position w:val="-2"/>
                <w:sz w:val="21"/>
                <w:szCs w:val="21"/>
                <w:highlight w:val="none"/>
              </w:rPr>
              <w:t>停</w:t>
            </w:r>
            <w:r>
              <w:rPr>
                <w:rFonts w:hint="eastAsia" w:ascii="宋体" w:hAnsi="宋体" w:eastAsia="宋体" w:cs="宋体"/>
                <w:color w:val="auto"/>
                <w:position w:val="-2"/>
                <w:sz w:val="21"/>
                <w:szCs w:val="21"/>
                <w:highlight w:val="none"/>
              </w:rPr>
              <w:t>车场</w:t>
            </w:r>
            <w:r>
              <w:rPr>
                <w:rFonts w:hint="eastAsia" w:ascii="宋体" w:hAnsi="宋体" w:eastAsia="宋体" w:cs="宋体"/>
                <w:color w:val="auto"/>
                <w:position w:val="-2"/>
                <w:sz w:val="21"/>
                <w:szCs w:val="21"/>
                <w:highlight w:val="none"/>
                <w:lang w:val="en-US" w:eastAsia="zh-CN"/>
              </w:rPr>
              <w:t>设备设施</w:t>
            </w:r>
            <w:r>
              <w:rPr>
                <w:rFonts w:hint="eastAsia" w:ascii="宋体" w:hAnsi="宋体" w:eastAsia="宋体" w:cs="宋体"/>
                <w:color w:val="auto"/>
                <w:spacing w:val="-2"/>
                <w:position w:val="-2"/>
                <w:sz w:val="21"/>
                <w:szCs w:val="21"/>
                <w:highlight w:val="none"/>
              </w:rPr>
              <w:t>日</w:t>
            </w:r>
            <w:r>
              <w:rPr>
                <w:rFonts w:hint="eastAsia" w:ascii="宋体" w:hAnsi="宋体" w:eastAsia="宋体" w:cs="宋体"/>
                <w:color w:val="auto"/>
                <w:position w:val="-2"/>
                <w:sz w:val="21"/>
                <w:szCs w:val="21"/>
                <w:highlight w:val="none"/>
              </w:rPr>
              <w:t>常</w:t>
            </w:r>
            <w:r>
              <w:rPr>
                <w:rFonts w:hint="eastAsia" w:ascii="宋体" w:hAnsi="宋体" w:eastAsia="宋体" w:cs="宋体"/>
                <w:color w:val="auto"/>
                <w:spacing w:val="-2"/>
                <w:position w:val="-2"/>
                <w:sz w:val="21"/>
                <w:szCs w:val="21"/>
                <w:highlight w:val="none"/>
              </w:rPr>
              <w:t>管</w:t>
            </w:r>
            <w:r>
              <w:rPr>
                <w:rFonts w:hint="eastAsia" w:ascii="宋体" w:hAnsi="宋体" w:eastAsia="宋体" w:cs="宋体"/>
                <w:color w:val="auto"/>
                <w:position w:val="-2"/>
                <w:sz w:val="21"/>
                <w:szCs w:val="21"/>
                <w:highlight w:val="none"/>
              </w:rPr>
              <w:t>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099" w:type="dxa"/>
            <w:vAlign w:val="center"/>
          </w:tcPr>
          <w:p>
            <w:pPr>
              <w:adjustRightInd w:val="0"/>
              <w:snapToGrid w:val="0"/>
              <w:ind w:left="680" w:right="-23" w:hanging="68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车场安全员</w:t>
            </w:r>
          </w:p>
        </w:tc>
        <w:tc>
          <w:tcPr>
            <w:tcW w:w="7187" w:type="dxa"/>
            <w:vAlign w:val="center"/>
          </w:tcPr>
          <w:p>
            <w:pPr>
              <w:pStyle w:val="48"/>
              <w:numPr>
                <w:ilvl w:val="0"/>
                <w:numId w:val="0"/>
              </w:numPr>
              <w:ind w:leftChars="0" w:right="-20" w:rightChars="0"/>
              <w:rPr>
                <w:rFonts w:hint="eastAsia" w:ascii="宋体" w:hAnsi="宋体" w:eastAsia="宋体" w:cs="宋体"/>
                <w:color w:val="auto"/>
                <w:position w:val="-1"/>
                <w:sz w:val="21"/>
                <w:szCs w:val="21"/>
                <w:highlight w:val="none"/>
              </w:rPr>
            </w:pPr>
            <w:r>
              <w:rPr>
                <w:rFonts w:hint="eastAsia" w:ascii="宋体" w:hAnsi="宋体" w:eastAsia="宋体" w:cs="宋体"/>
                <w:color w:val="auto"/>
                <w:position w:val="-1"/>
                <w:sz w:val="21"/>
                <w:szCs w:val="21"/>
                <w:highlight w:val="none"/>
                <w:lang w:val="en-US" w:eastAsia="zh-CN"/>
              </w:rPr>
              <w:t>1.</w:t>
            </w:r>
            <w:r>
              <w:rPr>
                <w:rFonts w:hint="eastAsia" w:ascii="宋体" w:hAnsi="宋体" w:eastAsia="宋体" w:cs="宋体"/>
                <w:color w:val="auto"/>
                <w:position w:val="-1"/>
                <w:sz w:val="21"/>
                <w:szCs w:val="21"/>
                <w:highlight w:val="none"/>
              </w:rPr>
              <w:t>负责车辆入场管控，保持车道畅通；</w:t>
            </w:r>
          </w:p>
          <w:p>
            <w:pPr>
              <w:pStyle w:val="48"/>
              <w:numPr>
                <w:ilvl w:val="0"/>
                <w:numId w:val="0"/>
              </w:numPr>
              <w:ind w:leftChars="0" w:right="-20" w:rightChars="0"/>
              <w:rPr>
                <w:rFonts w:hint="eastAsia" w:ascii="宋体" w:hAnsi="宋体" w:eastAsia="宋体" w:cs="宋体"/>
                <w:color w:val="auto"/>
                <w:position w:val="-1"/>
                <w:sz w:val="21"/>
                <w:szCs w:val="21"/>
                <w:highlight w:val="none"/>
              </w:rPr>
            </w:pPr>
            <w:r>
              <w:rPr>
                <w:rFonts w:hint="eastAsia" w:ascii="宋体" w:hAnsi="宋体" w:eastAsia="宋体" w:cs="宋体"/>
                <w:color w:val="auto"/>
                <w:position w:val="-1"/>
                <w:sz w:val="21"/>
                <w:szCs w:val="21"/>
                <w:highlight w:val="none"/>
                <w:lang w:val="en-US" w:eastAsia="zh-CN"/>
              </w:rPr>
              <w:t>2.</w:t>
            </w:r>
            <w:r>
              <w:rPr>
                <w:rFonts w:hint="eastAsia" w:ascii="宋体" w:hAnsi="宋体" w:eastAsia="宋体" w:cs="宋体"/>
                <w:color w:val="auto"/>
                <w:position w:val="-1"/>
                <w:sz w:val="21"/>
                <w:szCs w:val="21"/>
                <w:highlight w:val="none"/>
              </w:rPr>
              <w:t>负责车辆停放引导；</w:t>
            </w:r>
          </w:p>
          <w:p>
            <w:pPr>
              <w:pStyle w:val="48"/>
              <w:numPr>
                <w:ilvl w:val="0"/>
                <w:numId w:val="0"/>
              </w:numPr>
              <w:ind w:leftChars="0" w:right="-20" w:rightChars="0"/>
              <w:rPr>
                <w:rFonts w:hint="eastAsia" w:ascii="宋体" w:hAnsi="宋体" w:eastAsia="宋体" w:cs="宋体"/>
                <w:color w:val="auto"/>
                <w:sz w:val="21"/>
                <w:szCs w:val="21"/>
                <w:highlight w:val="none"/>
              </w:rPr>
            </w:pPr>
            <w:r>
              <w:rPr>
                <w:rFonts w:hint="eastAsia" w:ascii="宋体" w:hAnsi="宋体" w:eastAsia="宋体" w:cs="宋体"/>
                <w:color w:val="auto"/>
                <w:position w:val="-1"/>
                <w:sz w:val="21"/>
                <w:szCs w:val="21"/>
                <w:highlight w:val="none"/>
                <w:lang w:val="en-US" w:eastAsia="zh-CN"/>
              </w:rPr>
              <w:t>3.</w:t>
            </w:r>
            <w:r>
              <w:rPr>
                <w:rFonts w:hint="eastAsia" w:ascii="宋体" w:hAnsi="宋体" w:eastAsia="宋体" w:cs="宋体"/>
                <w:color w:val="auto"/>
                <w:position w:val="-1"/>
                <w:sz w:val="21"/>
                <w:szCs w:val="21"/>
                <w:highlight w:val="none"/>
              </w:rPr>
              <w:t>负责停车费用的收取。</w:t>
            </w:r>
          </w:p>
        </w:tc>
      </w:tr>
    </w:tbl>
    <w:p>
      <w:pPr>
        <w:ind w:firstLine="0" w:firstLineChars="0"/>
        <w:outlineLvl w:val="0"/>
        <w:rPr>
          <w:rFonts w:hint="eastAsia" w:ascii="宋体" w:hAnsi="宋体" w:eastAsia="宋体" w:cs="宋体"/>
          <w:b/>
          <w:snapToGrid w:val="0"/>
          <w:color w:val="auto"/>
          <w:spacing w:val="-4"/>
          <w:sz w:val="21"/>
          <w:szCs w:val="21"/>
          <w:highlight w:val="none"/>
          <w:lang w:val="en-US" w:eastAsia="zh-CN"/>
        </w:rPr>
      </w:pPr>
      <w:r>
        <w:rPr>
          <w:rFonts w:hint="eastAsia" w:ascii="宋体" w:hAnsi="宋体" w:eastAsia="宋体" w:cs="宋体"/>
          <w:b/>
          <w:snapToGrid w:val="0"/>
          <w:color w:val="auto"/>
          <w:sz w:val="21"/>
          <w:szCs w:val="21"/>
          <w:highlight w:val="none"/>
          <w:lang w:val="en-US" w:eastAsia="zh-CN"/>
        </w:rPr>
        <w:t>4</w:t>
      </w:r>
      <w:r>
        <w:rPr>
          <w:rFonts w:hint="eastAsia" w:ascii="宋体" w:hAnsi="宋体" w:eastAsia="宋体" w:cs="宋体"/>
          <w:b/>
          <w:snapToGrid w:val="0"/>
          <w:color w:val="auto"/>
          <w:sz w:val="21"/>
          <w:szCs w:val="21"/>
          <w:highlight w:val="none"/>
          <w:lang w:val="en-US"/>
        </w:rPr>
        <w:t>.</w:t>
      </w:r>
      <w:r>
        <w:rPr>
          <w:rFonts w:hint="eastAsia" w:ascii="宋体" w:hAnsi="宋体" w:eastAsia="宋体" w:cs="宋体"/>
          <w:b/>
          <w:snapToGrid w:val="0"/>
          <w:color w:val="auto"/>
          <w:sz w:val="21"/>
          <w:szCs w:val="21"/>
          <w:highlight w:val="none"/>
        </w:rPr>
        <w:t>设备</w:t>
      </w:r>
      <w:r>
        <w:rPr>
          <w:rFonts w:hint="eastAsia" w:ascii="宋体" w:hAnsi="宋体" w:eastAsia="宋体" w:cs="宋体"/>
          <w:b/>
          <w:snapToGrid w:val="0"/>
          <w:color w:val="auto"/>
          <w:sz w:val="21"/>
          <w:szCs w:val="21"/>
          <w:highlight w:val="none"/>
          <w:lang w:val="en-US" w:eastAsia="zh-CN"/>
        </w:rPr>
        <w:t>设施维护</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7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widowControl w:val="0"/>
              <w:adjustRightInd w:val="0"/>
              <w:snapToGrid w:val="0"/>
              <w:ind w:left="622" w:hanging="622"/>
              <w:contextualSpacing/>
              <w:jc w:val="center"/>
              <w:rPr>
                <w:rFonts w:hint="eastAsia" w:ascii="宋体" w:hAnsi="宋体" w:eastAsia="宋体" w:cs="宋体"/>
                <w:b/>
                <w:bCs/>
                <w:snapToGrid w:val="0"/>
                <w:color w:val="auto"/>
                <w:spacing w:val="-4"/>
                <w:sz w:val="21"/>
                <w:szCs w:val="21"/>
                <w:highlight w:val="none"/>
              </w:rPr>
            </w:pPr>
            <w:r>
              <w:rPr>
                <w:rFonts w:hint="eastAsia" w:ascii="宋体" w:hAnsi="宋体" w:eastAsia="宋体" w:cs="宋体"/>
                <w:b/>
                <w:bCs/>
                <w:snapToGrid w:val="0"/>
                <w:color w:val="auto"/>
                <w:spacing w:val="-4"/>
                <w:sz w:val="21"/>
                <w:szCs w:val="21"/>
                <w:highlight w:val="none"/>
              </w:rPr>
              <w:t>项目</w:t>
            </w:r>
          </w:p>
        </w:tc>
        <w:tc>
          <w:tcPr>
            <w:tcW w:w="7193" w:type="dxa"/>
            <w:vAlign w:val="center"/>
          </w:tcPr>
          <w:p>
            <w:pPr>
              <w:widowControl w:val="0"/>
              <w:adjustRightInd w:val="0"/>
              <w:snapToGrid w:val="0"/>
              <w:ind w:left="622" w:hanging="622"/>
              <w:contextualSpacing/>
              <w:jc w:val="center"/>
              <w:rPr>
                <w:rFonts w:hint="eastAsia" w:ascii="宋体" w:hAnsi="宋体" w:eastAsia="宋体" w:cs="宋体"/>
                <w:b/>
                <w:bCs/>
                <w:snapToGrid w:val="0"/>
                <w:color w:val="auto"/>
                <w:spacing w:val="-4"/>
                <w:sz w:val="21"/>
                <w:szCs w:val="21"/>
                <w:highlight w:val="none"/>
              </w:rPr>
            </w:pPr>
            <w:r>
              <w:rPr>
                <w:rFonts w:hint="eastAsia" w:ascii="宋体" w:hAnsi="宋体" w:eastAsia="宋体" w:cs="宋体"/>
                <w:b/>
                <w:bCs/>
                <w:snapToGrid w:val="0"/>
                <w:color w:val="auto"/>
                <w:spacing w:val="-4"/>
                <w:sz w:val="21"/>
                <w:szCs w:val="21"/>
                <w:highlight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widowControl w:val="0"/>
              <w:adjustRightInd w:val="0"/>
              <w:snapToGrid w:val="0"/>
              <w:ind w:left="622" w:hanging="622"/>
              <w:contextualSpacing/>
              <w:jc w:val="center"/>
              <w:rPr>
                <w:rFonts w:hint="eastAsia" w:ascii="宋体" w:hAnsi="宋体" w:eastAsia="宋体" w:cs="宋体"/>
                <w:snapToGrid w:val="0"/>
                <w:color w:val="auto"/>
                <w:spacing w:val="-4"/>
                <w:sz w:val="21"/>
                <w:szCs w:val="21"/>
                <w:highlight w:val="none"/>
              </w:rPr>
            </w:pPr>
            <w:r>
              <w:rPr>
                <w:rFonts w:hint="eastAsia" w:ascii="宋体" w:hAnsi="宋体" w:eastAsia="宋体" w:cs="宋体"/>
                <w:snapToGrid w:val="0"/>
                <w:color w:val="auto"/>
                <w:spacing w:val="-4"/>
                <w:sz w:val="21"/>
                <w:szCs w:val="21"/>
                <w:highlight w:val="none"/>
              </w:rPr>
              <w:t>停车场标识及设施</w:t>
            </w:r>
          </w:p>
        </w:tc>
        <w:tc>
          <w:tcPr>
            <w:tcW w:w="7193" w:type="dxa"/>
            <w:vAlign w:val="center"/>
          </w:tcPr>
          <w:p>
            <w:pPr>
              <w:pStyle w:val="48"/>
              <w:widowControl w:val="0"/>
              <w:numPr>
                <w:ilvl w:val="0"/>
                <w:numId w:val="0"/>
              </w:numPr>
              <w:ind w:leftChars="0" w:right="-20"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1.</w:t>
            </w:r>
            <w:r>
              <w:rPr>
                <w:rFonts w:hint="eastAsia" w:ascii="宋体" w:hAnsi="宋体" w:eastAsia="宋体" w:cs="宋体"/>
                <w:color w:val="auto"/>
                <w:kern w:val="0"/>
                <w:position w:val="-1"/>
                <w:sz w:val="21"/>
                <w:szCs w:val="21"/>
                <w:highlight w:val="none"/>
              </w:rPr>
              <w:t>停车场应在明显位置设置安全防盗提示、价格公示标志牌。设置交通标识、画车位线、车位号标识；</w:t>
            </w:r>
          </w:p>
          <w:p>
            <w:pPr>
              <w:pStyle w:val="48"/>
              <w:widowControl w:val="0"/>
              <w:numPr>
                <w:ilvl w:val="0"/>
                <w:numId w:val="0"/>
              </w:numPr>
              <w:ind w:leftChars="0" w:right="-20"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2.</w:t>
            </w:r>
            <w:r>
              <w:rPr>
                <w:rFonts w:hint="eastAsia" w:ascii="宋体" w:hAnsi="宋体" w:eastAsia="宋体" w:cs="宋体"/>
                <w:color w:val="auto"/>
                <w:kern w:val="0"/>
                <w:position w:val="-1"/>
                <w:sz w:val="21"/>
                <w:szCs w:val="21"/>
                <w:highlight w:val="none"/>
              </w:rPr>
              <w:t>道路及停车场合适位置应设置禁停、限速、限高、导向、分道行驶、 转向等交通标识，须有车流导向线；</w:t>
            </w:r>
          </w:p>
          <w:p>
            <w:pPr>
              <w:pStyle w:val="48"/>
              <w:widowControl w:val="0"/>
              <w:numPr>
                <w:ilvl w:val="0"/>
                <w:numId w:val="0"/>
              </w:numPr>
              <w:ind w:leftChars="0" w:right="-20"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3.</w:t>
            </w:r>
            <w:r>
              <w:rPr>
                <w:rFonts w:hint="eastAsia" w:ascii="宋体" w:hAnsi="宋体" w:eastAsia="宋体" w:cs="宋体"/>
                <w:color w:val="auto"/>
                <w:kern w:val="0"/>
                <w:position w:val="-1"/>
                <w:sz w:val="21"/>
                <w:szCs w:val="21"/>
                <w:highlight w:val="none"/>
              </w:rPr>
              <w:t>在不同路段设置导向、分道行驶、限速、转向、禁鸣、禁止驶入等标识；</w:t>
            </w:r>
          </w:p>
          <w:p>
            <w:pPr>
              <w:pStyle w:val="48"/>
              <w:widowControl w:val="0"/>
              <w:numPr>
                <w:ilvl w:val="0"/>
                <w:numId w:val="0"/>
              </w:numPr>
              <w:ind w:leftChars="0" w:right="-20" w:rightChars="0"/>
              <w:jc w:val="both"/>
              <w:rPr>
                <w:rFonts w:hint="eastAsia" w:ascii="宋体" w:hAnsi="宋体" w:eastAsia="宋体" w:cs="宋体"/>
                <w:snapToGrid w:val="0"/>
                <w:color w:val="auto"/>
                <w:spacing w:val="-4"/>
                <w:kern w:val="0"/>
                <w:sz w:val="21"/>
                <w:szCs w:val="21"/>
                <w:highlight w:val="none"/>
              </w:rPr>
            </w:pPr>
            <w:r>
              <w:rPr>
                <w:rFonts w:hint="eastAsia" w:ascii="宋体" w:hAnsi="宋体" w:eastAsia="宋体" w:cs="宋体"/>
                <w:color w:val="auto"/>
                <w:kern w:val="0"/>
                <w:position w:val="-1"/>
                <w:sz w:val="21"/>
                <w:szCs w:val="21"/>
                <w:highlight w:val="none"/>
                <w:lang w:val="en-US" w:eastAsia="zh-CN"/>
              </w:rPr>
              <w:t>4.</w:t>
            </w:r>
            <w:r>
              <w:rPr>
                <w:rFonts w:hint="eastAsia" w:ascii="宋体" w:hAnsi="宋体" w:eastAsia="宋体" w:cs="宋体"/>
                <w:color w:val="auto"/>
                <w:kern w:val="0"/>
                <w:position w:val="-1"/>
                <w:sz w:val="21"/>
                <w:szCs w:val="21"/>
                <w:highlight w:val="none"/>
              </w:rPr>
              <w:t>在危险、弯道路段和必要的地方，设置警示牌和减速带；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093" w:type="dxa"/>
            <w:vAlign w:val="center"/>
          </w:tcPr>
          <w:p>
            <w:pPr>
              <w:widowControl w:val="0"/>
              <w:adjustRightInd w:val="0"/>
              <w:snapToGrid w:val="0"/>
              <w:ind w:left="622" w:hanging="622"/>
              <w:contextualSpacing/>
              <w:jc w:val="center"/>
              <w:rPr>
                <w:rFonts w:hint="eastAsia" w:ascii="宋体" w:hAnsi="宋体" w:eastAsia="宋体" w:cs="宋体"/>
                <w:snapToGrid w:val="0"/>
                <w:color w:val="auto"/>
                <w:spacing w:val="-4"/>
                <w:sz w:val="21"/>
                <w:szCs w:val="21"/>
                <w:highlight w:val="none"/>
              </w:rPr>
            </w:pPr>
            <w:r>
              <w:rPr>
                <w:rFonts w:hint="eastAsia" w:ascii="宋体" w:hAnsi="宋体" w:eastAsia="宋体" w:cs="宋体"/>
                <w:snapToGrid w:val="0"/>
                <w:color w:val="auto"/>
                <w:spacing w:val="-4"/>
                <w:sz w:val="21"/>
                <w:szCs w:val="21"/>
                <w:highlight w:val="none"/>
              </w:rPr>
              <w:t>停车场照明</w:t>
            </w:r>
          </w:p>
        </w:tc>
        <w:tc>
          <w:tcPr>
            <w:tcW w:w="7193" w:type="dxa"/>
            <w:vAlign w:val="center"/>
          </w:tcPr>
          <w:p>
            <w:pPr>
              <w:pStyle w:val="48"/>
              <w:widowControl w:val="0"/>
              <w:numPr>
                <w:ilvl w:val="0"/>
                <w:numId w:val="0"/>
              </w:numPr>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rPr>
              <w:t>照明灯具配套齐全，灯具完好无损，开关灵活，照明正常；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Align w:val="center"/>
          </w:tcPr>
          <w:p>
            <w:pPr>
              <w:widowControl w:val="0"/>
              <w:adjustRightInd w:val="0"/>
              <w:snapToGrid w:val="0"/>
              <w:ind w:left="622" w:hanging="622"/>
              <w:contextualSpacing/>
              <w:jc w:val="center"/>
              <w:rPr>
                <w:rFonts w:hint="eastAsia" w:ascii="宋体" w:hAnsi="宋体" w:eastAsia="宋体" w:cs="宋体"/>
                <w:snapToGrid w:val="0"/>
                <w:color w:val="auto"/>
                <w:spacing w:val="-4"/>
                <w:sz w:val="21"/>
                <w:szCs w:val="21"/>
                <w:highlight w:val="none"/>
              </w:rPr>
            </w:pPr>
            <w:r>
              <w:rPr>
                <w:rFonts w:hint="eastAsia" w:ascii="宋体" w:hAnsi="宋体" w:eastAsia="宋体" w:cs="宋体"/>
                <w:snapToGrid w:val="0"/>
                <w:color w:val="auto"/>
                <w:spacing w:val="-4"/>
                <w:sz w:val="21"/>
                <w:szCs w:val="21"/>
                <w:highlight w:val="none"/>
              </w:rPr>
              <w:t>出入口设备配置</w:t>
            </w:r>
          </w:p>
        </w:tc>
        <w:tc>
          <w:tcPr>
            <w:tcW w:w="7193" w:type="dxa"/>
            <w:vAlign w:val="center"/>
          </w:tcPr>
          <w:p>
            <w:pPr>
              <w:pStyle w:val="48"/>
              <w:widowControl w:val="0"/>
              <w:numPr>
                <w:ilvl w:val="0"/>
                <w:numId w:val="0"/>
              </w:numPr>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1.</w:t>
            </w:r>
            <w:r>
              <w:rPr>
                <w:rFonts w:hint="eastAsia" w:ascii="宋体" w:hAnsi="宋体" w:eastAsia="宋体" w:cs="宋体"/>
                <w:color w:val="auto"/>
                <w:kern w:val="0"/>
                <w:position w:val="-1"/>
                <w:sz w:val="21"/>
                <w:szCs w:val="21"/>
                <w:highlight w:val="none"/>
              </w:rPr>
              <w:t>停车场管理系统</w:t>
            </w:r>
            <w:r>
              <w:rPr>
                <w:rFonts w:hint="eastAsia" w:ascii="宋体" w:hAnsi="宋体" w:eastAsia="宋体" w:cs="宋体"/>
                <w:color w:val="auto"/>
                <w:kern w:val="0"/>
                <w:position w:val="-1"/>
                <w:sz w:val="21"/>
                <w:szCs w:val="21"/>
                <w:highlight w:val="none"/>
                <w:lang w:val="en-US" w:eastAsia="zh-CN"/>
              </w:rPr>
              <w:t>道闸、</w:t>
            </w:r>
            <w:r>
              <w:rPr>
                <w:rFonts w:hint="eastAsia" w:ascii="宋体" w:hAnsi="宋体" w:eastAsia="宋体" w:cs="宋体"/>
                <w:color w:val="auto"/>
                <w:kern w:val="0"/>
                <w:position w:val="-1"/>
                <w:sz w:val="21"/>
                <w:szCs w:val="21"/>
                <w:highlight w:val="none"/>
              </w:rPr>
              <w:t>主机、</w:t>
            </w:r>
            <w:r>
              <w:rPr>
                <w:rFonts w:hint="eastAsia" w:ascii="宋体" w:hAnsi="宋体" w:eastAsia="宋体" w:cs="宋体"/>
                <w:color w:val="auto"/>
                <w:kern w:val="0"/>
                <w:position w:val="-1"/>
                <w:sz w:val="21"/>
                <w:szCs w:val="21"/>
                <w:highlight w:val="none"/>
                <w:lang w:val="en-US" w:eastAsia="zh-CN"/>
              </w:rPr>
              <w:t>监控、</w:t>
            </w:r>
            <w:r>
              <w:rPr>
                <w:rFonts w:hint="eastAsia" w:ascii="宋体" w:hAnsi="宋体" w:eastAsia="宋体" w:cs="宋体"/>
                <w:color w:val="auto"/>
                <w:kern w:val="0"/>
                <w:position w:val="-1"/>
                <w:sz w:val="21"/>
                <w:szCs w:val="21"/>
                <w:highlight w:val="none"/>
              </w:rPr>
              <w:t>探测器灵敏可靠；</w:t>
            </w:r>
          </w:p>
          <w:p>
            <w:pPr>
              <w:pStyle w:val="48"/>
              <w:widowControl w:val="0"/>
              <w:numPr>
                <w:ilvl w:val="0"/>
                <w:numId w:val="0"/>
              </w:numPr>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2.</w:t>
            </w:r>
            <w:r>
              <w:rPr>
                <w:rFonts w:hint="eastAsia" w:ascii="宋体" w:hAnsi="宋体" w:eastAsia="宋体" w:cs="宋体"/>
                <w:color w:val="auto"/>
                <w:kern w:val="0"/>
                <w:position w:val="-1"/>
                <w:sz w:val="21"/>
                <w:szCs w:val="21"/>
                <w:highlight w:val="none"/>
              </w:rPr>
              <w:t>停车场出入口处应安装用于车辆图像对比的监控镜头，为了能够有效实施图像对比，镜头需要调整到合适位置（确保清晰拍摄到车牌号），辅以补光措施，保障白天和夜间摄像效果良好；</w:t>
            </w:r>
          </w:p>
          <w:p>
            <w:pPr>
              <w:pStyle w:val="48"/>
              <w:widowControl w:val="0"/>
              <w:numPr>
                <w:ilvl w:val="0"/>
                <w:numId w:val="0"/>
              </w:numPr>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3.</w:t>
            </w:r>
            <w:r>
              <w:rPr>
                <w:rFonts w:hint="eastAsia" w:ascii="宋体" w:hAnsi="宋体" w:eastAsia="宋体" w:cs="宋体"/>
                <w:color w:val="auto"/>
                <w:kern w:val="0"/>
                <w:position w:val="-1"/>
                <w:sz w:val="21"/>
                <w:szCs w:val="21"/>
                <w:highlight w:val="none"/>
              </w:rPr>
              <w:t>在出入口合适位置标明停车处，停车处使用车位框在地面标出并保持清晰醒目。停车位置的设置必须便于发卡、收费，能够清晰拍摄到车头情况并显示车牌；</w:t>
            </w:r>
          </w:p>
          <w:p>
            <w:pPr>
              <w:pStyle w:val="48"/>
              <w:widowControl w:val="0"/>
              <w:numPr>
                <w:ilvl w:val="0"/>
                <w:numId w:val="0"/>
              </w:numPr>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4.</w:t>
            </w:r>
            <w:r>
              <w:rPr>
                <w:rFonts w:hint="eastAsia" w:ascii="宋体" w:hAnsi="宋体" w:eastAsia="宋体" w:cs="宋体"/>
                <w:color w:val="auto"/>
                <w:kern w:val="0"/>
                <w:position w:val="-1"/>
                <w:sz w:val="21"/>
                <w:szCs w:val="21"/>
                <w:highlight w:val="none"/>
              </w:rPr>
              <w:t>在停车场出入口以及岗亭内应安装监控镜头，确保能够清楚的监控到安全员发卡及收费行为、电脑设备使用情况、废票箱及钱票存放处位置、车道情况。</w:t>
            </w:r>
          </w:p>
        </w:tc>
      </w:tr>
    </w:tbl>
    <w:p>
      <w:pPr>
        <w:ind w:left="-680" w:leftChars="-324" w:firstLine="632" w:firstLineChars="300"/>
        <w:outlineLvl w:val="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管理要求</w:t>
      </w:r>
    </w:p>
    <w:tbl>
      <w:tblPr>
        <w:tblStyle w:val="2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7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ind w:left="651" w:hanging="651"/>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项目</w:t>
            </w:r>
          </w:p>
        </w:tc>
        <w:tc>
          <w:tcPr>
            <w:tcW w:w="7174" w:type="dxa"/>
            <w:vAlign w:val="center"/>
          </w:tcPr>
          <w:p>
            <w:pPr>
              <w:widowControl w:val="0"/>
              <w:ind w:left="651" w:hanging="651"/>
              <w:jc w:val="center"/>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12" w:type="dxa"/>
            <w:vAlign w:val="center"/>
          </w:tcPr>
          <w:p>
            <w:pPr>
              <w:widowControl w:val="0"/>
              <w:ind w:left="648" w:hanging="648"/>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制度/资质</w:t>
            </w:r>
          </w:p>
        </w:tc>
        <w:tc>
          <w:tcPr>
            <w:tcW w:w="7174" w:type="dxa"/>
            <w:vAlign w:val="top"/>
          </w:tcPr>
          <w:p>
            <w:pPr>
              <w:pStyle w:val="48"/>
              <w:widowControl w:val="0"/>
              <w:numPr>
                <w:ilvl w:val="0"/>
                <w:numId w:val="0"/>
              </w:numPr>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1.</w:t>
            </w:r>
            <w:r>
              <w:rPr>
                <w:rFonts w:hint="eastAsia" w:ascii="宋体" w:hAnsi="宋体" w:eastAsia="宋体" w:cs="宋体"/>
                <w:color w:val="auto"/>
                <w:kern w:val="0"/>
                <w:position w:val="-1"/>
                <w:sz w:val="21"/>
                <w:szCs w:val="21"/>
                <w:highlight w:val="none"/>
              </w:rPr>
              <w:t>物业公司应根据本制度的要求，结合停车场的实际情况编制管理服务区域的停车场管理细则，对停车场管理工作要求、实施方法、防范措施</w:t>
            </w:r>
            <w:r>
              <w:rPr>
                <w:rFonts w:hint="eastAsia" w:ascii="宋体" w:hAnsi="宋体" w:eastAsia="宋体" w:cs="宋体"/>
                <w:color w:val="auto"/>
                <w:kern w:val="0"/>
                <w:position w:val="-1"/>
                <w:sz w:val="21"/>
                <w:szCs w:val="21"/>
                <w:highlight w:val="none"/>
                <w:lang w:val="en-US" w:eastAsia="zh-CN"/>
              </w:rPr>
              <w:t>作</w:t>
            </w:r>
            <w:r>
              <w:rPr>
                <w:rFonts w:hint="eastAsia" w:ascii="宋体" w:hAnsi="宋体" w:eastAsia="宋体" w:cs="宋体"/>
                <w:color w:val="auto"/>
                <w:kern w:val="0"/>
                <w:position w:val="-1"/>
                <w:sz w:val="21"/>
                <w:szCs w:val="21"/>
                <w:highlight w:val="none"/>
              </w:rPr>
              <w:t>详细规定；</w:t>
            </w:r>
          </w:p>
          <w:p>
            <w:pPr>
              <w:pStyle w:val="48"/>
              <w:widowControl w:val="0"/>
              <w:numPr>
                <w:ilvl w:val="0"/>
                <w:numId w:val="0"/>
              </w:numPr>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2.</w:t>
            </w:r>
            <w:r>
              <w:rPr>
                <w:rFonts w:hint="eastAsia" w:ascii="宋体" w:hAnsi="宋体" w:eastAsia="宋体" w:cs="宋体"/>
                <w:color w:val="auto"/>
                <w:kern w:val="0"/>
                <w:position w:val="-1"/>
                <w:sz w:val="21"/>
                <w:szCs w:val="21"/>
                <w:highlight w:val="none"/>
              </w:rPr>
              <w:t>出入口应设置收费公示牌，</w:t>
            </w:r>
            <w:r>
              <w:rPr>
                <w:rFonts w:hint="eastAsia" w:ascii="宋体" w:hAnsi="宋体" w:eastAsia="宋体" w:cs="宋体"/>
                <w:color w:val="auto"/>
                <w:kern w:val="0"/>
                <w:position w:val="-1"/>
                <w:sz w:val="21"/>
                <w:szCs w:val="21"/>
                <w:highlight w:val="none"/>
                <w:lang w:val="en-US" w:eastAsia="zh-CN"/>
              </w:rPr>
              <w:t>管理公司需</w:t>
            </w:r>
            <w:r>
              <w:rPr>
                <w:rFonts w:hint="eastAsia" w:ascii="宋体" w:hAnsi="宋体" w:eastAsia="宋体" w:cs="宋体"/>
                <w:color w:val="auto"/>
                <w:kern w:val="0"/>
                <w:position w:val="-1"/>
                <w:sz w:val="21"/>
                <w:szCs w:val="21"/>
                <w:highlight w:val="none"/>
              </w:rPr>
              <w:t>购买停车场</w:t>
            </w:r>
            <w:r>
              <w:rPr>
                <w:rFonts w:hint="eastAsia" w:ascii="宋体" w:hAnsi="宋体" w:eastAsia="宋体" w:cs="宋体"/>
                <w:color w:val="auto"/>
                <w:kern w:val="0"/>
                <w:position w:val="-1"/>
                <w:sz w:val="21"/>
                <w:szCs w:val="21"/>
                <w:highlight w:val="none"/>
                <w:lang w:val="en-US" w:eastAsia="zh-CN"/>
              </w:rPr>
              <w:t>公众</w:t>
            </w:r>
            <w:r>
              <w:rPr>
                <w:rFonts w:hint="eastAsia" w:ascii="宋体" w:hAnsi="宋体" w:eastAsia="宋体" w:cs="宋体"/>
                <w:color w:val="auto"/>
                <w:kern w:val="0"/>
                <w:position w:val="-1"/>
                <w:sz w:val="21"/>
                <w:szCs w:val="21"/>
                <w:highlight w:val="none"/>
              </w:rPr>
              <w:t>责任险。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pacing w:after="120"/>
              <w:ind w:left="648" w:hanging="648"/>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车辆入、</w:t>
            </w:r>
            <w:r>
              <w:rPr>
                <w:rFonts w:hint="eastAsia" w:ascii="宋体" w:hAnsi="宋体" w:eastAsia="宋体" w:cs="宋体"/>
                <w:snapToGrid w:val="0"/>
                <w:color w:val="auto"/>
                <w:sz w:val="21"/>
                <w:szCs w:val="21"/>
                <w:highlight w:val="none"/>
                <w:lang w:val="en-US"/>
              </w:rPr>
              <w:t>出</w:t>
            </w:r>
            <w:r>
              <w:rPr>
                <w:rFonts w:hint="eastAsia" w:ascii="宋体" w:hAnsi="宋体" w:eastAsia="宋体" w:cs="宋体"/>
                <w:snapToGrid w:val="0"/>
                <w:color w:val="auto"/>
                <w:sz w:val="21"/>
                <w:szCs w:val="21"/>
                <w:highlight w:val="none"/>
              </w:rPr>
              <w:t>场流程</w:t>
            </w:r>
          </w:p>
        </w:tc>
        <w:tc>
          <w:tcPr>
            <w:tcW w:w="7174" w:type="dxa"/>
            <w:vAlign w:val="top"/>
          </w:tcPr>
          <w:p>
            <w:pPr>
              <w:pStyle w:val="48"/>
              <w:widowControl w:val="0"/>
              <w:numPr>
                <w:ilvl w:val="0"/>
                <w:numId w:val="0"/>
              </w:numPr>
              <w:tabs>
                <w:tab w:val="left" w:pos="520"/>
              </w:tabs>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1.</w:t>
            </w:r>
            <w:r>
              <w:rPr>
                <w:rFonts w:hint="eastAsia" w:ascii="宋体" w:hAnsi="宋体" w:eastAsia="宋体" w:cs="宋体"/>
                <w:color w:val="auto"/>
                <w:kern w:val="0"/>
                <w:position w:val="-1"/>
                <w:sz w:val="21"/>
                <w:szCs w:val="21"/>
                <w:highlight w:val="none"/>
              </w:rPr>
              <w:t>车辆进出时，必须一车一卡，严禁在未办手续前将道闸打开；</w:t>
            </w:r>
          </w:p>
          <w:p>
            <w:pPr>
              <w:pStyle w:val="48"/>
              <w:widowControl w:val="0"/>
              <w:numPr>
                <w:ilvl w:val="0"/>
                <w:numId w:val="0"/>
              </w:numPr>
              <w:tabs>
                <w:tab w:val="left" w:pos="520"/>
              </w:tabs>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2.</w:t>
            </w:r>
            <w:r>
              <w:rPr>
                <w:rFonts w:hint="eastAsia" w:ascii="宋体" w:hAnsi="宋体" w:eastAsia="宋体" w:cs="宋体"/>
                <w:color w:val="auto"/>
                <w:kern w:val="0"/>
                <w:position w:val="-1"/>
                <w:sz w:val="21"/>
                <w:szCs w:val="21"/>
                <w:highlight w:val="none"/>
              </w:rPr>
              <w:t>公安、消防、救护、邮政、工程抢险、垃圾清运、部队车辆出场时凭证件进行登记，可免收停车费；</w:t>
            </w:r>
          </w:p>
          <w:p>
            <w:pPr>
              <w:pStyle w:val="48"/>
              <w:widowControl w:val="0"/>
              <w:numPr>
                <w:ilvl w:val="0"/>
                <w:numId w:val="0"/>
              </w:numPr>
              <w:tabs>
                <w:tab w:val="left" w:pos="520"/>
              </w:tabs>
              <w:ind w:leftChars="0" w:right="-20" w:rightChars="0"/>
              <w:jc w:val="left"/>
              <w:rPr>
                <w:rFonts w:hint="eastAsia" w:ascii="宋体" w:hAnsi="宋体" w:eastAsia="宋体" w:cs="宋体"/>
                <w:color w:val="auto"/>
                <w:kern w:val="0"/>
                <w:position w:val="-1"/>
                <w:sz w:val="21"/>
                <w:szCs w:val="21"/>
                <w:highlight w:val="none"/>
                <w:lang w:eastAsia="zh-CN"/>
              </w:rPr>
            </w:pPr>
            <w:r>
              <w:rPr>
                <w:rFonts w:hint="eastAsia" w:ascii="宋体" w:hAnsi="宋体" w:eastAsia="宋体" w:cs="宋体"/>
                <w:color w:val="auto"/>
                <w:kern w:val="0"/>
                <w:position w:val="-1"/>
                <w:sz w:val="21"/>
                <w:szCs w:val="21"/>
                <w:highlight w:val="none"/>
                <w:lang w:val="en-US" w:eastAsia="zh-CN"/>
              </w:rPr>
              <w:t>3.</w:t>
            </w:r>
            <w:r>
              <w:rPr>
                <w:rFonts w:hint="eastAsia" w:ascii="宋体" w:hAnsi="宋体" w:eastAsia="宋体" w:cs="宋体"/>
                <w:color w:val="auto"/>
                <w:kern w:val="0"/>
                <w:position w:val="-1"/>
                <w:sz w:val="21"/>
                <w:szCs w:val="21"/>
                <w:highlight w:val="none"/>
              </w:rPr>
              <w:t>政府部门、关系单位、公司内部等关系车辆出场时，如需免停车费必须经</w:t>
            </w:r>
            <w:r>
              <w:rPr>
                <w:rFonts w:hint="eastAsia" w:ascii="宋体" w:hAnsi="宋体" w:eastAsia="宋体" w:cs="宋体"/>
                <w:color w:val="auto"/>
                <w:kern w:val="0"/>
                <w:position w:val="-1"/>
                <w:sz w:val="21"/>
                <w:szCs w:val="21"/>
                <w:highlight w:val="none"/>
                <w:lang w:val="en-US" w:eastAsia="zh-CN"/>
              </w:rPr>
              <w:t>甲方确认</w:t>
            </w:r>
            <w:r>
              <w:rPr>
                <w:rFonts w:hint="eastAsia" w:ascii="宋体" w:hAnsi="宋体" w:eastAsia="宋体" w:cs="宋体"/>
                <w:color w:val="auto"/>
                <w:kern w:val="0"/>
                <w:position w:val="-1"/>
                <w:sz w:val="21"/>
                <w:szCs w:val="21"/>
                <w:highlight w:val="none"/>
              </w:rPr>
              <w:t>，确认</w:t>
            </w:r>
            <w:r>
              <w:rPr>
                <w:rFonts w:hint="eastAsia" w:ascii="宋体" w:hAnsi="宋体" w:eastAsia="宋体" w:cs="宋体"/>
                <w:color w:val="auto"/>
                <w:kern w:val="0"/>
                <w:position w:val="-1"/>
                <w:sz w:val="21"/>
                <w:szCs w:val="21"/>
                <w:highlight w:val="none"/>
                <w:lang w:val="en-US" w:eastAsia="zh-CN"/>
              </w:rPr>
              <w:t>后</w:t>
            </w:r>
            <w:r>
              <w:rPr>
                <w:rFonts w:hint="eastAsia" w:ascii="宋体" w:hAnsi="宋体" w:eastAsia="宋体" w:cs="宋体"/>
                <w:color w:val="auto"/>
                <w:kern w:val="0"/>
                <w:position w:val="-1"/>
                <w:sz w:val="21"/>
                <w:szCs w:val="21"/>
                <w:highlight w:val="none"/>
              </w:rPr>
              <w:t>才可放行车辆进出</w:t>
            </w:r>
            <w:r>
              <w:rPr>
                <w:rFonts w:hint="eastAsia" w:ascii="宋体" w:hAnsi="宋体" w:eastAsia="宋体" w:cs="宋体"/>
                <w:color w:val="auto"/>
                <w:kern w:val="0"/>
                <w:position w:val="-1"/>
                <w:sz w:val="21"/>
                <w:szCs w:val="21"/>
                <w:highlight w:val="none"/>
                <w:lang w:eastAsia="zh-CN"/>
              </w:rPr>
              <w:t>。</w:t>
            </w:r>
          </w:p>
          <w:p>
            <w:pPr>
              <w:pStyle w:val="48"/>
              <w:widowControl w:val="0"/>
              <w:numPr>
                <w:ilvl w:val="0"/>
                <w:numId w:val="0"/>
              </w:numPr>
              <w:tabs>
                <w:tab w:val="left" w:pos="520"/>
              </w:tabs>
              <w:ind w:leftChars="0" w:right="-20"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4.</w:t>
            </w:r>
            <w:r>
              <w:rPr>
                <w:rFonts w:hint="eastAsia" w:ascii="宋体" w:hAnsi="宋体" w:eastAsia="宋体" w:cs="宋体"/>
                <w:color w:val="auto"/>
                <w:kern w:val="0"/>
                <w:position w:val="-1"/>
                <w:sz w:val="21"/>
                <w:szCs w:val="21"/>
                <w:highlight w:val="none"/>
              </w:rPr>
              <w:t>高峰期应在出入口增加岗位人员，加快车辆流通速度，防止大量车辆滞留。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center"/>
          </w:tcPr>
          <w:p>
            <w:pPr>
              <w:widowControl w:val="0"/>
              <w:spacing w:after="120"/>
              <w:ind w:left="648" w:hanging="648"/>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异常情况处理</w:t>
            </w:r>
          </w:p>
        </w:tc>
        <w:tc>
          <w:tcPr>
            <w:tcW w:w="7174" w:type="dxa"/>
            <w:vAlign w:val="top"/>
          </w:tcPr>
          <w:p>
            <w:pPr>
              <w:pStyle w:val="48"/>
              <w:widowControl w:val="0"/>
              <w:numPr>
                <w:ilvl w:val="0"/>
                <w:numId w:val="0"/>
              </w:numPr>
              <w:tabs>
                <w:tab w:val="left" w:pos="1160"/>
                <w:tab w:val="left" w:pos="1580"/>
              </w:tabs>
              <w:spacing w:before="56"/>
              <w:ind w:leftChars="0" w:right="18"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1.</w:t>
            </w:r>
            <w:r>
              <w:rPr>
                <w:rFonts w:hint="eastAsia" w:ascii="宋体" w:hAnsi="宋体" w:eastAsia="宋体" w:cs="宋体"/>
                <w:color w:val="auto"/>
                <w:kern w:val="0"/>
                <w:position w:val="-1"/>
                <w:sz w:val="21"/>
                <w:szCs w:val="21"/>
                <w:highlight w:val="none"/>
              </w:rPr>
              <w:t>如发生车辆冲岗、从入口绕行等可疑情况，应首先在确保保安员人身安全的前提,设法截阻车辆，同时记住其车牌号码并第一时间报告</w:t>
            </w:r>
            <w:r>
              <w:rPr>
                <w:rFonts w:hint="eastAsia" w:ascii="宋体" w:hAnsi="宋体" w:eastAsia="宋体" w:cs="宋体"/>
                <w:color w:val="auto"/>
                <w:kern w:val="0"/>
                <w:position w:val="-1"/>
                <w:sz w:val="21"/>
                <w:szCs w:val="21"/>
                <w:highlight w:val="none"/>
                <w:lang w:val="en-US" w:eastAsia="zh-CN"/>
              </w:rPr>
              <w:t>甲方</w:t>
            </w:r>
            <w:r>
              <w:rPr>
                <w:rFonts w:hint="eastAsia" w:ascii="宋体" w:hAnsi="宋体" w:eastAsia="宋体" w:cs="宋体"/>
                <w:color w:val="auto"/>
                <w:kern w:val="0"/>
                <w:position w:val="-1"/>
                <w:sz w:val="21"/>
                <w:szCs w:val="21"/>
                <w:highlight w:val="none"/>
              </w:rPr>
              <w:t>处理；</w:t>
            </w:r>
          </w:p>
          <w:p>
            <w:pPr>
              <w:pStyle w:val="48"/>
              <w:widowControl w:val="0"/>
              <w:numPr>
                <w:ilvl w:val="0"/>
                <w:numId w:val="0"/>
              </w:numPr>
              <w:tabs>
                <w:tab w:val="left" w:pos="1160"/>
                <w:tab w:val="left" w:pos="1580"/>
              </w:tabs>
              <w:spacing w:before="56"/>
              <w:ind w:leftChars="0" w:right="18"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2.</w:t>
            </w:r>
            <w:r>
              <w:rPr>
                <w:rFonts w:hint="eastAsia" w:ascii="宋体" w:hAnsi="宋体" w:eastAsia="宋体" w:cs="宋体"/>
                <w:color w:val="auto"/>
                <w:kern w:val="0"/>
                <w:position w:val="-1"/>
                <w:sz w:val="21"/>
                <w:szCs w:val="21"/>
                <w:highlight w:val="none"/>
              </w:rPr>
              <w:t>车场内交通事故等意外情况的处理，</w:t>
            </w:r>
            <w:r>
              <w:rPr>
                <w:rFonts w:hint="eastAsia" w:ascii="宋体" w:hAnsi="宋体" w:eastAsia="宋体" w:cs="宋体"/>
                <w:color w:val="auto"/>
                <w:kern w:val="0"/>
                <w:position w:val="-1"/>
                <w:sz w:val="21"/>
                <w:szCs w:val="21"/>
                <w:highlight w:val="none"/>
                <w:lang w:val="en-US" w:eastAsia="zh-CN"/>
              </w:rPr>
              <w:t>需及时通知甲方</w:t>
            </w:r>
            <w:r>
              <w:rPr>
                <w:rFonts w:hint="eastAsia" w:ascii="宋体" w:hAnsi="宋体" w:eastAsia="宋体" w:cs="宋体"/>
                <w:color w:val="auto"/>
                <w:kern w:val="0"/>
                <w:position w:val="-1"/>
                <w:sz w:val="21"/>
                <w:szCs w:val="21"/>
                <w:highlight w:val="none"/>
              </w:rPr>
              <w:t>；</w:t>
            </w:r>
          </w:p>
          <w:p>
            <w:pPr>
              <w:pStyle w:val="48"/>
              <w:widowControl w:val="0"/>
              <w:numPr>
                <w:ilvl w:val="0"/>
                <w:numId w:val="0"/>
              </w:numPr>
              <w:tabs>
                <w:tab w:val="left" w:pos="1160"/>
                <w:tab w:val="left" w:pos="1580"/>
              </w:tabs>
              <w:spacing w:before="56"/>
              <w:ind w:leftChars="0" w:right="18" w:rightChars="0"/>
              <w:jc w:val="left"/>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3.</w:t>
            </w:r>
            <w:r>
              <w:rPr>
                <w:rFonts w:hint="eastAsia" w:ascii="宋体" w:hAnsi="宋体" w:eastAsia="宋体" w:cs="宋体"/>
                <w:color w:val="auto"/>
                <w:kern w:val="0"/>
                <w:position w:val="-1"/>
                <w:sz w:val="21"/>
                <w:szCs w:val="21"/>
                <w:highlight w:val="none"/>
              </w:rPr>
              <w:t>临时停车卡遗失要出场应先核对行驶证与车辆是否一致，再将车辆驾驶人有效证件号码和姓名登记在《车辆出入异常情况登记表》，由驾驶人签名确认。在系统中输入车牌号码查询入场时间，按照系统规定收费标准收费外加收取临时卡工本费后放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112" w:type="dxa"/>
            <w:vAlign w:val="center"/>
          </w:tcPr>
          <w:p>
            <w:pPr>
              <w:widowControl w:val="0"/>
              <w:spacing w:after="120"/>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停车场行车、</w:t>
            </w:r>
          </w:p>
          <w:p>
            <w:pPr>
              <w:widowControl w:val="0"/>
              <w:spacing w:after="120"/>
              <w:ind w:firstLine="0" w:firstLineChars="0"/>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安全管控</w:t>
            </w:r>
          </w:p>
        </w:tc>
        <w:tc>
          <w:tcPr>
            <w:tcW w:w="7174" w:type="dxa"/>
            <w:vAlign w:val="top"/>
          </w:tcPr>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1.</w:t>
            </w:r>
            <w:r>
              <w:rPr>
                <w:rFonts w:hint="eastAsia" w:ascii="宋体" w:hAnsi="宋体" w:eastAsia="宋体" w:cs="宋体"/>
                <w:color w:val="auto"/>
                <w:kern w:val="0"/>
                <w:position w:val="-1"/>
                <w:sz w:val="21"/>
                <w:szCs w:val="21"/>
                <w:highlight w:val="none"/>
              </w:rPr>
              <w:t>车流量大的双向行驶的路段，应在道路中间设置隔离桩、隔离带，防止车辆逆行造成交通拥堵。发现车辆有逆行等违章行为时，应及时叫停并提醒驾车人遵守交通规则。；</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2.</w:t>
            </w:r>
            <w:r>
              <w:rPr>
                <w:rFonts w:hint="eastAsia" w:ascii="宋体" w:hAnsi="宋体" w:eastAsia="宋体" w:cs="宋体"/>
                <w:color w:val="auto"/>
                <w:kern w:val="0"/>
                <w:position w:val="-1"/>
                <w:sz w:val="21"/>
                <w:szCs w:val="21"/>
                <w:highlight w:val="none"/>
              </w:rPr>
              <w:t>发现车辆装载出现不卫生、不牢固、超高、超宽等倾向时应予指正；</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3.</w:t>
            </w:r>
            <w:r>
              <w:rPr>
                <w:rFonts w:hint="eastAsia" w:ascii="宋体" w:hAnsi="宋体" w:eastAsia="宋体" w:cs="宋体"/>
                <w:color w:val="auto"/>
                <w:kern w:val="0"/>
                <w:position w:val="-1"/>
                <w:sz w:val="21"/>
                <w:szCs w:val="21"/>
                <w:highlight w:val="none"/>
              </w:rPr>
              <w:t>行驶过程中可能对行人或道路设施产生破坏的违章装载车辆，应及时叫停并要求改正；</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4.</w:t>
            </w:r>
            <w:r>
              <w:rPr>
                <w:rFonts w:hint="eastAsia" w:ascii="宋体" w:hAnsi="宋体" w:eastAsia="宋体" w:cs="宋体"/>
                <w:color w:val="auto"/>
                <w:kern w:val="0"/>
                <w:position w:val="-1"/>
                <w:sz w:val="21"/>
                <w:szCs w:val="21"/>
                <w:highlight w:val="none"/>
              </w:rPr>
              <w:t>早晨高峰期，主要路口位置或容易发生交通堵塞的位置，应有安全员指挥交通，引导车辆从比较宽敞的道路行驶以及从车流量较少的入口</w:t>
            </w:r>
            <w:r>
              <w:rPr>
                <w:rFonts w:hint="eastAsia" w:ascii="宋体" w:hAnsi="宋体" w:eastAsia="宋体" w:cs="宋体"/>
                <w:color w:val="auto"/>
                <w:kern w:val="0"/>
                <w:position w:val="-1"/>
                <w:sz w:val="21"/>
                <w:szCs w:val="21"/>
                <w:highlight w:val="none"/>
                <w:lang w:val="en-US" w:eastAsia="zh-CN"/>
              </w:rPr>
              <w:t>进入</w:t>
            </w:r>
            <w:r>
              <w:rPr>
                <w:rFonts w:hint="eastAsia" w:ascii="宋体" w:hAnsi="宋体" w:eastAsia="宋体" w:cs="宋体"/>
                <w:color w:val="auto"/>
                <w:kern w:val="0"/>
                <w:position w:val="-1"/>
                <w:sz w:val="21"/>
                <w:szCs w:val="21"/>
                <w:highlight w:val="none"/>
              </w:rPr>
              <w:t>，指挥交通的安全员需要与其他路口安全员、车场出入口安全员保持密切沟通，随时了解道路和出入口通畅情况，有效引导车辆。监控中心应该起到交通信息传递和播报的作用，以协助现场安全员灵活指挥；</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5.</w:t>
            </w:r>
            <w:r>
              <w:rPr>
                <w:rFonts w:hint="eastAsia" w:ascii="宋体" w:hAnsi="宋体" w:eastAsia="宋体" w:cs="宋体"/>
                <w:color w:val="auto"/>
                <w:kern w:val="0"/>
                <w:position w:val="-1"/>
                <w:sz w:val="21"/>
                <w:szCs w:val="21"/>
                <w:highlight w:val="none"/>
              </w:rPr>
              <w:t>安全员不允许提供代客泊车服务，如个别项目因业务需求需要提供代客泊车服务的，须报物业事业本部批准，并建立严格的管理制度；</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6.</w:t>
            </w:r>
            <w:r>
              <w:rPr>
                <w:rFonts w:hint="eastAsia" w:ascii="宋体" w:hAnsi="宋体" w:eastAsia="宋体" w:cs="宋体"/>
                <w:color w:val="auto"/>
                <w:kern w:val="0"/>
                <w:position w:val="-1"/>
                <w:sz w:val="21"/>
                <w:szCs w:val="21"/>
                <w:highlight w:val="none"/>
              </w:rPr>
              <w:t>安全员巡逻过程中遇到客户停车较困难时应协助指挥，车辆停稳以后应提醒驾车人，关好门窗、随身携带停放凭证和贵重物品；</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7.</w:t>
            </w:r>
            <w:r>
              <w:rPr>
                <w:rFonts w:hint="eastAsia" w:ascii="宋体" w:hAnsi="宋体" w:eastAsia="宋体" w:cs="宋体"/>
                <w:color w:val="auto"/>
                <w:kern w:val="0"/>
                <w:position w:val="-1"/>
                <w:sz w:val="21"/>
                <w:szCs w:val="21"/>
                <w:highlight w:val="none"/>
              </w:rPr>
              <w:t>发现车辆未关闭门窗的情况，应及时将车牌号告知监控中心或客服部，请其查找该车辆是否为</w:t>
            </w:r>
            <w:r>
              <w:rPr>
                <w:rFonts w:hint="eastAsia" w:ascii="宋体" w:hAnsi="宋体" w:eastAsia="宋体" w:cs="宋体"/>
                <w:color w:val="auto"/>
                <w:kern w:val="0"/>
                <w:position w:val="-1"/>
                <w:sz w:val="21"/>
                <w:szCs w:val="21"/>
                <w:highlight w:val="none"/>
                <w:lang w:val="en-US" w:eastAsia="zh-CN"/>
              </w:rPr>
              <w:t>园区</w:t>
            </w:r>
            <w:r>
              <w:rPr>
                <w:rFonts w:hint="eastAsia" w:ascii="宋体" w:hAnsi="宋体" w:eastAsia="宋体" w:cs="宋体"/>
                <w:color w:val="auto"/>
                <w:kern w:val="0"/>
                <w:position w:val="-1"/>
                <w:sz w:val="21"/>
                <w:szCs w:val="21"/>
                <w:highlight w:val="none"/>
              </w:rPr>
              <w:t>租户</w:t>
            </w:r>
            <w:r>
              <w:rPr>
                <w:rFonts w:hint="eastAsia" w:ascii="宋体" w:hAnsi="宋体" w:eastAsia="宋体" w:cs="宋体"/>
                <w:color w:val="auto"/>
                <w:kern w:val="0"/>
                <w:position w:val="-1"/>
                <w:sz w:val="21"/>
                <w:szCs w:val="21"/>
                <w:highlight w:val="none"/>
                <w:lang w:val="en-US" w:eastAsia="zh-CN"/>
              </w:rPr>
              <w:t>/甲方</w:t>
            </w:r>
            <w:r>
              <w:rPr>
                <w:rFonts w:hint="eastAsia" w:ascii="宋体" w:hAnsi="宋体" w:eastAsia="宋体" w:cs="宋体"/>
                <w:color w:val="auto"/>
                <w:kern w:val="0"/>
                <w:position w:val="-1"/>
                <w:sz w:val="21"/>
                <w:szCs w:val="21"/>
                <w:highlight w:val="none"/>
              </w:rPr>
              <w:t>车辆，并尽可能的联系客户。如确认该车辆是外来客户车辆，可让商场服务台在商场内进行广播告知。如仍旧无法联系到客户，可根据实际情况安排车库机动岗或巡逻岗进行重点关注；</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8.</w:t>
            </w:r>
            <w:r>
              <w:rPr>
                <w:rFonts w:hint="eastAsia" w:ascii="宋体" w:hAnsi="宋体" w:eastAsia="宋体" w:cs="宋体"/>
                <w:color w:val="auto"/>
                <w:kern w:val="0"/>
                <w:position w:val="-1"/>
                <w:sz w:val="21"/>
                <w:szCs w:val="21"/>
                <w:highlight w:val="none"/>
              </w:rPr>
              <w:t>安全员巡逻过程中应认真检视每台车辆的外观，发现有明显损伤时应准确记录，及时知会驾车人，必要时应拍照留存。发现有跨位停放车辆的倾向时应及时向车辆驾驶人指正。发现有占用他人车位、占用道路停车的倾向时，应予指正并协助寻找临时车位。</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9.</w:t>
            </w:r>
            <w:r>
              <w:rPr>
                <w:rFonts w:hint="eastAsia" w:ascii="宋体" w:hAnsi="宋体" w:eastAsia="宋体" w:cs="宋体"/>
                <w:color w:val="auto"/>
                <w:kern w:val="0"/>
                <w:position w:val="-1"/>
                <w:sz w:val="21"/>
                <w:szCs w:val="21"/>
                <w:highlight w:val="none"/>
              </w:rPr>
              <w:t>对于消防通道，拐弯处妨碍车辆通行的位置应采取设置禁停标识、放置反光路锥等方式，防止违章停车。已经停放车辆的，应及时联系车主将车挪到指定停车位置。</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10.</w:t>
            </w:r>
            <w:r>
              <w:rPr>
                <w:rFonts w:hint="eastAsia" w:ascii="宋体" w:hAnsi="宋体" w:eastAsia="宋体" w:cs="宋体"/>
                <w:color w:val="auto"/>
                <w:kern w:val="0"/>
                <w:position w:val="-1"/>
                <w:sz w:val="21"/>
                <w:szCs w:val="21"/>
                <w:highlight w:val="none"/>
              </w:rPr>
              <w:t>无法联系到车主的</w:t>
            </w:r>
            <w:r>
              <w:rPr>
                <w:rFonts w:hint="eastAsia" w:ascii="宋体" w:hAnsi="宋体" w:eastAsia="宋体" w:cs="宋体"/>
                <w:color w:val="auto"/>
                <w:kern w:val="0"/>
                <w:position w:val="-1"/>
                <w:sz w:val="21"/>
                <w:szCs w:val="21"/>
                <w:highlight w:val="none"/>
                <w:lang w:val="en-US" w:eastAsia="zh-CN"/>
              </w:rPr>
              <w:t>违停</w:t>
            </w:r>
            <w:r>
              <w:rPr>
                <w:rFonts w:hint="eastAsia" w:ascii="宋体" w:hAnsi="宋体" w:eastAsia="宋体" w:cs="宋体"/>
                <w:color w:val="auto"/>
                <w:kern w:val="0"/>
                <w:position w:val="-1"/>
                <w:sz w:val="21"/>
                <w:szCs w:val="21"/>
                <w:highlight w:val="none"/>
              </w:rPr>
              <w:t>车辆，应在正驾驶车门把手位置张贴“违章停车提示”， 告知相关位置不能停车。</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position w:val="-1"/>
                <w:sz w:val="21"/>
                <w:szCs w:val="21"/>
                <w:highlight w:val="none"/>
              </w:rPr>
            </w:pPr>
            <w:r>
              <w:rPr>
                <w:rFonts w:hint="eastAsia" w:ascii="宋体" w:hAnsi="宋体" w:eastAsia="宋体" w:cs="宋体"/>
                <w:color w:val="auto"/>
                <w:kern w:val="0"/>
                <w:position w:val="-1"/>
                <w:sz w:val="21"/>
                <w:szCs w:val="21"/>
                <w:highlight w:val="none"/>
                <w:lang w:val="en-US" w:eastAsia="zh-CN"/>
              </w:rPr>
              <w:t>11.</w:t>
            </w:r>
            <w:r>
              <w:rPr>
                <w:rFonts w:hint="eastAsia" w:ascii="宋体" w:hAnsi="宋体" w:eastAsia="宋体" w:cs="宋体"/>
                <w:color w:val="auto"/>
                <w:kern w:val="0"/>
                <w:position w:val="-1"/>
                <w:sz w:val="21"/>
                <w:szCs w:val="21"/>
                <w:highlight w:val="none"/>
              </w:rPr>
              <w:t>车场内车辆若发生故障，对于不带污染的小型维修可允许其在车场内进行，维修完后要督促车主清理周围卫生。如维修动静过大或有较严重污染的必须请其立即停止作业。</w:t>
            </w:r>
          </w:p>
          <w:p>
            <w:pPr>
              <w:pStyle w:val="48"/>
              <w:widowControl w:val="0"/>
              <w:numPr>
                <w:ilvl w:val="0"/>
                <w:numId w:val="0"/>
              </w:numPr>
              <w:tabs>
                <w:tab w:val="left" w:pos="1160"/>
                <w:tab w:val="left" w:pos="1580"/>
              </w:tabs>
              <w:spacing w:before="56"/>
              <w:ind w:leftChars="0" w:right="18" w:rightChars="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position w:val="-1"/>
                <w:sz w:val="21"/>
                <w:szCs w:val="21"/>
                <w:highlight w:val="none"/>
                <w:lang w:val="en-US" w:eastAsia="zh-CN"/>
              </w:rPr>
              <w:t>12.</w:t>
            </w:r>
            <w:r>
              <w:rPr>
                <w:rFonts w:hint="eastAsia" w:ascii="宋体" w:hAnsi="宋体" w:eastAsia="宋体" w:cs="宋体"/>
                <w:color w:val="auto"/>
                <w:kern w:val="0"/>
                <w:position w:val="-1"/>
                <w:sz w:val="21"/>
                <w:szCs w:val="21"/>
                <w:highlight w:val="none"/>
              </w:rPr>
              <w:t>车库车辆如发生油、气、水滴漏等异常情况，应立即通知车主进行检查并处理，若通知不到车主须将情况上报直属上级，并做好登记。</w:t>
            </w:r>
          </w:p>
        </w:tc>
      </w:tr>
    </w:tbl>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*管理规定可根据甲方实际要求作调整</w:t>
      </w:r>
    </w:p>
    <w:p>
      <w:pPr>
        <w:pStyle w:val="4"/>
        <w:rPr>
          <w:rFonts w:hint="eastAsia" w:ascii="宋体" w:hAnsi="宋体" w:eastAsia="宋体" w:cs="宋体"/>
          <w:color w:val="auto"/>
          <w:sz w:val="21"/>
          <w:szCs w:val="21"/>
          <w:highlight w:val="none"/>
        </w:rPr>
      </w:pPr>
    </w:p>
    <w:p>
      <w:pPr>
        <w:snapToGrid w:val="0"/>
        <w:spacing w:line="420" w:lineRule="auto"/>
        <w:ind w:firstLine="4200" w:firstLineChars="2000"/>
        <w:rPr>
          <w:rFonts w:hint="eastAsia" w:ascii="宋体" w:hAnsi="宋体" w:eastAsia="宋体" w:cs="宋体"/>
          <w:color w:val="auto"/>
          <w:sz w:val="21"/>
          <w:szCs w:val="21"/>
          <w:highlight w:val="none"/>
        </w:rPr>
      </w:pPr>
    </w:p>
    <w:p>
      <w:pPr>
        <w:snapToGrid w:val="0"/>
        <w:spacing w:line="420" w:lineRule="auto"/>
        <w:ind w:firstLine="4200" w:firstLineChars="2000"/>
        <w:rPr>
          <w:rFonts w:hint="eastAsia" w:ascii="宋体" w:hAnsi="宋体" w:eastAsia="宋体" w:cs="宋体"/>
          <w:color w:val="auto"/>
          <w:sz w:val="21"/>
          <w:szCs w:val="21"/>
          <w:highlight w:val="none"/>
        </w:rPr>
      </w:pPr>
    </w:p>
    <w:p>
      <w:pPr>
        <w:adjustRightInd w:val="0"/>
        <w:snapToGrid w:val="0"/>
        <w:spacing w:before="156" w:beforeLines="50" w:after="156" w:afterLines="50" w:line="360" w:lineRule="auto"/>
        <w:jc w:val="both"/>
        <w:outlineLvl w:val="0"/>
        <w:rPr>
          <w:rFonts w:hint="eastAsia" w:ascii="宋体" w:hAnsi="宋体" w:eastAsia="宋体" w:cs="宋体"/>
          <w:b/>
          <w:bCs/>
          <w:color w:val="auto"/>
          <w:sz w:val="21"/>
          <w:szCs w:val="21"/>
          <w:highlight w:val="none"/>
        </w:rPr>
      </w:pPr>
    </w:p>
    <w:p>
      <w:pPr>
        <w:adjustRightInd w:val="0"/>
        <w:snapToGrid w:val="0"/>
        <w:spacing w:before="156" w:beforeLines="50" w:after="156" w:afterLines="50" w:line="360" w:lineRule="auto"/>
        <w:jc w:val="both"/>
        <w:outlineLvl w:val="0"/>
        <w:rPr>
          <w:rFonts w:hint="eastAsia" w:ascii="宋体" w:hAnsi="宋体" w:eastAsia="宋体" w:cs="宋体"/>
          <w:b/>
          <w:bCs/>
          <w:color w:val="auto"/>
          <w:sz w:val="21"/>
          <w:szCs w:val="21"/>
          <w:highlight w:val="none"/>
        </w:rPr>
      </w:pPr>
    </w:p>
    <w:p>
      <w:pPr>
        <w:adjustRightInd w:val="0"/>
        <w:snapToGrid w:val="0"/>
        <w:spacing w:before="156" w:beforeLines="50" w:after="156" w:afterLines="50" w:line="360" w:lineRule="auto"/>
        <w:jc w:val="both"/>
        <w:outlineLvl w:val="0"/>
        <w:rPr>
          <w:rFonts w:hint="eastAsia" w:ascii="宋体" w:hAnsi="宋体" w:eastAsia="宋体" w:cs="宋体"/>
          <w:b/>
          <w:bCs/>
          <w:color w:val="auto"/>
          <w:sz w:val="21"/>
          <w:szCs w:val="21"/>
          <w:highlight w:val="none"/>
        </w:rPr>
      </w:pPr>
    </w:p>
    <w:p>
      <w:pPr>
        <w:rPr>
          <w:rFonts w:hint="eastAsia" w:ascii="宋体" w:hAnsi="宋体" w:eastAsia="宋体" w:cs="宋体"/>
          <w:b/>
          <w:bCs/>
          <w:color w:val="auto"/>
          <w:sz w:val="21"/>
          <w:szCs w:val="21"/>
          <w:highlight w:val="none"/>
        </w:rPr>
      </w:pPr>
    </w:p>
    <w:p>
      <w:pPr>
        <w:pStyle w:val="29"/>
        <w:rPr>
          <w:rFonts w:hint="eastAsia" w:ascii="宋体" w:hAnsi="宋体" w:eastAsia="宋体" w:cs="宋体"/>
          <w:bCs/>
          <w:color w:val="auto"/>
          <w:sz w:val="21"/>
          <w:szCs w:val="21"/>
          <w:highlight w:val="none"/>
          <w:lang w:val="zh-CN"/>
        </w:rPr>
      </w:pPr>
    </w:p>
    <w:p>
      <w:pPr>
        <w:adjustRightInd w:val="0"/>
        <w:snapToGrid w:val="0"/>
        <w:spacing w:before="156" w:beforeLines="50" w:after="156" w:afterLines="50" w:line="360" w:lineRule="auto"/>
        <w:jc w:val="center"/>
        <w:outlineLvl w:val="0"/>
        <w:rPr>
          <w:rFonts w:hint="eastAsia" w:ascii="Times New Roman" w:hAnsi="Times New Roman" w:eastAsia="宋体"/>
          <w:b/>
          <w:bCs/>
          <w:color w:val="auto"/>
          <w:sz w:val="28"/>
          <w:szCs w:val="28"/>
          <w:highlight w:val="none"/>
        </w:rPr>
      </w:pPr>
      <w:bookmarkStart w:id="102" w:name="_Toc15548"/>
      <w:r>
        <w:rPr>
          <w:rFonts w:hint="eastAsia" w:ascii="宋体" w:hAnsi="宋体" w:eastAsia="宋体" w:cs="宋体"/>
          <w:b/>
          <w:bCs/>
          <w:color w:val="auto"/>
          <w:sz w:val="21"/>
          <w:szCs w:val="21"/>
          <w:highlight w:val="none"/>
        </w:rPr>
        <w:br w:type="page"/>
      </w:r>
      <w:r>
        <w:rPr>
          <w:rFonts w:hint="eastAsia" w:ascii="Times New Roman" w:hAnsi="Times New Roman" w:eastAsia="宋体"/>
          <w:b/>
          <w:bCs/>
          <w:color w:val="auto"/>
          <w:sz w:val="28"/>
          <w:szCs w:val="28"/>
          <w:highlight w:val="none"/>
        </w:rPr>
        <w:t>第七章  投标文件格式</w:t>
      </w:r>
      <w:bookmarkEnd w:id="102"/>
    </w:p>
    <w:p>
      <w:pPr>
        <w:adjustRightInd w:val="0"/>
        <w:snapToGrid w:val="0"/>
        <w:spacing w:before="156" w:beforeLines="50" w:after="156" w:afterLines="50" w:line="360" w:lineRule="auto"/>
        <w:jc w:val="center"/>
        <w:outlineLvl w:val="0"/>
        <w:rPr>
          <w:rFonts w:hint="eastAsia" w:ascii="Times New Roman" w:hAnsi="Times New Roman" w:eastAsia="宋体"/>
          <w:b/>
          <w:bCs/>
          <w:color w:val="auto"/>
          <w:sz w:val="28"/>
          <w:szCs w:val="28"/>
          <w:highlight w:val="none"/>
          <w:lang w:eastAsia="zh-TW"/>
        </w:rPr>
      </w:pPr>
      <w:bookmarkStart w:id="103" w:name="_Toc26145"/>
      <w:r>
        <w:rPr>
          <w:rFonts w:hint="eastAsia" w:ascii="Times New Roman" w:hAnsi="Times New Roman" w:eastAsia="宋体"/>
          <w:b/>
          <w:bCs/>
          <w:color w:val="auto"/>
          <w:sz w:val="28"/>
          <w:szCs w:val="28"/>
          <w:highlight w:val="none"/>
          <w:lang w:eastAsia="zh-TW"/>
        </w:rPr>
        <w:t>投标文件包装封面参考</w:t>
      </w:r>
      <w:bookmarkEnd w:id="103"/>
    </w:p>
    <w:tbl>
      <w:tblPr>
        <w:tblStyle w:val="21"/>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657" w:type="dxa"/>
            <w:vAlign w:val="top"/>
          </w:tcPr>
          <w:p>
            <w:pPr>
              <w:pStyle w:val="13"/>
              <w:spacing w:line="360" w:lineRule="auto"/>
              <w:ind w:firstLine="422" w:firstLineChars="150"/>
              <w:rPr>
                <w:rFonts w:hint="eastAsia" w:ascii="宋体" w:hAnsi="宋体" w:eastAsia="宋体" w:cs="宋体"/>
                <w:b/>
                <w:color w:val="auto"/>
                <w:sz w:val="28"/>
                <w:szCs w:val="28"/>
                <w:highlight w:val="none"/>
              </w:rPr>
            </w:pPr>
          </w:p>
          <w:p>
            <w:pPr>
              <w:pStyle w:val="13"/>
              <w:spacing w:line="360" w:lineRule="auto"/>
              <w:ind w:firstLine="422" w:firstLineChars="150"/>
              <w:rPr>
                <w:rFonts w:hint="eastAsia" w:ascii="宋体" w:hAnsi="宋体" w:eastAsia="宋体" w:cs="宋体"/>
                <w:b/>
                <w:color w:val="auto"/>
                <w:sz w:val="28"/>
                <w:szCs w:val="28"/>
                <w:highlight w:val="none"/>
              </w:rPr>
            </w:pPr>
          </w:p>
          <w:p>
            <w:pPr>
              <w:pStyle w:val="13"/>
              <w:spacing w:line="360" w:lineRule="auto"/>
              <w:ind w:firstLine="422" w:firstLineChars="150"/>
              <w:rPr>
                <w:rFonts w:hint="eastAsia" w:ascii="宋体" w:hAnsi="宋体" w:eastAsia="宋体" w:cs="宋体"/>
                <w:b/>
                <w:color w:val="auto"/>
                <w:sz w:val="28"/>
                <w:szCs w:val="28"/>
                <w:highlight w:val="none"/>
              </w:rPr>
            </w:pPr>
          </w:p>
          <w:p>
            <w:pPr>
              <w:pStyle w:val="13"/>
              <w:spacing w:line="360" w:lineRule="auto"/>
              <w:jc w:val="center"/>
              <w:rPr>
                <w:rFonts w:hint="eastAsia" w:ascii="黑体" w:hAnsi="Times New Roman" w:eastAsia="黑体"/>
                <w:b/>
                <w:color w:val="auto"/>
                <w:sz w:val="72"/>
                <w:szCs w:val="72"/>
                <w:highlight w:val="none"/>
              </w:rPr>
            </w:pPr>
            <w:r>
              <w:rPr>
                <w:rFonts w:hint="eastAsia" w:ascii="黑体" w:hAnsi="Times New Roman" w:eastAsia="黑体"/>
                <w:b/>
                <w:color w:val="auto"/>
                <w:sz w:val="72"/>
                <w:szCs w:val="72"/>
                <w:highlight w:val="none"/>
              </w:rPr>
              <w:t>投 标 文 件</w:t>
            </w:r>
          </w:p>
          <w:p>
            <w:pPr>
              <w:pStyle w:val="13"/>
              <w:spacing w:line="360" w:lineRule="auto"/>
              <w:jc w:val="center"/>
              <w:rPr>
                <w:rFonts w:hint="eastAsia" w:ascii="黑体" w:eastAsia="黑体"/>
                <w:b/>
                <w:color w:val="auto"/>
                <w:sz w:val="32"/>
                <w:highlight w:val="none"/>
              </w:rPr>
            </w:pPr>
            <w:r>
              <w:rPr>
                <w:rFonts w:hint="eastAsia" w:ascii="黑体" w:eastAsia="黑体"/>
                <w:b/>
                <w:color w:val="auto"/>
                <w:sz w:val="52"/>
                <w:szCs w:val="52"/>
                <w:highlight w:val="none"/>
              </w:rPr>
              <w:t xml:space="preserve">口 </w:t>
            </w:r>
            <w:r>
              <w:rPr>
                <w:rFonts w:hint="eastAsia" w:ascii="黑体" w:eastAsia="黑体"/>
                <w:b/>
                <w:color w:val="auto"/>
                <w:sz w:val="32"/>
                <w:highlight w:val="none"/>
              </w:rPr>
              <w:t>开标信封</w:t>
            </w:r>
          </w:p>
          <w:p>
            <w:pPr>
              <w:pStyle w:val="13"/>
              <w:spacing w:line="360" w:lineRule="auto"/>
              <w:ind w:firstLine="3654" w:firstLineChars="700"/>
              <w:rPr>
                <w:rFonts w:hint="eastAsia" w:ascii="黑体" w:eastAsia="黑体"/>
                <w:b/>
                <w:color w:val="auto"/>
                <w:sz w:val="32"/>
                <w:highlight w:val="none"/>
              </w:rPr>
            </w:pPr>
            <w:r>
              <w:rPr>
                <w:rFonts w:hint="eastAsia" w:ascii="黑体" w:eastAsia="黑体"/>
                <w:b/>
                <w:color w:val="auto"/>
                <w:sz w:val="52"/>
                <w:szCs w:val="52"/>
                <w:highlight w:val="none"/>
              </w:rPr>
              <w:t xml:space="preserve">口 </w:t>
            </w:r>
            <w:r>
              <w:rPr>
                <w:rFonts w:hint="eastAsia" w:ascii="黑体" w:eastAsia="黑体"/>
                <w:b/>
                <w:color w:val="auto"/>
                <w:sz w:val="32"/>
                <w:highlight w:val="none"/>
              </w:rPr>
              <w:t>正本</w:t>
            </w:r>
          </w:p>
          <w:p>
            <w:pPr>
              <w:pStyle w:val="13"/>
              <w:spacing w:line="360" w:lineRule="auto"/>
              <w:ind w:firstLine="3654" w:firstLineChars="700"/>
              <w:rPr>
                <w:rFonts w:hint="eastAsia" w:ascii="黑体" w:eastAsia="黑体"/>
                <w:b/>
                <w:color w:val="auto"/>
                <w:sz w:val="32"/>
                <w:highlight w:val="none"/>
              </w:rPr>
            </w:pPr>
            <w:r>
              <w:rPr>
                <w:rFonts w:hint="eastAsia" w:ascii="黑体" w:eastAsia="黑体"/>
                <w:b/>
                <w:color w:val="auto"/>
                <w:sz w:val="52"/>
                <w:szCs w:val="52"/>
                <w:highlight w:val="none"/>
              </w:rPr>
              <w:t xml:space="preserve">口 </w:t>
            </w:r>
            <w:r>
              <w:rPr>
                <w:rFonts w:hint="eastAsia" w:ascii="黑体" w:eastAsia="黑体"/>
                <w:b/>
                <w:color w:val="auto"/>
                <w:sz w:val="32"/>
                <w:highlight w:val="none"/>
              </w:rPr>
              <w:t>副本</w:t>
            </w:r>
          </w:p>
          <w:p>
            <w:pPr>
              <w:pStyle w:val="13"/>
              <w:spacing w:line="360" w:lineRule="auto"/>
              <w:rPr>
                <w:rFonts w:hint="eastAsia" w:ascii="宋体" w:hAnsi="宋体" w:eastAsia="宋体" w:cs="宋体"/>
                <w:b/>
                <w:color w:val="auto"/>
                <w:sz w:val="28"/>
                <w:szCs w:val="28"/>
                <w:highlight w:val="none"/>
              </w:rPr>
            </w:pPr>
          </w:p>
          <w:p>
            <w:pPr>
              <w:pStyle w:val="13"/>
              <w:spacing w:line="400" w:lineRule="exact"/>
              <w:ind w:firstLine="900" w:firstLineChars="320"/>
              <w:rPr>
                <w:rFonts w:hint="eastAsia" w:ascii="仿宋_GB2312" w:hAnsi="Times New Roman" w:eastAsia="仿宋_GB2312"/>
                <w:b/>
                <w:color w:val="auto"/>
                <w:sz w:val="28"/>
                <w:szCs w:val="28"/>
                <w:highlight w:val="none"/>
                <w:lang w:eastAsia="zh-CN"/>
              </w:rPr>
            </w:pPr>
            <w:r>
              <w:rPr>
                <w:rFonts w:hint="eastAsia" w:ascii="仿宋_GB2312" w:hAnsi="Times New Roman" w:eastAsia="仿宋_GB2312"/>
                <w:b/>
                <w:color w:val="auto"/>
                <w:sz w:val="28"/>
                <w:szCs w:val="28"/>
                <w:highlight w:val="none"/>
              </w:rPr>
              <w:t>项目编号：</w:t>
            </w:r>
            <w:r>
              <w:rPr>
                <w:rFonts w:hint="eastAsia" w:ascii="仿宋_GB2312" w:hAnsi="Times New Roman" w:eastAsia="仿宋_GB2312"/>
                <w:b/>
                <w:color w:val="auto"/>
                <w:sz w:val="28"/>
                <w:szCs w:val="28"/>
                <w:highlight w:val="none"/>
                <w:lang w:eastAsia="zh-CN"/>
              </w:rPr>
              <w:t>GDZC-21GZ198</w:t>
            </w:r>
          </w:p>
          <w:p>
            <w:pPr>
              <w:pStyle w:val="13"/>
              <w:spacing w:line="400" w:lineRule="exact"/>
              <w:ind w:firstLine="900" w:firstLineChars="320"/>
              <w:rPr>
                <w:rFonts w:hint="eastAsia" w:ascii="仿宋_GB2312" w:hAnsi="Times New Roman" w:eastAsia="仿宋_GB2312"/>
                <w:b/>
                <w:color w:val="auto"/>
                <w:sz w:val="28"/>
                <w:szCs w:val="28"/>
                <w:highlight w:val="none"/>
                <w:lang w:eastAsia="zh-CN"/>
              </w:rPr>
            </w:pPr>
            <w:r>
              <w:rPr>
                <w:rFonts w:hint="eastAsia" w:ascii="仿宋_GB2312" w:hAnsi="Times New Roman" w:eastAsia="仿宋_GB2312"/>
                <w:b/>
                <w:color w:val="auto"/>
                <w:sz w:val="28"/>
                <w:szCs w:val="28"/>
                <w:highlight w:val="none"/>
              </w:rPr>
              <w:t>项目名称：</w:t>
            </w:r>
            <w:r>
              <w:rPr>
                <w:rFonts w:hint="eastAsia" w:ascii="仿宋_GB2312" w:hAnsi="Times New Roman" w:eastAsia="仿宋_GB2312"/>
                <w:b/>
                <w:color w:val="auto"/>
                <w:sz w:val="28"/>
                <w:szCs w:val="28"/>
                <w:highlight w:val="none"/>
                <w:lang w:eastAsia="zh-CN"/>
              </w:rPr>
              <w:t>千灯湖创投小镇核心区物业管理服务</w:t>
            </w:r>
          </w:p>
          <w:p>
            <w:pPr>
              <w:pStyle w:val="13"/>
              <w:spacing w:line="400" w:lineRule="exact"/>
              <w:ind w:firstLine="900" w:firstLineChars="320"/>
              <w:rPr>
                <w:rFonts w:hint="eastAsia" w:ascii="仿宋_GB2312" w:hAnsi="Times New Roman" w:eastAsia="仿宋_GB2312"/>
                <w:b/>
                <w:color w:val="auto"/>
                <w:sz w:val="28"/>
                <w:szCs w:val="28"/>
                <w:highlight w:val="none"/>
              </w:rPr>
            </w:pPr>
            <w:r>
              <w:rPr>
                <w:rFonts w:hint="eastAsia" w:ascii="仿宋_GB2312" w:hAnsi="Times New Roman" w:eastAsia="仿宋_GB2312"/>
                <w:b/>
                <w:color w:val="auto"/>
                <w:sz w:val="28"/>
                <w:szCs w:val="28"/>
                <w:highlight w:val="none"/>
              </w:rPr>
              <w:t>投标人名称：</w:t>
            </w:r>
          </w:p>
          <w:p>
            <w:pPr>
              <w:pStyle w:val="13"/>
              <w:spacing w:line="400" w:lineRule="exact"/>
              <w:ind w:firstLine="900" w:firstLineChars="320"/>
              <w:rPr>
                <w:rFonts w:hint="eastAsia" w:ascii="仿宋_GB2312" w:hAnsi="Times New Roman" w:eastAsia="仿宋_GB2312"/>
                <w:b/>
                <w:color w:val="auto"/>
                <w:sz w:val="28"/>
                <w:szCs w:val="28"/>
                <w:highlight w:val="none"/>
              </w:rPr>
            </w:pPr>
            <w:r>
              <w:rPr>
                <w:rFonts w:hint="eastAsia" w:ascii="仿宋_GB2312" w:hAnsi="Times New Roman" w:eastAsia="仿宋_GB2312"/>
                <w:b/>
                <w:color w:val="auto"/>
                <w:sz w:val="28"/>
                <w:szCs w:val="28"/>
                <w:highlight w:val="none"/>
              </w:rPr>
              <w:t>投标人地址：</w:t>
            </w:r>
          </w:p>
          <w:p>
            <w:pPr>
              <w:pStyle w:val="13"/>
              <w:spacing w:line="400" w:lineRule="exact"/>
              <w:ind w:firstLine="900" w:firstLineChars="320"/>
              <w:rPr>
                <w:rFonts w:hint="eastAsia" w:ascii="仿宋_GB2312" w:hAnsi="Times New Roman" w:eastAsia="仿宋_GB2312"/>
                <w:b/>
                <w:color w:val="auto"/>
                <w:sz w:val="28"/>
                <w:szCs w:val="28"/>
                <w:highlight w:val="none"/>
              </w:rPr>
            </w:pPr>
            <w:r>
              <w:rPr>
                <w:rFonts w:hint="eastAsia" w:ascii="仿宋_GB2312" w:hAnsi="Times New Roman" w:eastAsia="仿宋_GB2312"/>
                <w:b/>
                <w:color w:val="auto"/>
                <w:sz w:val="28"/>
                <w:szCs w:val="28"/>
                <w:highlight w:val="none"/>
              </w:rPr>
              <w:t xml:space="preserve">递交地址： </w:t>
            </w:r>
          </w:p>
          <w:p>
            <w:pPr>
              <w:tabs>
                <w:tab w:val="left" w:pos="851"/>
              </w:tabs>
              <w:autoSpaceDE w:val="0"/>
              <w:autoSpaceDN w:val="0"/>
              <w:adjustRightInd w:val="0"/>
              <w:snapToGrid w:val="0"/>
              <w:spacing w:line="420" w:lineRule="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r>
              <w:rPr>
                <w:rFonts w:hint="eastAsia" w:ascii="仿宋" w:hAnsi="仿宋" w:eastAsia="仿宋" w:cs="仿宋"/>
                <w:b/>
                <w:color w:val="auto"/>
                <w:sz w:val="28"/>
                <w:szCs w:val="28"/>
                <w:highlight w:val="none"/>
              </w:rPr>
              <w:t xml:space="preserve"> (</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年</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月</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日</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时</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分)之前不得启封</w:t>
            </w:r>
          </w:p>
        </w:tc>
      </w:tr>
    </w:tbl>
    <w:p>
      <w:pPr>
        <w:autoSpaceDE w:val="0"/>
        <w:autoSpaceDN w:val="0"/>
        <w:adjustRightInd w:val="0"/>
        <w:snapToGrid w:val="0"/>
        <w:spacing w:before="312" w:beforeLines="100" w:after="312" w:afterLines="100" w:line="360" w:lineRule="auto"/>
        <w:ind w:left="720"/>
        <w:jc w:val="center"/>
        <w:outlineLvl w:val="0"/>
        <w:rPr>
          <w:rFonts w:hint="eastAsia" w:ascii="宋体" w:hAnsi="宋体" w:eastAsia="宋体"/>
          <w:b/>
          <w:color w:val="auto"/>
          <w:sz w:val="28"/>
          <w:szCs w:val="28"/>
          <w:highlight w:val="none"/>
          <w:lang w:eastAsia="zh-TW"/>
        </w:rPr>
      </w:pPr>
      <w:bookmarkStart w:id="104" w:name="_Toc275865604"/>
      <w:bookmarkStart w:id="105" w:name="_Toc10905"/>
      <w:bookmarkStart w:id="106" w:name="_Toc1718"/>
      <w:r>
        <w:rPr>
          <w:rFonts w:hint="eastAsia" w:ascii="宋体" w:hAnsi="宋体" w:eastAsia="宋体"/>
          <w:b/>
          <w:color w:val="auto"/>
          <w:sz w:val="28"/>
          <w:szCs w:val="28"/>
          <w:highlight w:val="none"/>
          <w:lang w:eastAsia="zh-TW"/>
        </w:rPr>
        <w:t>投标文件目录表</w:t>
      </w:r>
      <w:bookmarkEnd w:id="104"/>
      <w:bookmarkEnd w:id="105"/>
      <w:bookmarkEnd w:id="106"/>
      <w:bookmarkStart w:id="107" w:name="投标文件目录表"/>
      <w:bookmarkEnd w:id="107"/>
    </w:p>
    <w:p>
      <w:pPr>
        <w:rPr>
          <w:rFonts w:hint="eastAsia" w:ascii="宋体" w:hAnsi="宋体" w:eastAsia="宋体" w:cs="Times New Roman"/>
          <w:b w:val="0"/>
          <w:bCs/>
          <w:color w:val="auto"/>
          <w:sz w:val="21"/>
          <w:szCs w:val="21"/>
          <w:highlight w:val="none"/>
          <w:lang w:eastAsia="zh-TW"/>
        </w:rPr>
      </w:pPr>
      <w:r>
        <w:rPr>
          <w:rFonts w:hint="eastAsia" w:ascii="宋体" w:hAnsi="宋体" w:eastAsia="宋体" w:cs="Times New Roman"/>
          <w:b w:val="0"/>
          <w:bCs/>
          <w:color w:val="auto"/>
          <w:sz w:val="21"/>
          <w:szCs w:val="21"/>
          <w:highlight w:val="none"/>
          <w:lang w:eastAsia="zh-TW"/>
        </w:rPr>
        <w:t>项目名称：</w:t>
      </w:r>
      <w:r>
        <w:rPr>
          <w:rFonts w:hint="eastAsia" w:ascii="宋体" w:hAnsi="宋体" w:eastAsia="宋体" w:cs="Times New Roman"/>
          <w:b w:val="0"/>
          <w:bCs/>
          <w:color w:val="auto"/>
          <w:sz w:val="21"/>
          <w:szCs w:val="21"/>
          <w:highlight w:val="none"/>
          <w:lang w:eastAsia="zh-CN"/>
        </w:rPr>
        <w:t>千灯湖创投小镇核心区物业管理服务</w:t>
      </w:r>
    </w:p>
    <w:p>
      <w:pPr>
        <w:rPr>
          <w:rFonts w:hint="eastAsia" w:ascii="宋体" w:hAnsi="宋体" w:eastAsia="宋体"/>
          <w:b w:val="0"/>
          <w:bCs/>
          <w:color w:val="auto"/>
          <w:sz w:val="21"/>
          <w:szCs w:val="21"/>
          <w:highlight w:val="none"/>
          <w:lang w:eastAsia="zh-TW"/>
        </w:rPr>
      </w:pPr>
      <w:r>
        <w:rPr>
          <w:rFonts w:hint="eastAsia" w:ascii="宋体" w:hAnsi="宋体" w:eastAsia="宋体"/>
          <w:b w:val="0"/>
          <w:bCs/>
          <w:color w:val="auto"/>
          <w:sz w:val="21"/>
          <w:szCs w:val="21"/>
          <w:highlight w:val="none"/>
          <w:lang w:eastAsia="zh-TW"/>
        </w:rPr>
        <w:t>项目编号：</w:t>
      </w:r>
      <w:r>
        <w:rPr>
          <w:rFonts w:hint="eastAsia" w:ascii="宋体" w:hAnsi="宋体" w:eastAsia="宋体"/>
          <w:b w:val="0"/>
          <w:bCs/>
          <w:color w:val="auto"/>
          <w:sz w:val="21"/>
          <w:szCs w:val="21"/>
          <w:highlight w:val="none"/>
          <w:lang w:eastAsia="zh-CN"/>
        </w:rPr>
        <w:t>GDZC-21GZ198</w:t>
      </w:r>
      <w:r>
        <w:rPr>
          <w:rFonts w:hint="eastAsia" w:ascii="宋体" w:hAnsi="宋体" w:eastAsia="宋体"/>
          <w:b w:val="0"/>
          <w:bCs/>
          <w:color w:val="auto"/>
          <w:sz w:val="21"/>
          <w:szCs w:val="21"/>
          <w:highlight w:val="none"/>
          <w:lang w:eastAsia="zh-TW"/>
        </w:rPr>
        <w:t xml:space="preserve"> </w:t>
      </w:r>
    </w:p>
    <w:tbl>
      <w:tblPr>
        <w:tblStyle w:val="21"/>
        <w:tblW w:w="9534" w:type="dxa"/>
        <w:jc w:val="right"/>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7"/>
        <w:gridCol w:w="547"/>
        <w:gridCol w:w="4584"/>
        <w:gridCol w:w="627"/>
        <w:gridCol w:w="594"/>
        <w:gridCol w:w="727"/>
        <w:gridCol w:w="7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9" w:hRule="atLeast"/>
          <w:jc w:val="right"/>
        </w:trPr>
        <w:tc>
          <w:tcPr>
            <w:tcW w:w="1727" w:type="dxa"/>
            <w:vMerge w:val="restart"/>
            <w:shd w:val="clear" w:color="auto" w:fill="EEECE1"/>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文件类型</w:t>
            </w:r>
          </w:p>
        </w:tc>
        <w:tc>
          <w:tcPr>
            <w:tcW w:w="547" w:type="dxa"/>
            <w:vMerge w:val="restart"/>
            <w:shd w:val="clear" w:color="auto" w:fill="EEECE1"/>
            <w:vAlign w:val="center"/>
          </w:tcPr>
          <w:p>
            <w:pPr>
              <w:ind w:left="-105" w:leftChars="-50" w:right="-109" w:rightChars="-5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4584" w:type="dxa"/>
            <w:vMerge w:val="restart"/>
            <w:shd w:val="clear" w:color="auto" w:fill="EEECE1"/>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文    件    名    称</w:t>
            </w:r>
          </w:p>
        </w:tc>
        <w:tc>
          <w:tcPr>
            <w:tcW w:w="1221" w:type="dxa"/>
            <w:gridSpan w:val="2"/>
            <w:shd w:val="clear" w:color="auto" w:fill="EEECE1"/>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提交情况</w:t>
            </w:r>
          </w:p>
        </w:tc>
        <w:tc>
          <w:tcPr>
            <w:tcW w:w="727" w:type="dxa"/>
            <w:vMerge w:val="restart"/>
            <w:shd w:val="clear" w:color="auto" w:fill="EEECE1"/>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页码范围</w:t>
            </w:r>
          </w:p>
        </w:tc>
        <w:tc>
          <w:tcPr>
            <w:tcW w:w="728" w:type="dxa"/>
            <w:vMerge w:val="restart"/>
            <w:shd w:val="clear" w:color="auto" w:fill="EEECE1"/>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8" w:hRule="atLeast"/>
          <w:jc w:val="right"/>
        </w:trPr>
        <w:tc>
          <w:tcPr>
            <w:tcW w:w="1727" w:type="dxa"/>
            <w:vMerge w:val="continue"/>
            <w:shd w:val="clear" w:color="auto" w:fill="EEECE1"/>
            <w:vAlign w:val="center"/>
          </w:tcPr>
          <w:p>
            <w:pPr>
              <w:jc w:val="center"/>
              <w:rPr>
                <w:rFonts w:hint="eastAsia" w:ascii="宋体" w:hAnsi="宋体" w:eastAsia="宋体" w:cs="宋体"/>
                <w:color w:val="auto"/>
                <w:sz w:val="21"/>
                <w:szCs w:val="21"/>
                <w:highlight w:val="none"/>
              </w:rPr>
            </w:pPr>
          </w:p>
        </w:tc>
        <w:tc>
          <w:tcPr>
            <w:tcW w:w="547" w:type="dxa"/>
            <w:vMerge w:val="continue"/>
            <w:shd w:val="clear" w:color="auto" w:fill="EEECE1"/>
            <w:vAlign w:val="center"/>
          </w:tcPr>
          <w:p>
            <w:pPr>
              <w:rPr>
                <w:rFonts w:hint="eastAsia" w:ascii="宋体" w:hAnsi="宋体" w:eastAsia="宋体" w:cs="宋体"/>
                <w:color w:val="auto"/>
                <w:sz w:val="21"/>
                <w:szCs w:val="21"/>
                <w:highlight w:val="none"/>
              </w:rPr>
            </w:pPr>
          </w:p>
        </w:tc>
        <w:tc>
          <w:tcPr>
            <w:tcW w:w="4584" w:type="dxa"/>
            <w:vMerge w:val="continue"/>
            <w:shd w:val="clear" w:color="auto" w:fill="EEECE1"/>
            <w:vAlign w:val="center"/>
          </w:tcPr>
          <w:p>
            <w:pPr>
              <w:rPr>
                <w:rFonts w:hint="eastAsia" w:ascii="宋体" w:hAnsi="宋体" w:eastAsia="宋体" w:cs="宋体"/>
                <w:color w:val="auto"/>
                <w:sz w:val="21"/>
                <w:szCs w:val="21"/>
                <w:highlight w:val="none"/>
              </w:rPr>
            </w:pPr>
          </w:p>
        </w:tc>
        <w:tc>
          <w:tcPr>
            <w:tcW w:w="627" w:type="dxa"/>
            <w:shd w:val="clear" w:color="auto" w:fill="EEECE1"/>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有</w:t>
            </w:r>
          </w:p>
        </w:tc>
        <w:tc>
          <w:tcPr>
            <w:tcW w:w="594" w:type="dxa"/>
            <w:shd w:val="clear" w:color="auto" w:fill="EEECE1"/>
            <w:vAlign w:val="center"/>
          </w:tcPr>
          <w:p>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无</w:t>
            </w:r>
          </w:p>
        </w:tc>
        <w:tc>
          <w:tcPr>
            <w:tcW w:w="727" w:type="dxa"/>
            <w:vMerge w:val="continue"/>
            <w:shd w:val="clear" w:color="auto" w:fill="EEECE1"/>
            <w:vAlign w:val="center"/>
          </w:tcPr>
          <w:p>
            <w:pPr>
              <w:jc w:val="center"/>
              <w:rPr>
                <w:rFonts w:hint="eastAsia" w:ascii="宋体" w:hAnsi="宋体" w:eastAsia="宋体" w:cs="宋体"/>
                <w:color w:val="auto"/>
                <w:sz w:val="21"/>
                <w:szCs w:val="21"/>
                <w:highlight w:val="none"/>
              </w:rPr>
            </w:pPr>
          </w:p>
        </w:tc>
        <w:tc>
          <w:tcPr>
            <w:tcW w:w="728" w:type="dxa"/>
            <w:vMerge w:val="continue"/>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restart"/>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初审文件（加盖投标人公章）</w:t>
            </w: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投标函</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投标人资格声明函</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有效的营业执照复印件</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财务会计制度，须提供下列任一项证明材料：</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(1)2019年度或2020年度经审计的财务报告及财务报表（资产负债表、利润表和现金流量表）复印件(要求：审计报告由第三方会计师事务所或其它合法审计机构出具，须包含会计师事务所或审计机构的盖章页)。</w:t>
            </w: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基本开户银行出具的资信证明复印件【要求：资信证明书内容应能够清晰准确反映投标人最近6个月内（从本项目招标公告发布之日起，往前倒推计算）的商业信誉情况和满足采购文件有关要求，且其符合性及有效性将以最终审查结果为准。如成立时间不足6个月的，按成立时间提供】。</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2021年度任意1个月依法缴纳税收和社会保障资金</w:t>
            </w:r>
            <w:r>
              <w:rPr>
                <w:rFonts w:hint="eastAsia" w:ascii="宋体" w:hAnsi="宋体" w:eastAsia="宋体" w:cs="宋体"/>
                <w:bCs/>
                <w:color w:val="auto"/>
                <w:sz w:val="21"/>
                <w:szCs w:val="21"/>
                <w:highlight w:val="none"/>
              </w:rPr>
              <w:t>的相关材料。如依法免税或不需要缴纳社会保障资金的，提供相应证明材料</w:t>
            </w:r>
            <w:r>
              <w:rPr>
                <w:rFonts w:hint="eastAsia" w:ascii="宋体" w:hAnsi="宋体" w:eastAsia="宋体" w:cs="宋体"/>
                <w:bCs/>
                <w:color w:val="auto"/>
                <w:sz w:val="21"/>
                <w:szCs w:val="21"/>
                <w:highlight w:val="none"/>
                <w:lang w:eastAsia="zh-CN"/>
              </w:rPr>
              <w:t>。</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履行合同所必需的设备和专业技术能力的书面声明</w:t>
            </w:r>
            <w:r>
              <w:rPr>
                <w:rFonts w:hint="eastAsia" w:ascii="宋体" w:hAnsi="宋体" w:cs="宋体"/>
                <w:color w:val="auto"/>
                <w:kern w:val="0"/>
                <w:szCs w:val="21"/>
                <w:highlight w:val="none"/>
              </w:rPr>
              <w:t>（提供《投标人资格声明函》）</w:t>
            </w:r>
            <w:r>
              <w:rPr>
                <w:rFonts w:hint="eastAsia" w:ascii="宋体" w:hAnsi="宋体" w:cs="宋体"/>
                <w:color w:val="auto"/>
                <w:kern w:val="0"/>
                <w:szCs w:val="21"/>
                <w:highlight w:val="none"/>
                <w:lang w:eastAsia="zh-CN"/>
              </w:rPr>
              <w:t>。</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参与本项目采购活动前三年内，在经营活动中没有重大违法记录的书面声明</w:t>
            </w:r>
            <w:r>
              <w:rPr>
                <w:rFonts w:hint="eastAsia" w:ascii="宋体" w:hAnsi="宋体" w:cs="宋体"/>
                <w:color w:val="auto"/>
                <w:kern w:val="0"/>
                <w:szCs w:val="21"/>
                <w:highlight w:val="none"/>
              </w:rPr>
              <w:t>（提供《投标人资格声明函》）</w:t>
            </w:r>
            <w:r>
              <w:rPr>
                <w:rFonts w:hint="eastAsia" w:ascii="宋体" w:hAnsi="宋体" w:cs="宋体"/>
                <w:color w:val="auto"/>
                <w:kern w:val="0"/>
                <w:szCs w:val="21"/>
                <w:highlight w:val="none"/>
                <w:lang w:eastAsia="zh-CN"/>
              </w:rPr>
              <w:t>。</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法定代表人授权委托书</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法定代表人证明书</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w:t>
            </w:r>
            <w:r>
              <w:rPr>
                <w:rFonts w:hint="eastAsia" w:ascii="宋体" w:hAnsi="宋体" w:eastAsia="宋体" w:cs="宋体"/>
                <w:bCs/>
                <w:color w:val="auto"/>
                <w:sz w:val="21"/>
                <w:szCs w:val="21"/>
                <w:highlight w:val="none"/>
                <w:lang w:eastAsia="zh-CN"/>
              </w:rPr>
              <w:t>招标代理机构</w:t>
            </w:r>
            <w:r>
              <w:rPr>
                <w:rFonts w:hint="eastAsia" w:ascii="宋体" w:hAnsi="宋体" w:eastAsia="宋体" w:cs="宋体"/>
                <w:bCs/>
                <w:color w:val="auto"/>
                <w:sz w:val="21"/>
                <w:szCs w:val="21"/>
                <w:highlight w:val="none"/>
              </w:rPr>
              <w:t>于投标截止日当天在“信用中国”网站（www.creditchina.gov.cn）及中国政府采购网(www.ccgp.gov.cn)查询结果为准，如相关失信记录已失效，供应商需提供相关证明资料】</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0"/>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实质性响应一览表</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restart"/>
            <w:shd w:val="clear" w:color="auto" w:fill="auto"/>
            <w:vAlign w:val="center"/>
          </w:tcPr>
          <w:p>
            <w:pPr>
              <w:ind w:left="113" w:right="113"/>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投标人应提交的技术文件（</w:t>
            </w:r>
            <w:r>
              <w:rPr>
                <w:rFonts w:hint="eastAsia" w:ascii="宋体" w:hAnsi="宋体" w:eastAsia="宋体" w:cs="宋体"/>
                <w:b/>
                <w:bCs/>
                <w:color w:val="auto"/>
                <w:sz w:val="21"/>
                <w:szCs w:val="21"/>
                <w:highlight w:val="none"/>
              </w:rPr>
              <w:t>加盖投标人公章</w:t>
            </w:r>
            <w:r>
              <w:rPr>
                <w:rFonts w:hint="eastAsia" w:ascii="宋体" w:hAnsi="宋体" w:eastAsia="宋体" w:cs="宋体"/>
                <w:b/>
                <w:color w:val="auto"/>
                <w:sz w:val="21"/>
                <w:szCs w:val="21"/>
                <w:highlight w:val="none"/>
              </w:rPr>
              <w:t>）</w:t>
            </w:r>
          </w:p>
        </w:tc>
        <w:tc>
          <w:tcPr>
            <w:tcW w:w="547" w:type="dxa"/>
            <w:shd w:val="clear" w:color="auto" w:fill="auto"/>
            <w:vAlign w:val="center"/>
          </w:tcPr>
          <w:p>
            <w:pPr>
              <w:numPr>
                <w:ilvl w:val="0"/>
                <w:numId w:val="141"/>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开标一览表(报价表)</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b/>
                <w:color w:val="auto"/>
                <w:sz w:val="21"/>
                <w:szCs w:val="21"/>
                <w:highlight w:val="none"/>
              </w:rPr>
            </w:pPr>
          </w:p>
        </w:tc>
        <w:tc>
          <w:tcPr>
            <w:tcW w:w="547" w:type="dxa"/>
            <w:shd w:val="clear" w:color="auto" w:fill="auto"/>
            <w:vAlign w:val="center"/>
          </w:tcPr>
          <w:p>
            <w:pPr>
              <w:numPr>
                <w:ilvl w:val="0"/>
                <w:numId w:val="141"/>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投标分项报价表</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1"/>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用户需求响应一览表</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1"/>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jc w:val="left"/>
              <w:textAlignment w:val="baseline"/>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投标技术服务方案</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1"/>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jc w:val="left"/>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拟投入人员一览表</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right"/>
        </w:trPr>
        <w:tc>
          <w:tcPr>
            <w:tcW w:w="1727" w:type="dxa"/>
            <w:vMerge w:val="continue"/>
            <w:shd w:val="clear" w:color="auto" w:fill="auto"/>
            <w:vAlign w:val="center"/>
          </w:tcPr>
          <w:p>
            <w:pPr>
              <w:ind w:left="113" w:right="113"/>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1"/>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投标人认为需要提供的其它说明和资料</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jc w:val="right"/>
        </w:trPr>
        <w:tc>
          <w:tcPr>
            <w:tcW w:w="1727" w:type="dxa"/>
            <w:vMerge w:val="restart"/>
            <w:shd w:val="clear" w:color="auto" w:fill="auto"/>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投标人应提交的商务文件（</w:t>
            </w:r>
            <w:r>
              <w:rPr>
                <w:rFonts w:hint="eastAsia" w:ascii="宋体" w:hAnsi="宋体" w:eastAsia="宋体" w:cs="宋体"/>
                <w:b/>
                <w:bCs/>
                <w:color w:val="auto"/>
                <w:sz w:val="21"/>
                <w:szCs w:val="21"/>
                <w:highlight w:val="none"/>
              </w:rPr>
              <w:t>加盖投标人公章</w:t>
            </w:r>
            <w:r>
              <w:rPr>
                <w:rFonts w:hint="eastAsia" w:ascii="宋体" w:hAnsi="宋体" w:eastAsia="宋体" w:cs="宋体"/>
                <w:b/>
                <w:color w:val="auto"/>
                <w:sz w:val="21"/>
                <w:szCs w:val="21"/>
                <w:highlight w:val="none"/>
              </w:rPr>
              <w:t>）</w:t>
            </w:r>
          </w:p>
        </w:tc>
        <w:tc>
          <w:tcPr>
            <w:tcW w:w="547" w:type="dxa"/>
            <w:shd w:val="clear" w:color="auto" w:fill="auto"/>
            <w:vAlign w:val="center"/>
          </w:tcPr>
          <w:p>
            <w:pPr>
              <w:numPr>
                <w:ilvl w:val="0"/>
                <w:numId w:val="142"/>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jc w:val="left"/>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投标人基本情况表</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jc w:val="right"/>
        </w:trPr>
        <w:tc>
          <w:tcPr>
            <w:tcW w:w="1727" w:type="dxa"/>
            <w:vMerge w:val="continue"/>
            <w:shd w:val="clear" w:color="auto" w:fill="auto"/>
            <w:vAlign w:val="center"/>
          </w:tcPr>
          <w:p>
            <w:pPr>
              <w:jc w:val="center"/>
              <w:rPr>
                <w:rFonts w:hint="eastAsia" w:ascii="宋体" w:hAnsi="宋体" w:eastAsia="宋体" w:cs="宋体"/>
                <w:b/>
                <w:color w:val="auto"/>
                <w:sz w:val="21"/>
                <w:szCs w:val="21"/>
                <w:highlight w:val="none"/>
              </w:rPr>
            </w:pPr>
          </w:p>
        </w:tc>
        <w:tc>
          <w:tcPr>
            <w:tcW w:w="547" w:type="dxa"/>
            <w:shd w:val="clear" w:color="auto" w:fill="auto"/>
            <w:vAlign w:val="center"/>
          </w:tcPr>
          <w:p>
            <w:pPr>
              <w:numPr>
                <w:ilvl w:val="0"/>
                <w:numId w:val="142"/>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同类项目</w:t>
            </w:r>
            <w:r>
              <w:rPr>
                <w:rFonts w:hint="eastAsia" w:ascii="宋体" w:hAnsi="宋体" w:eastAsia="宋体" w:cs="宋体"/>
                <w:color w:val="auto"/>
                <w:kern w:val="0"/>
                <w:sz w:val="21"/>
                <w:szCs w:val="21"/>
                <w:highlight w:val="none"/>
                <w:lang w:val="en-US" w:eastAsia="zh-CN"/>
              </w:rPr>
              <w:t>业绩</w:t>
            </w:r>
            <w:r>
              <w:rPr>
                <w:rFonts w:hint="eastAsia" w:ascii="宋体" w:hAnsi="宋体" w:eastAsia="宋体" w:cs="宋体"/>
                <w:b w:val="0"/>
                <w:color w:val="auto"/>
                <w:sz w:val="21"/>
                <w:szCs w:val="21"/>
                <w:highlight w:val="none"/>
              </w:rPr>
              <w:t>一览表</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jc w:val="right"/>
        </w:trPr>
        <w:tc>
          <w:tcPr>
            <w:tcW w:w="1727" w:type="dxa"/>
            <w:vMerge w:val="continue"/>
            <w:shd w:val="clear" w:color="auto" w:fill="auto"/>
            <w:vAlign w:val="center"/>
          </w:tcPr>
          <w:p>
            <w:pPr>
              <w:jc w:val="center"/>
              <w:rPr>
                <w:rFonts w:hint="eastAsia" w:ascii="宋体" w:hAnsi="宋体" w:eastAsia="宋体" w:cs="宋体"/>
                <w:b/>
                <w:color w:val="auto"/>
                <w:sz w:val="21"/>
                <w:szCs w:val="21"/>
                <w:highlight w:val="none"/>
              </w:rPr>
            </w:pPr>
          </w:p>
        </w:tc>
        <w:tc>
          <w:tcPr>
            <w:tcW w:w="547" w:type="dxa"/>
            <w:shd w:val="clear" w:color="auto" w:fill="auto"/>
            <w:vAlign w:val="center"/>
          </w:tcPr>
          <w:p>
            <w:pPr>
              <w:numPr>
                <w:ilvl w:val="0"/>
                <w:numId w:val="142"/>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企业信用信息管理</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jc w:val="right"/>
        </w:trPr>
        <w:tc>
          <w:tcPr>
            <w:tcW w:w="1727" w:type="dxa"/>
            <w:vMerge w:val="continue"/>
            <w:shd w:val="clear" w:color="auto" w:fill="auto"/>
            <w:vAlign w:val="center"/>
          </w:tcPr>
          <w:p>
            <w:pPr>
              <w:jc w:val="center"/>
              <w:rPr>
                <w:rFonts w:hint="eastAsia" w:ascii="宋体" w:hAnsi="宋体" w:eastAsia="宋体" w:cs="宋体"/>
                <w:b/>
                <w:color w:val="auto"/>
                <w:sz w:val="21"/>
                <w:szCs w:val="21"/>
                <w:highlight w:val="none"/>
              </w:rPr>
            </w:pPr>
          </w:p>
        </w:tc>
        <w:tc>
          <w:tcPr>
            <w:tcW w:w="547" w:type="dxa"/>
            <w:shd w:val="clear" w:color="auto" w:fill="auto"/>
            <w:vAlign w:val="center"/>
          </w:tcPr>
          <w:p>
            <w:pPr>
              <w:numPr>
                <w:ilvl w:val="0"/>
                <w:numId w:val="142"/>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管理体系</w:t>
            </w:r>
            <w:r>
              <w:rPr>
                <w:rFonts w:hint="eastAsia" w:hAnsi="宋体" w:cs="宋体"/>
                <w:color w:val="auto"/>
                <w:sz w:val="21"/>
                <w:szCs w:val="21"/>
                <w:highlight w:val="none"/>
                <w:lang w:eastAsia="zh-CN"/>
              </w:rPr>
              <w:t>及</w:t>
            </w:r>
            <w:r>
              <w:rPr>
                <w:rFonts w:hint="eastAsia" w:ascii="宋体" w:hAnsi="宋体" w:eastAsia="宋体" w:cs="宋体"/>
                <w:color w:val="auto"/>
                <w:sz w:val="21"/>
                <w:szCs w:val="21"/>
                <w:highlight w:val="none"/>
                <w:lang w:val="en-US" w:eastAsia="zh-CN"/>
              </w:rPr>
              <w:t>企业</w:t>
            </w:r>
            <w:r>
              <w:rPr>
                <w:rFonts w:hint="eastAsia" w:ascii="宋体" w:hAnsi="宋体" w:eastAsia="宋体" w:cs="宋体"/>
                <w:color w:val="auto"/>
                <w:sz w:val="21"/>
                <w:szCs w:val="21"/>
                <w:highlight w:val="none"/>
              </w:rPr>
              <w:t>荣誉一览表</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jc w:val="right"/>
        </w:trPr>
        <w:tc>
          <w:tcPr>
            <w:tcW w:w="1727" w:type="dxa"/>
            <w:vMerge w:val="continue"/>
            <w:shd w:val="clear" w:color="auto" w:fill="auto"/>
            <w:vAlign w:val="center"/>
          </w:tcPr>
          <w:p>
            <w:pPr>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2"/>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rPr>
                <w:rFonts w:hint="eastAsia" w:ascii="宋体" w:hAnsi="宋体" w:eastAsia="宋体" w:cs="宋体"/>
                <w:color w:val="auto"/>
                <w:sz w:val="21"/>
                <w:szCs w:val="21"/>
                <w:highlight w:val="none"/>
              </w:rPr>
            </w:pPr>
            <w:r>
              <w:rPr>
                <w:rFonts w:hint="eastAsia" w:ascii="宋体" w:hAnsi="宋体" w:eastAsia="宋体" w:cs="宋体"/>
                <w:b w:val="0"/>
                <w:color w:val="auto"/>
                <w:sz w:val="21"/>
                <w:szCs w:val="21"/>
                <w:highlight w:val="none"/>
              </w:rPr>
              <w:t>招标代理服务费承诺书</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jc w:val="right"/>
        </w:trPr>
        <w:tc>
          <w:tcPr>
            <w:tcW w:w="1727" w:type="dxa"/>
            <w:vMerge w:val="continue"/>
            <w:shd w:val="clear" w:color="auto" w:fill="auto"/>
            <w:vAlign w:val="center"/>
          </w:tcPr>
          <w:p>
            <w:pPr>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2"/>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b w:val="0"/>
                <w:color w:val="auto"/>
                <w:sz w:val="21"/>
                <w:szCs w:val="21"/>
                <w:highlight w:val="none"/>
              </w:rPr>
              <w:t>退投标保证金说明</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3" w:hRule="atLeast"/>
          <w:jc w:val="right"/>
        </w:trPr>
        <w:tc>
          <w:tcPr>
            <w:tcW w:w="1727" w:type="dxa"/>
            <w:vMerge w:val="continue"/>
            <w:shd w:val="clear" w:color="auto" w:fill="auto"/>
            <w:vAlign w:val="center"/>
          </w:tcPr>
          <w:p>
            <w:pPr>
              <w:jc w:val="center"/>
              <w:rPr>
                <w:rFonts w:hint="eastAsia" w:ascii="宋体" w:hAnsi="宋体" w:eastAsia="宋体" w:cs="宋体"/>
                <w:color w:val="auto"/>
                <w:sz w:val="21"/>
                <w:szCs w:val="21"/>
                <w:highlight w:val="none"/>
              </w:rPr>
            </w:pPr>
          </w:p>
        </w:tc>
        <w:tc>
          <w:tcPr>
            <w:tcW w:w="547" w:type="dxa"/>
            <w:shd w:val="clear" w:color="auto" w:fill="auto"/>
            <w:vAlign w:val="center"/>
          </w:tcPr>
          <w:p>
            <w:pPr>
              <w:numPr>
                <w:ilvl w:val="0"/>
                <w:numId w:val="142"/>
              </w:numPr>
              <w:jc w:val="center"/>
              <w:rPr>
                <w:rFonts w:hint="eastAsia" w:ascii="宋体" w:hAnsi="宋体" w:eastAsia="宋体" w:cs="宋体"/>
                <w:color w:val="auto"/>
                <w:sz w:val="21"/>
                <w:szCs w:val="21"/>
                <w:highlight w:val="none"/>
              </w:rPr>
            </w:pPr>
          </w:p>
        </w:tc>
        <w:tc>
          <w:tcPr>
            <w:tcW w:w="4584" w:type="dxa"/>
            <w:shd w:val="clear" w:color="auto" w:fill="auto"/>
            <w:vAlign w:val="center"/>
          </w:tcPr>
          <w:p>
            <w:pPr>
              <w:jc w:val="left"/>
              <w:textAlignment w:val="baseline"/>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投标人认为需要提供的其他商务资料</w:t>
            </w:r>
          </w:p>
        </w:tc>
        <w:tc>
          <w:tcPr>
            <w:tcW w:w="627" w:type="dxa"/>
            <w:shd w:val="clear" w:color="auto" w:fill="auto"/>
            <w:vAlign w:val="center"/>
          </w:tcPr>
          <w:p>
            <w:pPr>
              <w:jc w:val="center"/>
              <w:rPr>
                <w:rFonts w:hint="eastAsia" w:ascii="宋体" w:hAnsi="宋体" w:eastAsia="宋体" w:cs="宋体"/>
                <w:color w:val="auto"/>
                <w:sz w:val="21"/>
                <w:szCs w:val="21"/>
                <w:highlight w:val="none"/>
              </w:rPr>
            </w:pPr>
          </w:p>
        </w:tc>
        <w:tc>
          <w:tcPr>
            <w:tcW w:w="594" w:type="dxa"/>
            <w:shd w:val="clear" w:color="auto" w:fill="auto"/>
            <w:vAlign w:val="center"/>
          </w:tcPr>
          <w:p>
            <w:pPr>
              <w:jc w:val="center"/>
              <w:rPr>
                <w:rFonts w:hint="eastAsia" w:ascii="宋体" w:hAnsi="宋体" w:eastAsia="宋体" w:cs="宋体"/>
                <w:color w:val="auto"/>
                <w:sz w:val="21"/>
                <w:szCs w:val="21"/>
                <w:highlight w:val="none"/>
              </w:rPr>
            </w:pPr>
          </w:p>
        </w:tc>
        <w:tc>
          <w:tcPr>
            <w:tcW w:w="727" w:type="dxa"/>
            <w:shd w:val="clear" w:color="auto" w:fill="EEECE1"/>
            <w:vAlign w:val="center"/>
          </w:tcPr>
          <w:p>
            <w:pPr>
              <w:jc w:val="center"/>
              <w:rPr>
                <w:rFonts w:hint="eastAsia" w:ascii="宋体" w:hAnsi="宋体" w:eastAsia="宋体" w:cs="宋体"/>
                <w:color w:val="auto"/>
                <w:sz w:val="21"/>
                <w:szCs w:val="21"/>
                <w:highlight w:val="none"/>
              </w:rPr>
            </w:pPr>
          </w:p>
        </w:tc>
        <w:tc>
          <w:tcPr>
            <w:tcW w:w="728" w:type="dxa"/>
            <w:shd w:val="clear" w:color="auto" w:fill="EEECE1"/>
            <w:vAlign w:val="center"/>
          </w:tcPr>
          <w:p>
            <w:pPr>
              <w:jc w:val="center"/>
              <w:rPr>
                <w:rFonts w:hint="eastAsia" w:ascii="宋体" w:hAnsi="宋体" w:eastAsia="宋体" w:cs="宋体"/>
                <w:color w:val="auto"/>
                <w:sz w:val="21"/>
                <w:szCs w:val="21"/>
                <w:highlight w:val="none"/>
              </w:rPr>
            </w:pPr>
          </w:p>
        </w:tc>
      </w:tr>
    </w:tbl>
    <w:p>
      <w:pPr>
        <w:spacing w:line="440" w:lineRule="exact"/>
        <w:rPr>
          <w:rFonts w:hint="eastAsia" w:ascii="宋体" w:hAnsi="宋体" w:eastAsia="宋体" w:cs="宋体"/>
          <w:bCs/>
          <w:color w:val="auto"/>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numPr>
          <w:ilvl w:val="0"/>
          <w:numId w:val="143"/>
        </w:numPr>
        <w:spacing w:line="440" w:lineRule="exact"/>
        <w:rPr>
          <w:rFonts w:hint="eastAsia" w:ascii="Arial" w:hAnsi="Arial" w:eastAsia="黑体" w:cs="Times New Roman"/>
          <w:b/>
          <w:bCs/>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bookmarkStart w:id="108" w:name="_Toc275865605"/>
      <w:r>
        <w:rPr>
          <w:rFonts w:hint="eastAsia" w:ascii="Arial" w:hAnsi="Arial" w:eastAsia="黑体" w:cs="Times New Roman"/>
          <w:b w:val="0"/>
          <w:bCs w:val="0"/>
          <w:color w:val="auto"/>
          <w:kern w:val="2"/>
          <w:sz w:val="32"/>
          <w:szCs w:val="32"/>
          <w:highlight w:val="none"/>
          <w:lang w:val="en-US" w:eastAsia="zh-CN" w:bidi="ar-SA"/>
        </w:rPr>
        <w:t>投  标  函</w:t>
      </w:r>
      <w:bookmarkEnd w:id="108"/>
    </w:p>
    <w:p>
      <w:pPr>
        <w:spacing w:line="360" w:lineRule="auto"/>
        <w:ind w:left="105" w:leftChars="50" w:firstLine="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致：广东中采招标有限公司</w:t>
      </w:r>
    </w:p>
    <w:p>
      <w:pPr>
        <w:spacing w:line="360" w:lineRule="auto"/>
        <w:ind w:left="105" w:leftChars="50" w:firstLine="373" w:firstLineChars="1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我方确认收到贵方</w:t>
      </w:r>
      <w:r>
        <w:rPr>
          <w:rFonts w:hint="eastAsia" w:ascii="宋体" w:hAnsi="宋体" w:eastAsia="宋体" w:cs="宋体"/>
          <w:color w:val="auto"/>
          <w:kern w:val="28"/>
          <w:sz w:val="21"/>
          <w:szCs w:val="21"/>
          <w:highlight w:val="none"/>
          <w:u w:val="single"/>
        </w:rPr>
        <w:t xml:space="preserve">           （项目名称）        </w:t>
      </w:r>
      <w:r>
        <w:rPr>
          <w:rFonts w:hint="eastAsia" w:ascii="宋体" w:hAnsi="宋体" w:eastAsia="宋体" w:cs="宋体"/>
          <w:color w:val="auto"/>
          <w:kern w:val="28"/>
          <w:sz w:val="21"/>
          <w:szCs w:val="21"/>
          <w:highlight w:val="none"/>
        </w:rPr>
        <w:t>采购</w:t>
      </w:r>
      <w:r>
        <w:rPr>
          <w:rFonts w:hint="eastAsia" w:ascii="宋体" w:hAnsi="宋体" w:eastAsia="宋体" w:cs="宋体"/>
          <w:color w:val="auto"/>
          <w:sz w:val="21"/>
          <w:szCs w:val="21"/>
          <w:highlight w:val="none"/>
        </w:rPr>
        <w:t>服务的招标文件（项目编号：</w:t>
      </w:r>
      <w:r>
        <w:rPr>
          <w:rFonts w:hint="eastAsia" w:ascii="宋体" w:hAnsi="宋体" w:eastAsia="宋体" w:cs="宋体"/>
          <w:color w:val="auto"/>
          <w:sz w:val="21"/>
          <w:szCs w:val="21"/>
          <w:highlight w:val="none"/>
          <w:lang w:eastAsia="zh-CN"/>
        </w:rPr>
        <w:t>GDZC-21GZ198</w:t>
      </w:r>
      <w:r>
        <w:rPr>
          <w:rFonts w:hint="eastAsia" w:ascii="宋体" w:hAnsi="宋体" w:eastAsia="宋体" w:cs="宋体"/>
          <w:color w:val="auto"/>
          <w:sz w:val="21"/>
          <w:szCs w:val="21"/>
          <w:highlight w:val="none"/>
        </w:rPr>
        <w:t>），</w:t>
      </w:r>
      <w:r>
        <w:rPr>
          <w:rFonts w:hint="eastAsia" w:ascii="宋体" w:hAnsi="宋体" w:eastAsia="宋体" w:cs="宋体"/>
          <w:color w:val="auto"/>
          <w:kern w:val="28"/>
          <w:sz w:val="21"/>
          <w:szCs w:val="21"/>
          <w:highlight w:val="none"/>
          <w:u w:val="single"/>
        </w:rPr>
        <w:t xml:space="preserve">     </w:t>
      </w:r>
      <w:r>
        <w:rPr>
          <w:rFonts w:hint="eastAsia" w:ascii="宋体" w:hAnsi="宋体" w:eastAsia="宋体" w:cs="宋体"/>
          <w:color w:val="auto"/>
          <w:sz w:val="21"/>
          <w:szCs w:val="21"/>
          <w:highlight w:val="none"/>
          <w:u w:val="single"/>
        </w:rPr>
        <w:t xml:space="preserve"> (投标人名称、地址)</w:t>
      </w:r>
      <w:r>
        <w:rPr>
          <w:rFonts w:hint="eastAsia" w:ascii="宋体" w:hAnsi="宋体" w:eastAsia="宋体" w:cs="宋体"/>
          <w:color w:val="auto"/>
          <w:kern w:val="28"/>
          <w:sz w:val="21"/>
          <w:szCs w:val="21"/>
          <w:highlight w:val="none"/>
          <w:u w:val="single"/>
        </w:rPr>
        <w:t xml:space="preserve">     </w:t>
      </w:r>
      <w:r>
        <w:rPr>
          <w:rFonts w:hint="eastAsia" w:ascii="宋体" w:hAnsi="宋体" w:eastAsia="宋体" w:cs="宋体"/>
          <w:color w:val="auto"/>
          <w:sz w:val="21"/>
          <w:szCs w:val="21"/>
          <w:highlight w:val="none"/>
        </w:rPr>
        <w:t>作为投标人已正式授权</w:t>
      </w:r>
      <w:r>
        <w:rPr>
          <w:rFonts w:hint="eastAsia" w:ascii="宋体" w:hAnsi="宋体" w:eastAsia="宋体" w:cs="宋体"/>
          <w:color w:val="auto"/>
          <w:kern w:val="28"/>
          <w:sz w:val="21"/>
          <w:szCs w:val="21"/>
          <w:highlight w:val="none"/>
          <w:u w:val="single"/>
        </w:rPr>
        <w:t xml:space="preserve">     </w:t>
      </w:r>
      <w:r>
        <w:rPr>
          <w:rFonts w:hint="eastAsia" w:ascii="宋体" w:hAnsi="宋体" w:eastAsia="宋体" w:cs="宋体"/>
          <w:color w:val="auto"/>
          <w:sz w:val="21"/>
          <w:szCs w:val="21"/>
          <w:highlight w:val="none"/>
          <w:u w:val="single"/>
        </w:rPr>
        <w:t xml:space="preserve"> (被投标人授权代表全名、职务)</w:t>
      </w:r>
      <w:r>
        <w:rPr>
          <w:rFonts w:hint="eastAsia" w:ascii="宋体" w:hAnsi="宋体" w:eastAsia="宋体" w:cs="宋体"/>
          <w:color w:val="auto"/>
          <w:kern w:val="28"/>
          <w:sz w:val="21"/>
          <w:szCs w:val="21"/>
          <w:highlight w:val="none"/>
          <w:u w:val="single"/>
        </w:rPr>
        <w:t xml:space="preserve">     </w:t>
      </w:r>
      <w:r>
        <w:rPr>
          <w:rFonts w:hint="eastAsia" w:ascii="宋体" w:hAnsi="宋体" w:eastAsia="宋体" w:cs="宋体"/>
          <w:color w:val="auto"/>
          <w:sz w:val="21"/>
          <w:szCs w:val="21"/>
          <w:highlight w:val="none"/>
        </w:rPr>
        <w:t>为我方签名代表，签名代表在此声明并同意：</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我们愿意遵守</w:t>
      </w:r>
      <w:r>
        <w:rPr>
          <w:rFonts w:hint="eastAsia" w:ascii="宋体" w:hAnsi="宋体" w:eastAsia="宋体" w:cs="宋体"/>
          <w:b/>
          <w:color w:val="auto"/>
          <w:sz w:val="21"/>
          <w:szCs w:val="21"/>
          <w:highlight w:val="none"/>
          <w:lang w:eastAsia="zh-CN"/>
        </w:rPr>
        <w:t>招标代理机构</w:t>
      </w:r>
      <w:r>
        <w:rPr>
          <w:rFonts w:hint="eastAsia" w:ascii="宋体" w:hAnsi="宋体" w:eastAsia="宋体" w:cs="宋体"/>
          <w:b/>
          <w:color w:val="auto"/>
          <w:sz w:val="21"/>
          <w:szCs w:val="21"/>
          <w:highlight w:val="none"/>
        </w:rPr>
        <w:t>招标文件的各项规定，自愿参加投标，并已清楚招标文件的要求及有关文件规定，并严格按照招标文件的规定履行全部责任和义务。</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我们同意本投标自投标截止之日起</w:t>
      </w:r>
      <w:r>
        <w:rPr>
          <w:rFonts w:hint="eastAsia" w:ascii="宋体" w:hAnsi="宋体" w:eastAsia="宋体" w:cs="宋体"/>
          <w:b/>
          <w:color w:val="auto"/>
          <w:sz w:val="21"/>
          <w:szCs w:val="21"/>
          <w:highlight w:val="none"/>
          <w:u w:val="single"/>
        </w:rPr>
        <w:t>90</w:t>
      </w:r>
      <w:r>
        <w:rPr>
          <w:rFonts w:hint="eastAsia" w:ascii="宋体" w:hAnsi="宋体" w:eastAsia="宋体" w:cs="宋体"/>
          <w:b/>
          <w:color w:val="auto"/>
          <w:sz w:val="21"/>
          <w:szCs w:val="21"/>
          <w:highlight w:val="none"/>
        </w:rPr>
        <w:t>天内有效。如果我们的投标被接受，则直至合同生效时止，本投标始终有效并不撤回已递交的投标文件。</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我们已经详细地阅读并完全明白了全部招标文件及附件，包括澄清（如有）及参考文件，我们完全理解本招标文件的要求，我们同意放弃对招标文件提出不明或误解的一切权力。</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我们同意提供招标采购单位与评标委员会要求的有关投标的一切数据或资料。</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我们理解招标采购单位与评标委员会并无义务必须接受最低报价的投标或其它任何投标，完全理解</w:t>
      </w:r>
      <w:r>
        <w:rPr>
          <w:rFonts w:hint="eastAsia" w:ascii="宋体" w:hAnsi="宋体" w:eastAsia="宋体" w:cs="宋体"/>
          <w:b/>
          <w:color w:val="auto"/>
          <w:sz w:val="21"/>
          <w:szCs w:val="21"/>
          <w:highlight w:val="none"/>
          <w:lang w:eastAsia="zh-CN"/>
        </w:rPr>
        <w:t>招标代理机构</w:t>
      </w:r>
      <w:r>
        <w:rPr>
          <w:rFonts w:hint="eastAsia" w:ascii="宋体" w:hAnsi="宋体" w:eastAsia="宋体" w:cs="宋体"/>
          <w:b/>
          <w:color w:val="auto"/>
          <w:sz w:val="21"/>
          <w:szCs w:val="21"/>
          <w:highlight w:val="none"/>
        </w:rPr>
        <w:t>拒绝迟到的任何投标和最低投标报价不是被授予中标的唯一条件。</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如果我们未对招标文件全部要求作出实质性响应，则完全同意并接受按无效投标处理。 </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们证明提交的一切文件，无论是原件还是复印件均为准确、真实、有效、完整的，绝无任何虚假、伪造或者夸大。我们在此郑重承诺：在本次招标采购活动中，如有违法、违规、弄虚作假行为，所造成的损失、不良后果及法律责任，一律由我公司（企业）承担。</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如果我们提供的声明或承诺不真实，则完全同意认定为我司提供虚假材料，并同意作相应处理。</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我们是依法注册的法人，在法律、财务及运作上完全独立于</w:t>
      </w:r>
      <w:r>
        <w:rPr>
          <w:rFonts w:hint="eastAsia" w:ascii="宋体" w:hAnsi="宋体" w:eastAsia="宋体" w:cs="宋体"/>
          <w:b/>
          <w:color w:val="auto"/>
          <w:sz w:val="21"/>
          <w:szCs w:val="21"/>
          <w:highlight w:val="none"/>
          <w:lang w:eastAsia="zh-CN"/>
        </w:rPr>
        <w:t>招标人、</w:t>
      </w:r>
      <w:r>
        <w:rPr>
          <w:rFonts w:hint="eastAsia" w:ascii="宋体" w:hAnsi="宋体" w:eastAsia="宋体" w:cs="宋体"/>
          <w:b/>
          <w:color w:val="auto"/>
          <w:sz w:val="21"/>
          <w:szCs w:val="21"/>
          <w:highlight w:val="none"/>
          <w:lang w:val="en-US" w:eastAsia="zh-CN"/>
        </w:rPr>
        <w:t>用户单位（如有）</w:t>
      </w:r>
      <w:r>
        <w:rPr>
          <w:rFonts w:hint="eastAsia" w:ascii="宋体" w:hAnsi="宋体" w:eastAsia="宋体" w:cs="宋体"/>
          <w:b/>
          <w:color w:val="auto"/>
          <w:sz w:val="21"/>
          <w:szCs w:val="21"/>
          <w:highlight w:val="none"/>
        </w:rPr>
        <w:t>和</w:t>
      </w:r>
      <w:r>
        <w:rPr>
          <w:rFonts w:hint="eastAsia" w:ascii="宋体" w:hAnsi="宋体" w:eastAsia="宋体" w:cs="宋体"/>
          <w:b/>
          <w:color w:val="auto"/>
          <w:sz w:val="21"/>
          <w:szCs w:val="21"/>
          <w:highlight w:val="none"/>
          <w:lang w:eastAsia="zh-CN"/>
        </w:rPr>
        <w:t>招标代理机构</w:t>
      </w:r>
      <w:r>
        <w:rPr>
          <w:rFonts w:hint="eastAsia" w:ascii="宋体" w:hAnsi="宋体" w:eastAsia="宋体" w:cs="宋体"/>
          <w:b/>
          <w:color w:val="auto"/>
          <w:sz w:val="21"/>
          <w:szCs w:val="21"/>
          <w:highlight w:val="none"/>
        </w:rPr>
        <w:t>。</w:t>
      </w:r>
    </w:p>
    <w:p>
      <w:pPr>
        <w:numPr>
          <w:ilvl w:val="0"/>
          <w:numId w:val="144"/>
        </w:numPr>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所有有关本次投标的函电请寄：</w:t>
      </w:r>
      <w:r>
        <w:rPr>
          <w:rFonts w:hint="eastAsia" w:ascii="宋体" w:hAnsi="宋体" w:eastAsia="宋体" w:cs="宋体"/>
          <w:b/>
          <w:color w:val="auto"/>
          <w:sz w:val="21"/>
          <w:szCs w:val="21"/>
          <w:highlight w:val="none"/>
          <w:u w:val="single"/>
        </w:rPr>
        <w:t xml:space="preserve">  （投标人地址）   </w:t>
      </w:r>
      <w:r>
        <w:rPr>
          <w:rFonts w:hint="eastAsia" w:ascii="宋体" w:hAnsi="宋体" w:eastAsia="宋体" w:cs="宋体"/>
          <w:b/>
          <w:color w:val="auto"/>
          <w:sz w:val="21"/>
          <w:szCs w:val="21"/>
          <w:highlight w:val="none"/>
        </w:rPr>
        <w:t xml:space="preserve">  </w:t>
      </w:r>
    </w:p>
    <w:p>
      <w:pPr>
        <w:autoSpaceDE w:val="0"/>
        <w:autoSpaceDN w:val="0"/>
        <w:adjustRightInd w:val="0"/>
        <w:spacing w:line="360" w:lineRule="auto"/>
        <w:ind w:left="420" w:firstLine="31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备注：</w:t>
      </w:r>
      <w:r>
        <w:rPr>
          <w:rFonts w:hint="eastAsia" w:ascii="宋体" w:hAnsi="宋体" w:eastAsia="宋体" w:cs="宋体"/>
          <w:b/>
          <w:color w:val="auto"/>
          <w:sz w:val="21"/>
          <w:szCs w:val="21"/>
          <w:highlight w:val="none"/>
          <w:lang w:val="en-US" w:eastAsia="zh-CN"/>
        </w:rPr>
        <w:t>本</w:t>
      </w:r>
      <w:r>
        <w:rPr>
          <w:rFonts w:hint="eastAsia" w:ascii="宋体" w:hAnsi="宋体" w:eastAsia="宋体" w:cs="宋体"/>
          <w:b/>
          <w:color w:val="auto"/>
          <w:sz w:val="21"/>
          <w:szCs w:val="21"/>
          <w:highlight w:val="none"/>
        </w:rPr>
        <w:t>投标函中承诺的投标有效期应当不少于招标文件中载明的投标有效期，其他</w:t>
      </w:r>
    </w:p>
    <w:p>
      <w:pPr>
        <w:autoSpaceDE w:val="0"/>
        <w:autoSpaceDN w:val="0"/>
        <w:adjustRightInd w:val="0"/>
        <w:spacing w:line="360" w:lineRule="auto"/>
        <w:ind w:left="420" w:firstLine="31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内容不得擅自删改，否则视为无效投标。 </w:t>
      </w:r>
    </w:p>
    <w:p>
      <w:pPr>
        <w:ind w:left="480"/>
        <w:rPr>
          <w:rFonts w:hint="eastAsia" w:ascii="宋体" w:hAnsi="宋体" w:eastAsia="宋体" w:cs="宋体"/>
          <w:color w:val="auto"/>
          <w:sz w:val="21"/>
          <w:szCs w:val="21"/>
          <w:highlight w:val="none"/>
        </w:rPr>
      </w:pPr>
    </w:p>
    <w:p>
      <w:pPr>
        <w:adjustRightInd w:val="0"/>
        <w:snapToGrid w:val="0"/>
        <w:spacing w:line="48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名称（加盖公章）</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p>
    <w:p>
      <w:pPr>
        <w:adjustRightInd w:val="0"/>
        <w:snapToGrid w:val="0"/>
        <w:spacing w:line="480" w:lineRule="auto"/>
        <w:ind w:firstLine="432" w:firstLineChars="206"/>
        <w:rPr>
          <w:rFonts w:hint="eastAsia" w:ascii="宋体" w:hAnsi="宋体" w:eastAsia="宋体" w:cs="宋体"/>
          <w:color w:val="auto"/>
          <w:spacing w:val="4"/>
          <w:sz w:val="21"/>
          <w:szCs w:val="21"/>
          <w:highlight w:val="none"/>
          <w:u w:val="singl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4"/>
          <w:sz w:val="21"/>
          <w:szCs w:val="21"/>
          <w:highlight w:val="none"/>
          <w:u w:val="single"/>
        </w:rPr>
        <w:t xml:space="preserve">                </w:t>
      </w:r>
    </w:p>
    <w:p>
      <w:pPr>
        <w:adjustRightInd w:val="0"/>
        <w:snapToGrid w:val="0"/>
        <w:spacing w:line="480" w:lineRule="auto"/>
        <w:ind w:firstLine="432" w:firstLineChars="206"/>
        <w:rPr>
          <w:rFonts w:hint="eastAsia" w:ascii="宋体" w:hAnsi="宋体" w:eastAsia="宋体" w:cs="宋体"/>
          <w:color w:val="auto"/>
          <w:spacing w:val="4"/>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z w:val="21"/>
          <w:szCs w:val="21"/>
          <w:highlight w:val="none"/>
        </w:rPr>
        <w:t xml:space="preserve"> 传真：</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z w:val="21"/>
          <w:szCs w:val="21"/>
          <w:highlight w:val="none"/>
        </w:rPr>
        <w:t xml:space="preserve">     邮编：</w:t>
      </w:r>
      <w:r>
        <w:rPr>
          <w:rFonts w:hint="eastAsia" w:ascii="宋体" w:hAnsi="宋体" w:eastAsia="宋体" w:cs="宋体"/>
          <w:color w:val="auto"/>
          <w:spacing w:val="4"/>
          <w:sz w:val="21"/>
          <w:szCs w:val="21"/>
          <w:highlight w:val="none"/>
          <w:u w:val="single"/>
        </w:rPr>
        <w:t xml:space="preserve">         </w:t>
      </w:r>
    </w:p>
    <w:p>
      <w:pPr>
        <w:adjustRightInd w:val="0"/>
        <w:snapToGrid w:val="0"/>
        <w:spacing w:line="360" w:lineRule="auto"/>
        <w:rPr>
          <w:rFonts w:hint="eastAsia" w:ascii="宋体" w:hAnsi="宋体" w:eastAsia="宋体" w:cs="宋体"/>
          <w:color w:val="auto"/>
          <w:spacing w:val="4"/>
          <w:sz w:val="21"/>
          <w:szCs w:val="21"/>
          <w:highlight w:val="none"/>
          <w:u w:val="single"/>
        </w:rPr>
      </w:pPr>
    </w:p>
    <w:p>
      <w:pPr>
        <w:numPr>
          <w:ilvl w:val="0"/>
          <w:numId w:val="143"/>
        </w:numPr>
        <w:spacing w:line="440" w:lineRule="exact"/>
        <w:rPr>
          <w:rFonts w:hint="eastAsia" w:ascii="宋体" w:hAnsi="宋体" w:eastAsia="宋体" w:cs="宋体"/>
          <w:bCs/>
          <w:color w:val="auto"/>
          <w:sz w:val="21"/>
          <w:szCs w:val="21"/>
          <w:highlight w:val="none"/>
        </w:rPr>
      </w:pPr>
    </w:p>
    <w:p>
      <w:pPr>
        <w:pStyle w:val="4"/>
        <w:adjustRightInd w:val="0"/>
        <w:snapToGrid w:val="0"/>
        <w:spacing w:before="156" w:beforeLines="50" w:after="156" w:afterLines="50" w:line="360" w:lineRule="auto"/>
        <w:jc w:val="center"/>
        <w:rPr>
          <w:rFonts w:hint="eastAsia"/>
          <w:b w:val="0"/>
          <w:bCs w:val="0"/>
          <w:color w:val="auto"/>
          <w:highlight w:val="none"/>
        </w:rPr>
      </w:pPr>
      <w:bookmarkStart w:id="109" w:name="_Toc275865606"/>
      <w:r>
        <w:rPr>
          <w:rFonts w:hint="eastAsia"/>
          <w:b w:val="0"/>
          <w:bCs w:val="0"/>
          <w:color w:val="auto"/>
          <w:highlight w:val="none"/>
        </w:rPr>
        <w:t>投标人资格声明函</w:t>
      </w:r>
    </w:p>
    <w:p>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广东中采招标有限公司：</w:t>
      </w:r>
    </w:p>
    <w:p>
      <w:pPr>
        <w:snapToGrid w:val="0"/>
        <w:spacing w:before="156" w:beforeLines="50"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关于贵公司</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日发布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项目（项目编号：GDZC-21GZ198）的采购公告，本公司（企业）愿意参加投标，并声明：</w:t>
      </w:r>
    </w:p>
    <w:p>
      <w:pPr>
        <w:numPr>
          <w:ilvl w:val="0"/>
          <w:numId w:val="145"/>
        </w:numPr>
        <w:adjustRightInd w:val="0"/>
        <w:snapToGrid w:val="0"/>
        <w:spacing w:line="360" w:lineRule="auto"/>
        <w:ind w:left="567" w:hanging="5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本公司（企业）具备</w:t>
      </w:r>
      <w:r>
        <w:rPr>
          <w:rFonts w:hint="eastAsia" w:ascii="宋体" w:hAnsi="宋体" w:cs="宋体"/>
          <w:color w:val="auto"/>
          <w:sz w:val="21"/>
          <w:szCs w:val="21"/>
          <w:highlight w:val="none"/>
          <w:lang w:eastAsia="zh-CN"/>
        </w:rPr>
        <w:t>以下</w:t>
      </w:r>
      <w:r>
        <w:rPr>
          <w:rFonts w:hint="eastAsia" w:ascii="宋体" w:hAnsi="宋体" w:eastAsia="宋体" w:cs="宋体"/>
          <w:color w:val="auto"/>
          <w:sz w:val="21"/>
          <w:szCs w:val="21"/>
          <w:highlight w:val="none"/>
        </w:rPr>
        <w:t>条件：</w:t>
      </w:r>
    </w:p>
    <w:p>
      <w:pPr>
        <w:adjustRightInd w:val="0"/>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p>
      <w:pPr>
        <w:adjustRightInd w:val="0"/>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财务会计制度</w:t>
      </w:r>
      <w:r>
        <w:rPr>
          <w:rFonts w:hint="eastAsia" w:ascii="宋体" w:hAnsi="宋体" w:eastAsia="宋体" w:cs="宋体"/>
          <w:color w:val="auto"/>
          <w:sz w:val="21"/>
          <w:szCs w:val="21"/>
          <w:highlight w:val="none"/>
        </w:rPr>
        <w:t>；</w:t>
      </w:r>
    </w:p>
    <w:p>
      <w:pPr>
        <w:adjustRightInd w:val="0"/>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（3）具有履行合同所必需的设备和专业技术能力；</w:t>
      </w:r>
    </w:p>
    <w:p>
      <w:pPr>
        <w:adjustRightInd w:val="0"/>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（4）有依法缴纳税收和社会保障资金的良好记录；</w:t>
      </w:r>
    </w:p>
    <w:p>
      <w:pPr>
        <w:adjustRightInd w:val="0"/>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（5）参与本项目采购活动前三年内，在经营活动中没有重大违法记录；</w:t>
      </w:r>
    </w:p>
    <w:p>
      <w:pPr>
        <w:adjustRightInd w:val="0"/>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（6）法律、行政法规规定的其他条件。</w:t>
      </w:r>
    </w:p>
    <w:p>
      <w:pPr>
        <w:numPr>
          <w:ilvl w:val="0"/>
          <w:numId w:val="145"/>
        </w:numPr>
        <w:adjustRightInd w:val="0"/>
        <w:snapToGrid w:val="0"/>
        <w:spacing w:line="360" w:lineRule="auto"/>
        <w:ind w:left="567" w:hanging="5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我方承诺单位负责人为同一人或者存在直接控股、管理关系的不同供应商，不得同时参加本采购项目投标。</w:t>
      </w:r>
    </w:p>
    <w:p>
      <w:pPr>
        <w:numPr>
          <w:ilvl w:val="0"/>
          <w:numId w:val="145"/>
        </w:numPr>
        <w:adjustRightInd w:val="0"/>
        <w:snapToGrid w:val="0"/>
        <w:spacing w:line="360" w:lineRule="auto"/>
        <w:ind w:left="567" w:hanging="5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本公司（企业）具有履行合同所必需的设备和专业技术能力，且本公司（企业）参加</w:t>
      </w:r>
      <w:r>
        <w:rPr>
          <w:rFonts w:hint="eastAsia" w:ascii="宋体" w:hAnsi="宋体" w:cs="宋体"/>
          <w:color w:val="auto"/>
          <w:sz w:val="21"/>
          <w:szCs w:val="21"/>
          <w:highlight w:val="none"/>
          <w:lang w:eastAsia="zh-CN"/>
        </w:rPr>
        <w:t>本项目</w:t>
      </w:r>
      <w:r>
        <w:rPr>
          <w:rFonts w:hint="eastAsia" w:ascii="宋体" w:hAnsi="宋体" w:eastAsia="宋体" w:cs="宋体"/>
          <w:color w:val="auto"/>
          <w:sz w:val="21"/>
          <w:szCs w:val="21"/>
          <w:highlight w:val="none"/>
        </w:rPr>
        <w:t>采购活动前3年内在经营活动中没有重大违法记录。否则，由此所造成的损失、不良后果及法律责任，一律由我公司（企业）承担。</w:t>
      </w:r>
    </w:p>
    <w:p>
      <w:pPr>
        <w:adjustRightInd w:val="0"/>
        <w:snapToGrid w:val="0"/>
        <w:spacing w:line="360" w:lineRule="auto"/>
        <w:ind w:firstLine="424" w:firstLineChars="20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本次招标采购活动中，如有违法、违规、弄虚作假行为，所造成的损失、不良后果及法律责任，一律由我公司（企业）承担。</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特此声明！</w:t>
      </w:r>
    </w:p>
    <w:p>
      <w:pPr>
        <w:spacing w:line="360" w:lineRule="auto"/>
        <w:ind w:firstLine="843" w:firstLineChars="4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备注：本投标人资格声明函内容不得擅自删改，否则视为无效投标。</w:t>
      </w:r>
    </w:p>
    <w:p>
      <w:pPr>
        <w:spacing w:line="360" w:lineRule="auto"/>
        <w:rPr>
          <w:rFonts w:hint="eastAsia" w:ascii="宋体" w:hAnsi="宋体" w:eastAsia="宋体" w:cs="宋体"/>
          <w:color w:val="auto"/>
          <w:sz w:val="21"/>
          <w:szCs w:val="21"/>
          <w:highlight w:val="none"/>
        </w:rPr>
      </w:pP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　　　　　　　　　　　　　　　　法定代表人或投标人授权代表（签名或盖章）：</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单位地址：　　　　　　　　　　　　　　　　单位公章：</w:t>
      </w:r>
    </w:p>
    <w:p>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　　　　　　　　　　　　　　　　日期：</w:t>
      </w:r>
    </w:p>
    <w:p>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w:t>
      </w:r>
    </w:p>
    <w:p>
      <w:pPr>
        <w:rPr>
          <w:rFonts w:hint="eastAsia" w:ascii="宋体" w:hAnsi="宋体" w:eastAsia="宋体" w:cs="宋体"/>
          <w:color w:val="auto"/>
          <w:sz w:val="21"/>
          <w:szCs w:val="21"/>
          <w:highlight w:val="none"/>
        </w:rPr>
      </w:pPr>
    </w:p>
    <w:p>
      <w:pPr>
        <w:pStyle w:val="10"/>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spacing w:line="276"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w:t>
      </w:r>
    </w:p>
    <w:p>
      <w:pPr>
        <w:numPr>
          <w:ilvl w:val="0"/>
          <w:numId w:val="146"/>
        </w:numPr>
        <w:tabs>
          <w:tab w:val="left" w:pos="425"/>
          <w:tab w:val="left" w:pos="1276"/>
        </w:tabs>
        <w:snapToGrid w:val="0"/>
        <w:spacing w:line="360" w:lineRule="auto"/>
        <w:ind w:left="425" w:leftChars="0" w:hanging="425"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有效的营业执照复印件</w:t>
      </w:r>
      <w:r>
        <w:rPr>
          <w:rFonts w:hint="eastAsia" w:ascii="宋体" w:hAnsi="宋体" w:eastAsia="宋体" w:cs="宋体"/>
          <w:color w:val="auto"/>
          <w:kern w:val="0"/>
          <w:sz w:val="21"/>
          <w:szCs w:val="21"/>
          <w:highlight w:val="none"/>
          <w:lang w:eastAsia="zh-CN"/>
        </w:rPr>
        <w:t>；</w:t>
      </w:r>
    </w:p>
    <w:p>
      <w:pPr>
        <w:numPr>
          <w:ilvl w:val="0"/>
          <w:numId w:val="146"/>
        </w:numPr>
        <w:tabs>
          <w:tab w:val="left" w:pos="425"/>
          <w:tab w:val="left" w:pos="1276"/>
        </w:tabs>
        <w:snapToGrid w:val="0"/>
        <w:spacing w:line="360" w:lineRule="auto"/>
        <w:ind w:left="425" w:leftChars="0" w:hanging="425"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bCs/>
          <w:color w:val="auto"/>
          <w:sz w:val="21"/>
          <w:szCs w:val="21"/>
          <w:highlight w:val="none"/>
          <w:lang w:val="en-US" w:eastAsia="zh-CN"/>
        </w:rPr>
        <w:t>财务会计制度，</w:t>
      </w:r>
      <w:r>
        <w:rPr>
          <w:rFonts w:hint="eastAsia" w:ascii="宋体" w:hAnsi="宋体" w:eastAsia="宋体" w:cs="宋体"/>
          <w:color w:val="auto"/>
          <w:kern w:val="0"/>
          <w:sz w:val="21"/>
          <w:szCs w:val="21"/>
          <w:highlight w:val="none"/>
          <w:lang w:eastAsia="zh-CN"/>
        </w:rPr>
        <w:t>须提供下列任一项证明材料：</w:t>
      </w:r>
    </w:p>
    <w:p>
      <w:pPr>
        <w:numPr>
          <w:ilvl w:val="0"/>
          <w:numId w:val="147"/>
        </w:numPr>
        <w:spacing w:line="360" w:lineRule="auto"/>
        <w:ind w:left="425" w:leftChars="0" w:hanging="425"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2019年度或2020年度经审计的财务报告及财务报表（资产负债表、利润表和现金流量表）复印件(要求：审计报告由第三方会计师事务所或其它合法审计机构出具，须包含会计师事务所或审计机构的盖章页)。</w:t>
      </w:r>
    </w:p>
    <w:p>
      <w:pPr>
        <w:numPr>
          <w:ilvl w:val="0"/>
          <w:numId w:val="147"/>
        </w:numPr>
        <w:spacing w:line="360" w:lineRule="auto"/>
        <w:ind w:left="425" w:leftChars="0" w:hanging="425"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基本开户银行出具的资信证明复印件【要求：资信证明书内容应能够清晰准确反映投标人最近6个月内（从本项目招标公告发布之日起，往前倒推计算）的商业信誉情况和满足采购文件有关要求，且其符合性及有效性将以最终审查结果为准。如成立时间不足6个月的，按成立时间提供】。</w:t>
      </w:r>
    </w:p>
    <w:p>
      <w:pPr>
        <w:numPr>
          <w:ilvl w:val="0"/>
          <w:numId w:val="146"/>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eastAsia="zh-CN"/>
        </w:rPr>
        <w:t>2021年度任意1个月依法缴纳税收和社会保障资金</w:t>
      </w:r>
      <w:r>
        <w:rPr>
          <w:rFonts w:hint="eastAsia" w:ascii="宋体" w:hAnsi="宋体" w:eastAsia="宋体" w:cs="宋体"/>
          <w:color w:val="auto"/>
          <w:kern w:val="0"/>
          <w:sz w:val="21"/>
          <w:szCs w:val="21"/>
          <w:highlight w:val="none"/>
        </w:rPr>
        <w:t>的相关材料。如依法免税或不需要缴纳社会保障资金的，提供相应证明材料；</w:t>
      </w:r>
      <w:r>
        <w:rPr>
          <w:rFonts w:hint="eastAsia" w:ascii="宋体" w:hAnsi="宋体" w:eastAsia="宋体" w:cs="宋体"/>
          <w:color w:val="auto"/>
          <w:kern w:val="0"/>
          <w:sz w:val="21"/>
          <w:szCs w:val="21"/>
          <w:highlight w:val="none"/>
          <w:lang w:eastAsia="zh-CN"/>
        </w:rPr>
        <w:t>；</w:t>
      </w:r>
    </w:p>
    <w:p>
      <w:pPr>
        <w:numPr>
          <w:ilvl w:val="0"/>
          <w:numId w:val="146"/>
        </w:numPr>
        <w:spacing w:line="360" w:lineRule="auto"/>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w:t>
      </w:r>
      <w:r>
        <w:rPr>
          <w:rFonts w:hint="eastAsia" w:ascii="宋体" w:hAnsi="宋体" w:cs="宋体"/>
          <w:bCs/>
          <w:color w:val="auto"/>
          <w:sz w:val="21"/>
          <w:szCs w:val="21"/>
          <w:highlight w:val="none"/>
          <w:lang w:eastAsia="zh-CN"/>
        </w:rPr>
        <w:t>招标代理机构</w:t>
      </w:r>
      <w:r>
        <w:rPr>
          <w:rFonts w:hint="eastAsia" w:ascii="宋体" w:hAnsi="宋体" w:eastAsia="宋体" w:cs="宋体"/>
          <w:bCs/>
          <w:color w:val="auto"/>
          <w:sz w:val="21"/>
          <w:szCs w:val="21"/>
          <w:highlight w:val="none"/>
        </w:rPr>
        <w:t>于投标截止日当天在“信用中国”网站（www.creditchina.gov.cn）及中国政府采购网(www.ccgp.gov.cn)查询结果为准，如相关失信记录已失效，供应商需提供相关证明资料】。</w:t>
      </w:r>
    </w:p>
    <w:p>
      <w:pPr>
        <w:pStyle w:val="11"/>
        <w:rPr>
          <w:rFonts w:hint="eastAsia" w:ascii="宋体" w:hAnsi="宋体" w:eastAsia="宋体" w:cs="宋体"/>
          <w:color w:val="auto"/>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09"/>
    <w:p>
      <w:pPr>
        <w:numPr>
          <w:ilvl w:val="0"/>
          <w:numId w:val="143"/>
        </w:num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4"/>
        <w:adjustRightInd w:val="0"/>
        <w:snapToGrid w:val="0"/>
        <w:spacing w:before="156" w:beforeLines="50" w:after="156" w:afterLines="50" w:line="360" w:lineRule="auto"/>
        <w:jc w:val="center"/>
        <w:rPr>
          <w:rFonts w:hint="eastAsia"/>
          <w:b w:val="0"/>
          <w:bCs w:val="0"/>
          <w:color w:val="auto"/>
          <w:highlight w:val="none"/>
        </w:rPr>
      </w:pPr>
      <w:bookmarkStart w:id="110" w:name="_Toc50737297"/>
      <w:bookmarkStart w:id="111" w:name="_Toc50736477"/>
      <w:bookmarkStart w:id="112" w:name="_Toc50737329"/>
      <w:bookmarkStart w:id="113" w:name="_Toc52165081"/>
      <w:bookmarkStart w:id="114" w:name="_Toc275865607"/>
      <w:bookmarkStart w:id="115" w:name="_Toc50691034"/>
      <w:bookmarkStart w:id="116" w:name="_Toc50737296"/>
      <w:bookmarkStart w:id="117" w:name="_Toc52165080"/>
      <w:bookmarkStart w:id="118" w:name="_Toc50737328"/>
      <w:bookmarkStart w:id="119" w:name="_Toc50736476"/>
      <w:r>
        <w:rPr>
          <w:rFonts w:hint="eastAsia"/>
          <w:b w:val="0"/>
          <w:bCs w:val="0"/>
          <w:color w:val="auto"/>
          <w:highlight w:val="none"/>
        </w:rPr>
        <w:t>法定代表人授权委托书</w:t>
      </w:r>
      <w:bookmarkEnd w:id="110"/>
      <w:bookmarkEnd w:id="111"/>
      <w:bookmarkEnd w:id="112"/>
      <w:bookmarkEnd w:id="113"/>
      <w:bookmarkEnd w:id="114"/>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本授权委托书声明：注册于</w:t>
      </w:r>
      <w:r>
        <w:rPr>
          <w:rFonts w:hint="eastAsia" w:ascii="宋体" w:hAnsi="宋体" w:eastAsia="宋体" w:cs="宋体"/>
          <w:color w:val="auto"/>
          <w:sz w:val="21"/>
          <w:szCs w:val="21"/>
          <w:highlight w:val="none"/>
          <w:u w:val="single"/>
        </w:rPr>
        <w:t xml:space="preserve"> （投标人地址）  </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u w:val="single"/>
        </w:rPr>
        <w:t xml:space="preserve">  （投标人名称）    </w:t>
      </w:r>
      <w:r>
        <w:rPr>
          <w:rFonts w:hint="eastAsia" w:ascii="宋体" w:hAnsi="宋体" w:eastAsia="宋体" w:cs="宋体"/>
          <w:color w:val="auto"/>
          <w:sz w:val="21"/>
          <w:szCs w:val="21"/>
          <w:highlight w:val="none"/>
        </w:rPr>
        <w:t>在下面签名的</w:t>
      </w:r>
      <w:r>
        <w:rPr>
          <w:rFonts w:hint="eastAsia" w:ascii="宋体" w:hAnsi="宋体" w:eastAsia="宋体" w:cs="宋体"/>
          <w:color w:val="auto"/>
          <w:sz w:val="21"/>
          <w:szCs w:val="21"/>
          <w:highlight w:val="none"/>
          <w:u w:val="single"/>
        </w:rPr>
        <w:t>（法定代表人姓名、职务）</w:t>
      </w:r>
      <w:r>
        <w:rPr>
          <w:rFonts w:hint="eastAsia" w:ascii="宋体" w:hAnsi="宋体" w:eastAsia="宋体" w:cs="宋体"/>
          <w:color w:val="auto"/>
          <w:sz w:val="21"/>
          <w:szCs w:val="21"/>
          <w:highlight w:val="none"/>
        </w:rPr>
        <w:t>在此授权</w:t>
      </w:r>
      <w:r>
        <w:rPr>
          <w:rFonts w:hint="eastAsia" w:ascii="宋体" w:hAnsi="宋体" w:eastAsia="宋体" w:cs="宋体"/>
          <w:color w:val="auto"/>
          <w:sz w:val="21"/>
          <w:szCs w:val="21"/>
          <w:highlight w:val="none"/>
          <w:u w:val="single"/>
        </w:rPr>
        <w:t>（被授权人姓名、职务）</w:t>
      </w:r>
      <w:r>
        <w:rPr>
          <w:rFonts w:hint="eastAsia" w:ascii="宋体" w:hAnsi="宋体" w:eastAsia="宋体" w:cs="宋体"/>
          <w:color w:val="auto"/>
          <w:sz w:val="21"/>
          <w:szCs w:val="21"/>
          <w:highlight w:val="none"/>
        </w:rPr>
        <w:t>作为我公司的合法代理人，就</w:t>
      </w:r>
      <w:r>
        <w:rPr>
          <w:rFonts w:hint="eastAsia" w:ascii="宋体" w:hAnsi="宋体" w:eastAsia="宋体" w:cs="宋体"/>
          <w:color w:val="auto"/>
          <w:sz w:val="21"/>
          <w:szCs w:val="21"/>
          <w:highlight w:val="none"/>
          <w:u w:val="single"/>
        </w:rPr>
        <w:t>（项目名称、项目编号</w:t>
      </w:r>
      <w:r>
        <w:rPr>
          <w:rFonts w:hint="eastAsia" w:ascii="宋体" w:hAnsi="宋体" w:eastAsia="宋体" w:cs="宋体"/>
          <w:color w:val="auto"/>
          <w:sz w:val="21"/>
          <w:szCs w:val="21"/>
          <w:highlight w:val="none"/>
        </w:rPr>
        <w:t>）的招投标活动，提交投标文件及采购合同的签订、执行、完成和售后服务，作为投标人代表以我方的名义处理一切与之有关的事务。</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被授权人（投标人授权代表）无转委托权限。</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本授权书自法定代表人</w:t>
      </w:r>
      <w:r>
        <w:rPr>
          <w:rFonts w:hint="eastAsia" w:ascii="宋体" w:hAnsi="宋体" w:eastAsia="宋体" w:cs="宋体"/>
          <w:color w:val="auto"/>
          <w:sz w:val="21"/>
          <w:szCs w:val="21"/>
          <w:highlight w:val="none"/>
          <w:lang w:eastAsia="zh-CN"/>
        </w:rPr>
        <w:t>签名</w:t>
      </w:r>
      <w:r>
        <w:rPr>
          <w:rFonts w:hint="eastAsia" w:ascii="宋体" w:hAnsi="宋体" w:eastAsia="宋体" w:cs="宋体"/>
          <w:color w:val="auto"/>
          <w:sz w:val="21"/>
          <w:szCs w:val="21"/>
          <w:highlight w:val="none"/>
        </w:rPr>
        <w:t>之日起生效，特此声明。</w:t>
      </w:r>
    </w:p>
    <w:p>
      <w:pPr>
        <w:spacing w:line="480" w:lineRule="auto"/>
        <w:ind w:left="2" w:leftChars="1" w:firstLine="1365" w:firstLineChars="650"/>
        <w:rPr>
          <w:rFonts w:hint="eastAsia" w:ascii="宋体" w:hAnsi="宋体" w:eastAsia="宋体" w:cs="宋体"/>
          <w:color w:val="auto"/>
          <w:sz w:val="21"/>
          <w:szCs w:val="21"/>
          <w:highlight w:val="none"/>
        </w:rPr>
      </w:pPr>
    </w:p>
    <w:p>
      <w:pPr>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随附《法定代表人证明》</w: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p>
    <w:p>
      <w:pPr>
        <w:tabs>
          <w:tab w:val="left" w:pos="3780"/>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法定代表人（签名或盖章）：                         </w:t>
      </w:r>
    </w:p>
    <w:p>
      <w:pPr>
        <w:tabs>
          <w:tab w:val="left" w:pos="3780"/>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签名</w:t>
      </w:r>
      <w:r>
        <w:rPr>
          <w:rFonts w:hint="eastAsia" w:ascii="宋体" w:hAnsi="宋体" w:eastAsia="宋体" w:cs="宋体"/>
          <w:color w:val="auto"/>
          <w:sz w:val="21"/>
          <w:szCs w:val="21"/>
          <w:highlight w:val="none"/>
        </w:rPr>
        <w:t>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pPr>
        <w:spacing w:line="360" w:lineRule="auto"/>
        <w:ind w:left="1159" w:leftChars="552" w:firstLine="2261"/>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3124200</wp:posOffset>
                </wp:positionH>
                <wp:positionV relativeFrom="paragraph">
                  <wp:posOffset>217170</wp:posOffset>
                </wp:positionV>
                <wp:extent cx="2781300" cy="1639570"/>
                <wp:effectExtent l="4445" t="4445" r="8255" b="6985"/>
                <wp:wrapNone/>
                <wp:docPr id="8" name="矩形 8"/>
                <wp:cNvGraphicFramePr/>
                <a:graphic xmlns:a="http://schemas.openxmlformats.org/drawingml/2006/main">
                  <a:graphicData uri="http://schemas.microsoft.com/office/word/2010/wordprocessingShape">
                    <wps:wsp>
                      <wps:cNvSpPr/>
                      <wps:spPr>
                        <a:xfrm>
                          <a:off x="0" y="0"/>
                          <a:ext cx="2781300" cy="1639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260" w:firstLineChars="600"/>
                              <w:rPr>
                                <w:rFonts w:hint="eastAsia"/>
                              </w:rPr>
                            </w:pPr>
                            <w:r>
                              <w:rPr>
                                <w:rFonts w:hint="eastAsia"/>
                              </w:rPr>
                              <w:t>被授权人（授权代表）</w:t>
                            </w:r>
                          </w:p>
                          <w:p>
                            <w:pPr>
                              <w:ind w:firstLine="1050" w:firstLineChars="500"/>
                            </w:pPr>
                            <w:r>
                              <w:rPr>
                                <w:rFonts w:hint="eastAsia"/>
                              </w:rPr>
                              <w:t>居民身份证复印件粘贴处</w:t>
                            </w:r>
                          </w:p>
                          <w:p>
                            <w:pPr>
                              <w:ind w:firstLine="1050" w:firstLineChars="500"/>
                            </w:pPr>
                          </w:p>
                          <w:p>
                            <w:pPr>
                              <w:ind w:firstLine="1050" w:firstLineChars="500"/>
                              <w:rPr>
                                <w:rFonts w:hint="eastAsia"/>
                              </w:rPr>
                            </w:pPr>
                            <w:r>
                              <w:rPr>
                                <w:rFonts w:hint="eastAsia"/>
                              </w:rPr>
                              <w:t xml:space="preserve">       （反面</w:t>
                            </w:r>
                            <w:r>
                              <w:t>）</w:t>
                            </w:r>
                          </w:p>
                          <w:p/>
                        </w:txbxContent>
                      </wps:txbx>
                      <wps:bodyPr upright="1"/>
                    </wps:wsp>
                  </a:graphicData>
                </a:graphic>
              </wp:anchor>
            </w:drawing>
          </mc:Choice>
          <mc:Fallback>
            <w:pict>
              <v:rect id="_x0000_s1026" o:spid="_x0000_s1026" o:spt="1" style="position:absolute;left:0pt;margin-left:246pt;margin-top:17.1pt;height:129.1pt;width:219pt;z-index:251661312;mso-width-relative:page;mso-height-relative:page;" fillcolor="#FFFFFF" filled="t" stroked="t" coordsize="21600,21600" o:gfxdata="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VOnF2AAAAAoBAAAPAAAAAAAAAAEAIAAAACIA&#10;AABkcnMvZG93bnJldi54bWxQSwECFAAUAAAACACHTuJAiI7iwgkCAAA4BAAADgAAAAAAAAABACAA&#10;AAAnAQAAZHJzL2Uyb0RvYy54bWxQSwUGAAAAAAYABgBZAQAAogUAAAAA&#10;">
                <v:fill on="t" focussize="0,0"/>
                <v:stroke color="#000000" joinstyle="miter"/>
                <v:imagedata o:title=""/>
                <o:lock v:ext="edit" aspectratio="f"/>
                <v:textbox>
                  <w:txbxContent>
                    <w:p>
                      <w:pPr>
                        <w:ind w:firstLine="1260" w:firstLineChars="600"/>
                        <w:rPr>
                          <w:rFonts w:hint="eastAsia"/>
                        </w:rPr>
                      </w:pPr>
                      <w:r>
                        <w:rPr>
                          <w:rFonts w:hint="eastAsia"/>
                        </w:rPr>
                        <w:t>被授权人（授权代表）</w:t>
                      </w:r>
                    </w:p>
                    <w:p>
                      <w:pPr>
                        <w:ind w:firstLine="1050" w:firstLineChars="500"/>
                      </w:pPr>
                      <w:r>
                        <w:rPr>
                          <w:rFonts w:hint="eastAsia"/>
                        </w:rPr>
                        <w:t>居民身份证复印件粘贴处</w:t>
                      </w:r>
                    </w:p>
                    <w:p>
                      <w:pPr>
                        <w:ind w:firstLine="1050" w:firstLineChars="500"/>
                      </w:pPr>
                    </w:p>
                    <w:p>
                      <w:pPr>
                        <w:ind w:firstLine="1050" w:firstLineChars="500"/>
                        <w:rPr>
                          <w:rFonts w:hint="eastAsia"/>
                        </w:rPr>
                      </w:pPr>
                      <w:r>
                        <w:rPr>
                          <w:rFonts w:hint="eastAsia"/>
                        </w:rPr>
                        <w:t xml:space="preserve">       （反面</w:t>
                      </w:r>
                      <w:r>
                        <w:t>）</w:t>
                      </w:r>
                    </w:p>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217170</wp:posOffset>
                </wp:positionV>
                <wp:extent cx="2781300" cy="1639570"/>
                <wp:effectExtent l="4445" t="4445" r="8255" b="6985"/>
                <wp:wrapNone/>
                <wp:docPr id="1" name="矩形 1"/>
                <wp:cNvGraphicFramePr/>
                <a:graphic xmlns:a="http://schemas.openxmlformats.org/drawingml/2006/main">
                  <a:graphicData uri="http://schemas.microsoft.com/office/word/2010/wordprocessingShape">
                    <wps:wsp>
                      <wps:cNvSpPr/>
                      <wps:spPr>
                        <a:xfrm>
                          <a:off x="0" y="0"/>
                          <a:ext cx="2781300" cy="16395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1260" w:firstLineChars="600"/>
                              <w:rPr>
                                <w:rFonts w:hint="eastAsia"/>
                              </w:rPr>
                            </w:pPr>
                            <w:r>
                              <w:rPr>
                                <w:rFonts w:hint="eastAsia"/>
                              </w:rPr>
                              <w:t>被授权人（授权代表）</w:t>
                            </w:r>
                          </w:p>
                          <w:p>
                            <w:pPr>
                              <w:ind w:firstLine="1050" w:firstLineChars="500"/>
                              <w:rPr>
                                <w:rFonts w:hint="eastAsia"/>
                              </w:rPr>
                            </w:pPr>
                            <w:r>
                              <w:rPr>
                                <w:rFonts w:hint="eastAsia"/>
                              </w:rPr>
                              <w:t>居民身份证复印件粘贴处</w:t>
                            </w:r>
                          </w:p>
                          <w:p/>
                          <w:p>
                            <w:pPr>
                              <w:jc w:val="center"/>
                              <w:rPr>
                                <w:rFonts w:hint="eastAsia"/>
                              </w:rPr>
                            </w:pPr>
                            <w:r>
                              <w:rPr>
                                <w:rFonts w:hint="eastAsia"/>
                              </w:rPr>
                              <w:t>（正面</w:t>
                            </w:r>
                            <w:r>
                              <w:t>）</w:t>
                            </w:r>
                          </w:p>
                        </w:txbxContent>
                      </wps:txbx>
                      <wps:bodyPr upright="1"/>
                    </wps:wsp>
                  </a:graphicData>
                </a:graphic>
              </wp:anchor>
            </w:drawing>
          </mc:Choice>
          <mc:Fallback>
            <w:pict>
              <v:rect id="_x0000_s1026" o:spid="_x0000_s1026" o:spt="1" style="position:absolute;left:0pt;margin-left:11.25pt;margin-top:17.1pt;height:129.1pt;width:219pt;z-index:251660288;mso-width-relative:page;mso-height-relative:page;" fillcolor="#FFFFFF" filled="t" stroked="t" coordsize="21600,21600" o:gfxdata="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pKmp7XAAAACQEAAA8AAAAAAAAAAQAgAAAAIgAA&#10;AGRycy9kb3ducmV2LnhtbFBLAQIUABQAAAAIAIdO4kDdxxIFCQIAADgEAAAOAAAAAAAAAAEAIAAA&#10;ACYBAABkcnMvZTJvRG9jLnhtbFBLBQYAAAAABgAGAFkBAAChBQAAAAA=&#10;">
                <v:fill on="t" focussize="0,0"/>
                <v:stroke color="#000000" joinstyle="miter"/>
                <v:imagedata o:title=""/>
                <o:lock v:ext="edit" aspectratio="f"/>
                <v:textbox>
                  <w:txbxContent>
                    <w:p>
                      <w:pPr>
                        <w:ind w:firstLine="1260" w:firstLineChars="600"/>
                        <w:rPr>
                          <w:rFonts w:hint="eastAsia"/>
                        </w:rPr>
                      </w:pPr>
                      <w:r>
                        <w:rPr>
                          <w:rFonts w:hint="eastAsia"/>
                        </w:rPr>
                        <w:t>被授权人（授权代表）</w:t>
                      </w:r>
                    </w:p>
                    <w:p>
                      <w:pPr>
                        <w:ind w:firstLine="1050" w:firstLineChars="500"/>
                        <w:rPr>
                          <w:rFonts w:hint="eastAsia"/>
                        </w:rPr>
                      </w:pPr>
                      <w:r>
                        <w:rPr>
                          <w:rFonts w:hint="eastAsia"/>
                        </w:rPr>
                        <w:t>居民身份证复印件粘贴处</w:t>
                      </w:r>
                    </w:p>
                    <w:p/>
                    <w:p>
                      <w:pPr>
                        <w:jc w:val="center"/>
                        <w:rPr>
                          <w:rFonts w:hint="eastAsia"/>
                        </w:rPr>
                      </w:pPr>
                      <w:r>
                        <w:rPr>
                          <w:rFonts w:hint="eastAsia"/>
                        </w:rPr>
                        <w:t>（正面</w:t>
                      </w:r>
                      <w:r>
                        <w:t>）</w:t>
                      </w:r>
                    </w:p>
                  </w:txbxContent>
                </v:textbox>
              </v:rect>
            </w:pict>
          </mc:Fallback>
        </mc:AlternateContent>
      </w: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360" w:lineRule="auto"/>
        <w:rPr>
          <w:rFonts w:hint="eastAsia" w:ascii="宋体" w:hAnsi="宋体" w:eastAsia="宋体" w:cs="宋体"/>
          <w:color w:val="auto"/>
          <w:sz w:val="21"/>
          <w:szCs w:val="21"/>
          <w:highlight w:val="none"/>
        </w:rPr>
      </w:pPr>
    </w:p>
    <w:p>
      <w:pPr>
        <w:spacing w:line="440" w:lineRule="exact"/>
        <w:rPr>
          <w:rFonts w:hint="eastAsia" w:ascii="宋体" w:hAnsi="宋体" w:eastAsia="宋体" w:cs="宋体"/>
          <w:color w:val="auto"/>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20" w:name="_Toc226217114"/>
    </w:p>
    <w:bookmarkEnd w:id="120"/>
    <w:p>
      <w:pPr>
        <w:numPr>
          <w:ilvl w:val="0"/>
          <w:numId w:val="143"/>
        </w:numPr>
        <w:spacing w:line="440" w:lineRule="exact"/>
        <w:rPr>
          <w:rFonts w:hint="eastAsia" w:ascii="宋体" w:hAnsi="宋体" w:eastAsia="宋体" w:cs="宋体"/>
          <w:color w:val="auto"/>
          <w:sz w:val="21"/>
          <w:szCs w:val="21"/>
          <w:highlight w:val="none"/>
        </w:rPr>
      </w:pPr>
    </w:p>
    <w:p>
      <w:pPr>
        <w:pStyle w:val="4"/>
        <w:adjustRightInd w:val="0"/>
        <w:snapToGrid w:val="0"/>
        <w:spacing w:before="156" w:beforeLines="50" w:after="156" w:afterLines="50" w:line="360" w:lineRule="auto"/>
        <w:jc w:val="center"/>
        <w:rPr>
          <w:rFonts w:hint="eastAsia"/>
          <w:b w:val="0"/>
          <w:bCs w:val="0"/>
          <w:color w:val="auto"/>
          <w:highlight w:val="none"/>
        </w:rPr>
      </w:pPr>
      <w:bookmarkStart w:id="121" w:name="_Toc275865608"/>
      <w:r>
        <w:rPr>
          <w:rFonts w:hint="eastAsia"/>
          <w:b w:val="0"/>
          <w:bCs w:val="0"/>
          <w:color w:val="auto"/>
          <w:highlight w:val="none"/>
        </w:rPr>
        <w:t>法定代表人证明书</w:t>
      </w:r>
      <w:bookmarkEnd w:id="115"/>
      <w:bookmarkEnd w:id="116"/>
      <w:bookmarkEnd w:id="117"/>
      <w:bookmarkEnd w:id="118"/>
      <w:bookmarkEnd w:id="119"/>
      <w:bookmarkEnd w:id="121"/>
    </w:p>
    <w:p>
      <w:pPr>
        <w:tabs>
          <w:tab w:val="left" w:pos="900"/>
        </w:tabs>
        <w:spacing w:line="480" w:lineRule="auto"/>
        <w:ind w:firstLine="945" w:firstLineChars="4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______________同志，现任我单位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职务，为法定代表人，特此证明。</w:t>
      </w:r>
    </w:p>
    <w:p>
      <w:pPr>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有效日期与本公司投标文件中标注的投标有效期相同。签发日期：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p>
    <w:p>
      <w:pPr>
        <w:spacing w:line="48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w:t>
      </w:r>
    </w:p>
    <w:p>
      <w:pPr>
        <w:spacing w:line="480" w:lineRule="auto"/>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营业执照（注册号）：                       </w:t>
      </w:r>
    </w:p>
    <w:p>
      <w:pPr>
        <w:spacing w:line="480" w:lineRule="auto"/>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经济性质：</w:t>
      </w:r>
    </w:p>
    <w:p>
      <w:pPr>
        <w:spacing w:line="480" w:lineRule="auto"/>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经营范围：</w:t>
      </w:r>
    </w:p>
    <w:p>
      <w:pPr>
        <w:spacing w:line="480" w:lineRule="auto"/>
        <w:ind w:firstLine="843" w:firstLineChars="4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3528695</wp:posOffset>
                </wp:positionH>
                <wp:positionV relativeFrom="paragraph">
                  <wp:posOffset>243840</wp:posOffset>
                </wp:positionV>
                <wp:extent cx="2743200" cy="1622425"/>
                <wp:effectExtent l="4445" t="4445" r="8255" b="11430"/>
                <wp:wrapNone/>
                <wp:docPr id="2" name="矩形 2"/>
                <wp:cNvGraphicFramePr/>
                <a:graphic xmlns:a="http://schemas.openxmlformats.org/drawingml/2006/main">
                  <a:graphicData uri="http://schemas.microsoft.com/office/word/2010/wordprocessingShape">
                    <wps:wsp>
                      <wps:cNvSpPr/>
                      <wps:spPr>
                        <a:xfrm>
                          <a:off x="0" y="0"/>
                          <a:ext cx="2743200" cy="1622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rPr>
                                <w:rFonts w:hint="eastAsia"/>
                              </w:rPr>
                            </w:pPr>
                          </w:p>
                          <w:p>
                            <w:pPr>
                              <w:ind w:firstLine="1680" w:firstLineChars="800"/>
                              <w:rPr>
                                <w:rFonts w:hint="eastAsia"/>
                              </w:rPr>
                            </w:pPr>
                            <w:r>
                              <w:rPr>
                                <w:rFonts w:hint="eastAsia"/>
                              </w:rPr>
                              <w:t>法定代表人</w:t>
                            </w:r>
                          </w:p>
                          <w:p>
                            <w:pPr>
                              <w:ind w:firstLine="1050" w:firstLineChars="500"/>
                            </w:pPr>
                            <w:r>
                              <w:rPr>
                                <w:rFonts w:hint="eastAsia"/>
                              </w:rPr>
                              <w:t>居民身份证复印件粘贴处</w:t>
                            </w:r>
                          </w:p>
                          <w:p>
                            <w:pPr>
                              <w:ind w:firstLine="1050" w:firstLineChars="500"/>
                            </w:pPr>
                          </w:p>
                          <w:p>
                            <w:pPr>
                              <w:ind w:firstLine="1050" w:firstLineChars="500"/>
                              <w:rPr>
                                <w:rFonts w:hint="eastAsia"/>
                              </w:rPr>
                            </w:pPr>
                            <w:r>
                              <w:rPr>
                                <w:rFonts w:hint="eastAsia"/>
                              </w:rPr>
                              <w:t xml:space="preserve">        （反面</w:t>
                            </w:r>
                            <w:r>
                              <w:t>）</w:t>
                            </w:r>
                          </w:p>
                        </w:txbxContent>
                      </wps:txbx>
                      <wps:bodyPr upright="1"/>
                    </wps:wsp>
                  </a:graphicData>
                </a:graphic>
              </wp:anchor>
            </w:drawing>
          </mc:Choice>
          <mc:Fallback>
            <w:pict>
              <v:rect id="_x0000_s1026" o:spid="_x0000_s1026" o:spt="1" style="position:absolute;left:0pt;margin-left:277.85pt;margin-top:19.2pt;height:127.75pt;width:216pt;z-index:251662336;mso-width-relative:page;mso-height-relative:page;" fillcolor="#FFFFFF" filled="t" stroked="t" coordsize="21600,21600" o:gfxdata="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4xg2D2QAAAAoBAAAPAAAAAAAAAAEAIAAAACIAAABk&#10;cnMvZG93bnJldi54bWxQSwECFAAUAAAACACHTuJAcc+3zQUCAAA4BAAADgAAAAAAAAABACAAAAAo&#10;AQAAZHJzL2Uyb0RvYy54bWxQSwUGAAAAAAYABgBZAQAAnwUAAAAA&#10;">
                <v:fill on="t" focussize="0,0"/>
                <v:stroke color="#000000" joinstyle="miter"/>
                <v:imagedata o:title=""/>
                <o:lock v:ext="edit" aspectratio="f"/>
                <v:textbox>
                  <w:txbxContent>
                    <w:p>
                      <w:pPr>
                        <w:ind w:firstLine="840" w:firstLineChars="400"/>
                        <w:rPr>
                          <w:rFonts w:hint="eastAsia"/>
                        </w:rPr>
                      </w:pPr>
                    </w:p>
                    <w:p>
                      <w:pPr>
                        <w:ind w:firstLine="1680" w:firstLineChars="800"/>
                        <w:rPr>
                          <w:rFonts w:hint="eastAsia"/>
                        </w:rPr>
                      </w:pPr>
                      <w:r>
                        <w:rPr>
                          <w:rFonts w:hint="eastAsia"/>
                        </w:rPr>
                        <w:t>法定代表人</w:t>
                      </w:r>
                    </w:p>
                    <w:p>
                      <w:pPr>
                        <w:ind w:firstLine="1050" w:firstLineChars="500"/>
                      </w:pPr>
                      <w:r>
                        <w:rPr>
                          <w:rFonts w:hint="eastAsia"/>
                        </w:rPr>
                        <w:t>居民身份证复印件粘贴处</w:t>
                      </w:r>
                    </w:p>
                    <w:p>
                      <w:pPr>
                        <w:ind w:firstLine="1050" w:firstLineChars="500"/>
                      </w:pPr>
                    </w:p>
                    <w:p>
                      <w:pPr>
                        <w:ind w:firstLine="1050" w:firstLineChars="500"/>
                        <w:rPr>
                          <w:rFonts w:hint="eastAsia"/>
                        </w:rPr>
                      </w:pPr>
                      <w:r>
                        <w:rPr>
                          <w:rFonts w:hint="eastAsia"/>
                        </w:rPr>
                        <w:t xml:space="preserve">        （反面</w:t>
                      </w:r>
                      <w:r>
                        <w:t>）</w:t>
                      </w:r>
                    </w:p>
                  </w:txbxContent>
                </v:textbox>
              </v:rect>
            </w:pict>
          </mc:Fallback>
        </mc:AlternateContent>
      </w:r>
      <w:r>
        <w:rPr>
          <w:rFonts w:hint="eastAsia" w:ascii="宋体" w:hAnsi="宋体" w:eastAsia="宋体" w:cs="宋体"/>
          <w:color w:val="auto"/>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575945</wp:posOffset>
                </wp:positionH>
                <wp:positionV relativeFrom="paragraph">
                  <wp:posOffset>243840</wp:posOffset>
                </wp:positionV>
                <wp:extent cx="2743200" cy="1622425"/>
                <wp:effectExtent l="4445" t="4445" r="8255" b="11430"/>
                <wp:wrapNone/>
                <wp:docPr id="4" name="矩形 4"/>
                <wp:cNvGraphicFramePr/>
                <a:graphic xmlns:a="http://schemas.openxmlformats.org/drawingml/2006/main">
                  <a:graphicData uri="http://schemas.microsoft.com/office/word/2010/wordprocessingShape">
                    <wps:wsp>
                      <wps:cNvSpPr/>
                      <wps:spPr>
                        <a:xfrm>
                          <a:off x="0" y="0"/>
                          <a:ext cx="2743200" cy="1622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840" w:firstLineChars="400"/>
                              <w:rPr>
                                <w:rFonts w:hint="eastAsia"/>
                              </w:rPr>
                            </w:pPr>
                          </w:p>
                          <w:p>
                            <w:pPr>
                              <w:ind w:firstLine="1680" w:firstLineChars="800"/>
                              <w:rPr>
                                <w:rFonts w:hint="eastAsia"/>
                              </w:rPr>
                            </w:pPr>
                            <w:r>
                              <w:rPr>
                                <w:rFonts w:hint="eastAsia"/>
                              </w:rPr>
                              <w:t>法定代表人</w:t>
                            </w:r>
                          </w:p>
                          <w:p>
                            <w:pPr>
                              <w:ind w:firstLine="1050" w:firstLineChars="500"/>
                            </w:pPr>
                            <w:r>
                              <w:rPr>
                                <w:rFonts w:hint="eastAsia"/>
                              </w:rPr>
                              <w:t>居民身份证复印件粘贴处</w:t>
                            </w:r>
                          </w:p>
                          <w:p>
                            <w:pPr>
                              <w:ind w:firstLine="1050" w:firstLineChars="500"/>
                              <w:rPr>
                                <w:rFonts w:hint="eastAsia"/>
                              </w:rPr>
                            </w:pPr>
                            <w:r>
                              <w:rPr>
                                <w:rFonts w:hint="eastAsia"/>
                              </w:rPr>
                              <w:t xml:space="preserve"> </w:t>
                            </w:r>
                          </w:p>
                          <w:p>
                            <w:pPr>
                              <w:ind w:firstLine="1050" w:firstLineChars="500"/>
                              <w:rPr>
                                <w:rFonts w:hint="eastAsia"/>
                              </w:rPr>
                            </w:pPr>
                            <w:r>
                              <w:t xml:space="preserve">       </w:t>
                            </w:r>
                            <w:r>
                              <w:rPr>
                                <w:rFonts w:hint="eastAsia"/>
                              </w:rPr>
                              <w:t>（正面</w:t>
                            </w:r>
                            <w:r>
                              <w:t>）</w:t>
                            </w:r>
                          </w:p>
                        </w:txbxContent>
                      </wps:txbx>
                      <wps:bodyPr upright="1"/>
                    </wps:wsp>
                  </a:graphicData>
                </a:graphic>
              </wp:anchor>
            </w:drawing>
          </mc:Choice>
          <mc:Fallback>
            <w:pict>
              <v:rect id="_x0000_s1026" o:spid="_x0000_s1026" o:spt="1" style="position:absolute;left:0pt;margin-left:45.35pt;margin-top:19.2pt;height:127.75pt;width:216pt;z-index:251659264;mso-width-relative:page;mso-height-relative:page;" fillcolor="#FFFFFF" filled="t" stroked="t" coordsize="21600,21600" o:gfxdata="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efqovYAAAACQEAAA8AAAAAAAAAAQAgAAAAIgAAAGRy&#10;cy9kb3ducmV2LnhtbFBLAQIUABQAAAAIAIdO4kDSSqdbBQIAADgEAAAOAAAAAAAAAAEAIAAAACcB&#10;AABkcnMvZTJvRG9jLnhtbFBLBQYAAAAABgAGAFkBAACeBQAAAAA=&#10;">
                <v:fill on="t" focussize="0,0"/>
                <v:stroke color="#000000" joinstyle="miter"/>
                <v:imagedata o:title=""/>
                <o:lock v:ext="edit" aspectratio="f"/>
                <v:textbox>
                  <w:txbxContent>
                    <w:p>
                      <w:pPr>
                        <w:ind w:firstLine="840" w:firstLineChars="400"/>
                        <w:rPr>
                          <w:rFonts w:hint="eastAsia"/>
                        </w:rPr>
                      </w:pPr>
                    </w:p>
                    <w:p>
                      <w:pPr>
                        <w:ind w:firstLine="1680" w:firstLineChars="800"/>
                        <w:rPr>
                          <w:rFonts w:hint="eastAsia"/>
                        </w:rPr>
                      </w:pPr>
                      <w:r>
                        <w:rPr>
                          <w:rFonts w:hint="eastAsia"/>
                        </w:rPr>
                        <w:t>法定代表人</w:t>
                      </w:r>
                    </w:p>
                    <w:p>
                      <w:pPr>
                        <w:ind w:firstLine="1050" w:firstLineChars="500"/>
                      </w:pPr>
                      <w:r>
                        <w:rPr>
                          <w:rFonts w:hint="eastAsia"/>
                        </w:rPr>
                        <w:t>居民身份证复印件粘贴处</w:t>
                      </w:r>
                    </w:p>
                    <w:p>
                      <w:pPr>
                        <w:ind w:firstLine="1050" w:firstLineChars="500"/>
                        <w:rPr>
                          <w:rFonts w:hint="eastAsia"/>
                        </w:rPr>
                      </w:pPr>
                      <w:r>
                        <w:rPr>
                          <w:rFonts w:hint="eastAsia"/>
                        </w:rPr>
                        <w:t xml:space="preserve"> </w:t>
                      </w:r>
                    </w:p>
                    <w:p>
                      <w:pPr>
                        <w:ind w:firstLine="1050" w:firstLineChars="500"/>
                        <w:rPr>
                          <w:rFonts w:hint="eastAsia"/>
                        </w:rPr>
                      </w:pPr>
                      <w:r>
                        <w:t xml:space="preserve">       </w:t>
                      </w:r>
                      <w:r>
                        <w:rPr>
                          <w:rFonts w:hint="eastAsia"/>
                        </w:rPr>
                        <w:t>（正面</w:t>
                      </w:r>
                      <w:r>
                        <w:t>）</w:t>
                      </w:r>
                    </w:p>
                  </w:txbxContent>
                </v:textbox>
              </v:rect>
            </w:pict>
          </mc:Fallback>
        </mc:AlternateContent>
      </w:r>
    </w:p>
    <w:p>
      <w:pPr>
        <w:spacing w:line="500" w:lineRule="exact"/>
        <w:rPr>
          <w:rFonts w:hint="eastAsia" w:ascii="宋体" w:hAnsi="宋体" w:eastAsia="宋体" w:cs="宋体"/>
          <w:b/>
          <w:bCs/>
          <w:color w:val="auto"/>
          <w:sz w:val="21"/>
          <w:szCs w:val="21"/>
          <w:highlight w:val="none"/>
        </w:rPr>
      </w:pPr>
    </w:p>
    <w:p>
      <w:pPr>
        <w:spacing w:line="500" w:lineRule="exact"/>
        <w:rPr>
          <w:rFonts w:hint="eastAsia" w:ascii="宋体" w:hAnsi="宋体" w:eastAsia="宋体" w:cs="宋体"/>
          <w:b/>
          <w:bCs/>
          <w:color w:val="auto"/>
          <w:sz w:val="21"/>
          <w:szCs w:val="21"/>
          <w:highlight w:val="none"/>
        </w:rPr>
      </w:pPr>
    </w:p>
    <w:p>
      <w:pPr>
        <w:spacing w:line="500" w:lineRule="exact"/>
        <w:rPr>
          <w:rFonts w:hint="eastAsia" w:ascii="宋体" w:hAnsi="宋体" w:eastAsia="宋体" w:cs="宋体"/>
          <w:b/>
          <w:bCs/>
          <w:color w:val="auto"/>
          <w:sz w:val="21"/>
          <w:szCs w:val="21"/>
          <w:highlight w:val="none"/>
        </w:rPr>
      </w:pPr>
    </w:p>
    <w:p>
      <w:pPr>
        <w:spacing w:line="500" w:lineRule="exact"/>
        <w:rPr>
          <w:rFonts w:hint="eastAsia" w:ascii="宋体" w:hAnsi="宋体" w:eastAsia="宋体" w:cs="宋体"/>
          <w:b/>
          <w:bCs/>
          <w:color w:val="auto"/>
          <w:sz w:val="21"/>
          <w:szCs w:val="21"/>
          <w:highlight w:val="none"/>
        </w:rPr>
      </w:pPr>
    </w:p>
    <w:p>
      <w:pPr>
        <w:spacing w:line="500" w:lineRule="exact"/>
        <w:rPr>
          <w:rFonts w:hint="eastAsia" w:ascii="宋体" w:hAnsi="宋体" w:eastAsia="宋体" w:cs="宋体"/>
          <w:b/>
          <w:bCs/>
          <w:color w:val="auto"/>
          <w:sz w:val="21"/>
          <w:szCs w:val="21"/>
          <w:highlight w:val="none"/>
        </w:rPr>
      </w:pPr>
    </w:p>
    <w:p>
      <w:pPr>
        <w:spacing w:line="500" w:lineRule="exact"/>
        <w:rPr>
          <w:rFonts w:hint="eastAsia" w:ascii="宋体" w:hAnsi="宋体" w:eastAsia="宋体" w:cs="宋体"/>
          <w:b/>
          <w:bCs/>
          <w:color w:val="auto"/>
          <w:sz w:val="21"/>
          <w:szCs w:val="21"/>
          <w:highlight w:val="none"/>
        </w:rPr>
      </w:pPr>
    </w:p>
    <w:p>
      <w:pPr>
        <w:spacing w:line="5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w:t>
      </w:r>
    </w:p>
    <w:p>
      <w:pPr>
        <w:spacing w:line="50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                                           </w:t>
      </w:r>
      <w:r>
        <w:rPr>
          <w:rFonts w:hint="eastAsia" w:ascii="宋体" w:hAnsi="宋体" w:eastAsia="宋体" w:cs="宋体"/>
          <w:color w:val="auto"/>
          <w:sz w:val="21"/>
          <w:szCs w:val="21"/>
          <w:highlight w:val="none"/>
        </w:rPr>
        <w:t>投标人名称(加盖公章)：</w:t>
      </w:r>
    </w:p>
    <w:p>
      <w:pPr>
        <w:spacing w:line="5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地址：</w:t>
      </w:r>
    </w:p>
    <w:p>
      <w:pPr>
        <w:spacing w:line="500" w:lineRule="exac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 xml:space="preserve">                                           日期：</w:t>
      </w:r>
    </w:p>
    <w:p>
      <w:pPr>
        <w:numPr>
          <w:ilvl w:val="0"/>
          <w:numId w:val="143"/>
        </w:numPr>
        <w:spacing w:line="440" w:lineRule="exact"/>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br w:type="page"/>
      </w:r>
      <w:r>
        <w:rPr>
          <w:rFonts w:hint="eastAsia" w:ascii="宋体" w:hAnsi="宋体" w:eastAsia="宋体" w:cs="宋体"/>
          <w:b/>
          <w:bCs/>
          <w:color w:val="auto"/>
          <w:sz w:val="21"/>
          <w:szCs w:val="21"/>
          <w:highlight w:val="none"/>
        </w:rPr>
        <w:t xml:space="preserve">   </w:t>
      </w:r>
    </w:p>
    <w:p>
      <w:pPr>
        <w:pStyle w:val="4"/>
        <w:adjustRightInd w:val="0"/>
        <w:snapToGrid w:val="0"/>
        <w:spacing w:before="156" w:beforeLines="50" w:after="156" w:afterLines="50" w:line="360" w:lineRule="auto"/>
        <w:jc w:val="center"/>
        <w:rPr>
          <w:rFonts w:hint="eastAsia"/>
          <w:b w:val="0"/>
          <w:bCs w:val="0"/>
          <w:color w:val="auto"/>
          <w:highlight w:val="none"/>
        </w:rPr>
      </w:pPr>
      <w:r>
        <w:rPr>
          <w:rFonts w:hint="eastAsia"/>
          <w:b w:val="0"/>
          <w:bCs w:val="0"/>
          <w:color w:val="auto"/>
          <w:highlight w:val="none"/>
        </w:rPr>
        <w:t>开标一览表(报价表)</w:t>
      </w:r>
    </w:p>
    <w:p>
      <w:pPr>
        <w:tabs>
          <w:tab w:val="left" w:pos="7740"/>
        </w:tabs>
        <w:adjustRightInd w:val="0"/>
        <w:snapToGri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投标人名称：                                            项目编号：</w:t>
      </w:r>
      <w:r>
        <w:rPr>
          <w:rFonts w:hint="eastAsia" w:ascii="宋体" w:hAnsi="宋体" w:eastAsia="宋体" w:cs="宋体"/>
          <w:color w:val="auto"/>
          <w:sz w:val="21"/>
          <w:szCs w:val="21"/>
          <w:highlight w:val="none"/>
          <w:lang w:eastAsia="zh-CN"/>
        </w:rPr>
        <w:t>GDZC-21GZ198</w:t>
      </w:r>
    </w:p>
    <w:tbl>
      <w:tblPr>
        <w:tblStyle w:val="21"/>
        <w:tblpPr w:leftFromText="180" w:rightFromText="180" w:vertAnchor="text" w:horzAnchor="page" w:tblpX="1920" w:tblpY="272"/>
        <w:tblOverlap w:val="never"/>
        <w:tblW w:w="83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6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2028" w:type="dxa"/>
            <w:tcBorders>
              <w:tl2br w:val="nil"/>
              <w:tr2bl w:val="nil"/>
            </w:tcBorders>
            <w:vAlign w:val="center"/>
          </w:tcPr>
          <w:p>
            <w:pPr>
              <w:pStyle w:val="51"/>
              <w:widowControl w:val="0"/>
              <w:pBdr>
                <w:bottom w:val="none" w:color="auto" w:sz="0" w:space="0"/>
                <w:right w:val="none" w:color="auto" w:sz="0" w:space="0"/>
              </w:pBdr>
              <w:spacing w:before="0" w:beforeAutospacing="0" w:after="0" w:afterAutospacing="0" w:line="360" w:lineRule="auto"/>
              <w:rPr>
                <w:rFonts w:hint="eastAsia" w:ascii="宋体" w:hAnsi="宋体" w:eastAsia="宋体" w:cs="宋体"/>
                <w:bCs/>
                <w:color w:val="auto"/>
                <w:kern w:val="2"/>
                <w:sz w:val="21"/>
                <w:szCs w:val="21"/>
                <w:highlight w:val="none"/>
              </w:rPr>
            </w:pPr>
            <w:r>
              <w:rPr>
                <w:rFonts w:hint="eastAsia" w:ascii="宋体" w:hAnsi="宋体" w:eastAsia="宋体" w:cs="宋体"/>
                <w:b/>
                <w:color w:val="auto"/>
                <w:sz w:val="21"/>
                <w:szCs w:val="21"/>
                <w:highlight w:val="none"/>
              </w:rPr>
              <w:t>采购内容</w:t>
            </w:r>
          </w:p>
        </w:tc>
        <w:tc>
          <w:tcPr>
            <w:tcW w:w="636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eastAsia="zh-CN"/>
              </w:rPr>
              <w:t>千灯湖创投小镇核心区物业管理服务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5" w:hRule="atLeast"/>
        </w:trPr>
        <w:tc>
          <w:tcPr>
            <w:tcW w:w="2028" w:type="dxa"/>
            <w:tcBorders>
              <w:tl2br w:val="nil"/>
              <w:tr2bl w:val="nil"/>
            </w:tcBorders>
            <w:vAlign w:val="center"/>
          </w:tcPr>
          <w:p>
            <w:pPr>
              <w:pStyle w:val="51"/>
              <w:widowControl w:val="0"/>
              <w:pBdr>
                <w:bottom w:val="none" w:color="auto" w:sz="0" w:space="0"/>
                <w:right w:val="none" w:color="auto" w:sz="0" w:space="0"/>
              </w:pBdr>
              <w:spacing w:before="0" w:beforeAutospacing="0" w:after="0" w:afterAutospacing="0" w:line="360" w:lineRule="auto"/>
              <w:rPr>
                <w:rFonts w:hint="eastAsia" w:ascii="宋体" w:hAnsi="宋体" w:eastAsia="宋体" w:cs="宋体"/>
                <w:b/>
                <w:bCs/>
                <w:color w:val="auto"/>
                <w:kern w:val="2"/>
                <w:sz w:val="21"/>
                <w:szCs w:val="21"/>
                <w:highlight w:val="none"/>
              </w:rPr>
            </w:pPr>
            <w:r>
              <w:rPr>
                <w:rFonts w:hint="eastAsia" w:ascii="宋体" w:hAnsi="宋体" w:eastAsia="宋体" w:cs="宋体"/>
                <w:b/>
                <w:color w:val="auto"/>
                <w:sz w:val="21"/>
                <w:szCs w:val="21"/>
                <w:highlight w:val="none"/>
                <w:lang w:val="en-US" w:eastAsia="zh-CN"/>
              </w:rPr>
              <w:t>数量</w:t>
            </w:r>
          </w:p>
        </w:tc>
        <w:tc>
          <w:tcPr>
            <w:tcW w:w="6360" w:type="dxa"/>
            <w:tcBorders>
              <w:tl2br w:val="nil"/>
              <w:tr2bl w:val="nil"/>
            </w:tcBorders>
            <w:vAlign w:val="center"/>
          </w:tcPr>
          <w:p>
            <w:pPr>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eastAsia="zh-CN"/>
              </w:rPr>
              <w:t>一项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5" w:hRule="atLeast"/>
        </w:trPr>
        <w:tc>
          <w:tcPr>
            <w:tcW w:w="2028" w:type="dxa"/>
            <w:tcBorders>
              <w:tl2br w:val="nil"/>
              <w:tr2bl w:val="nil"/>
            </w:tcBorders>
            <w:vAlign w:val="center"/>
          </w:tcPr>
          <w:p>
            <w:pPr>
              <w:pStyle w:val="51"/>
              <w:widowControl w:val="0"/>
              <w:pBdr>
                <w:bottom w:val="none" w:color="auto" w:sz="0" w:space="0"/>
                <w:right w:val="none" w:color="auto" w:sz="0" w:space="0"/>
              </w:pBdr>
              <w:spacing w:before="0" w:beforeAutospacing="0" w:after="0" w:afterAutospacing="0" w:line="360" w:lineRule="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投标总价</w:t>
            </w:r>
          </w:p>
          <w:p>
            <w:pPr>
              <w:pStyle w:val="51"/>
              <w:widowControl w:val="0"/>
              <w:pBdr>
                <w:bottom w:val="none" w:color="auto" w:sz="0" w:space="0"/>
                <w:right w:val="none" w:color="auto" w:sz="0" w:space="0"/>
              </w:pBdr>
              <w:spacing w:before="0" w:beforeAutospacing="0" w:after="0" w:afterAutospacing="0" w:line="360" w:lineRule="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w:t>
            </w:r>
            <w:r>
              <w:rPr>
                <w:rFonts w:hint="eastAsia" w:ascii="宋体" w:hAnsi="宋体" w:eastAsia="宋体" w:cs="宋体"/>
                <w:b/>
                <w:bCs/>
                <w:color w:val="auto"/>
                <w:kern w:val="2"/>
                <w:sz w:val="21"/>
                <w:szCs w:val="21"/>
                <w:highlight w:val="none"/>
                <w:lang w:val="en-US" w:eastAsia="zh-CN"/>
              </w:rPr>
              <w:t>2</w:t>
            </w:r>
            <w:r>
              <w:rPr>
                <w:rFonts w:hint="eastAsia" w:ascii="宋体" w:hAnsi="宋体" w:eastAsia="宋体" w:cs="宋体"/>
                <w:b/>
                <w:bCs/>
                <w:color w:val="auto"/>
                <w:kern w:val="2"/>
                <w:sz w:val="21"/>
                <w:szCs w:val="21"/>
                <w:highlight w:val="none"/>
              </w:rPr>
              <w:t>年）</w:t>
            </w:r>
          </w:p>
        </w:tc>
        <w:tc>
          <w:tcPr>
            <w:tcW w:w="6360" w:type="dxa"/>
            <w:tcBorders>
              <w:tl2br w:val="nil"/>
              <w:tr2bl w:val="nil"/>
            </w:tcBorders>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（大写）人民币</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元整（￥</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5" w:hRule="atLeast"/>
        </w:trPr>
        <w:tc>
          <w:tcPr>
            <w:tcW w:w="2028" w:type="dxa"/>
            <w:tcBorders>
              <w:tl2br w:val="nil"/>
              <w:tr2bl w:val="nil"/>
            </w:tcBorders>
            <w:vAlign w:val="center"/>
          </w:tcPr>
          <w:p>
            <w:pPr>
              <w:pStyle w:val="51"/>
              <w:widowControl w:val="0"/>
              <w:pBdr>
                <w:bottom w:val="none" w:color="auto" w:sz="0" w:space="0"/>
                <w:right w:val="none" w:color="auto" w:sz="0" w:space="0"/>
              </w:pBdr>
              <w:spacing w:before="0" w:beforeAutospacing="0" w:after="0" w:afterAutospacing="0" w:line="360" w:lineRule="auto"/>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每年报价</w:t>
            </w:r>
          </w:p>
        </w:tc>
        <w:tc>
          <w:tcPr>
            <w:tcW w:w="6360" w:type="dxa"/>
            <w:tcBorders>
              <w:tl2br w:val="nil"/>
              <w:tr2bl w:val="nil"/>
            </w:tcBorders>
            <w:vAlign w:val="center"/>
          </w:tcPr>
          <w:p>
            <w:pP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（大写）人民币</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元整</w:t>
            </w:r>
            <w:r>
              <w:rPr>
                <w:rFonts w:hint="eastAsia" w:ascii="宋体" w:hAnsi="宋体" w:eastAsia="宋体" w:cs="宋体"/>
                <w:b w:val="0"/>
                <w:bCs w:val="0"/>
                <w:color w:val="auto"/>
                <w:sz w:val="21"/>
                <w:szCs w:val="21"/>
                <w:highlight w:val="none"/>
                <w:lang w:val="en-US" w:eastAsia="zh-CN"/>
              </w:rPr>
              <w:t>/年</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元</w:t>
            </w:r>
            <w:r>
              <w:rPr>
                <w:rFonts w:hint="eastAsia" w:ascii="宋体" w:hAnsi="宋体" w:eastAsia="宋体" w:cs="宋体"/>
                <w:b w:val="0"/>
                <w:bCs w:val="0"/>
                <w:color w:val="auto"/>
                <w:sz w:val="21"/>
                <w:szCs w:val="21"/>
                <w:highlight w:val="none"/>
                <w:lang w:val="en-US" w:eastAsia="zh-CN"/>
              </w:rPr>
              <w:t>/年</w:t>
            </w:r>
            <w:r>
              <w:rPr>
                <w:rFonts w:hint="eastAsia" w:ascii="宋体" w:hAnsi="宋体" w:eastAsia="宋体" w:cs="宋体"/>
                <w:b w:val="0"/>
                <w:bCs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2028" w:type="dxa"/>
            <w:tcBorders>
              <w:tl2br w:val="nil"/>
              <w:tr2bl w:val="nil"/>
            </w:tcBorders>
            <w:vAlign w:val="center"/>
          </w:tcPr>
          <w:p>
            <w:pPr>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服务期</w:t>
            </w:r>
          </w:p>
        </w:tc>
        <w:tc>
          <w:tcPr>
            <w:tcW w:w="6360" w:type="dxa"/>
            <w:tcBorders>
              <w:tl2br w:val="nil"/>
              <w:tr2bl w:val="nil"/>
            </w:tcBorders>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snapToGrid/>
                <w:color w:val="auto"/>
                <w:spacing w:val="0"/>
                <w:kern w:val="2"/>
                <w:sz w:val="21"/>
                <w:szCs w:val="21"/>
                <w:highlight w:val="none"/>
                <w:lang w:val="en-US" w:eastAsia="zh-CN"/>
              </w:rPr>
              <w:t>自合同签订之日2年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54" w:hRule="atLeast"/>
        </w:trPr>
        <w:tc>
          <w:tcPr>
            <w:tcW w:w="202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备注</w:t>
            </w:r>
          </w:p>
        </w:tc>
        <w:tc>
          <w:tcPr>
            <w:tcW w:w="6360" w:type="dxa"/>
            <w:tcBorders>
              <w:tl2br w:val="nil"/>
              <w:tr2bl w:val="nil"/>
            </w:tcBorders>
            <w:vAlign w:val="center"/>
          </w:tcPr>
          <w:p>
            <w:pPr>
              <w:pStyle w:val="29"/>
              <w:keepNext w:val="0"/>
              <w:keepLines w:val="0"/>
              <w:pageBreakBefore w:val="0"/>
              <w:widowControl w:val="0"/>
              <w:numPr>
                <w:ilvl w:val="0"/>
                <w:numId w:val="0"/>
              </w:numPr>
              <w:kinsoku/>
              <w:wordWrap w:val="0"/>
              <w:overflowPunct/>
              <w:topLinePunct w:val="0"/>
              <w:autoSpaceDE/>
              <w:autoSpaceDN/>
              <w:bidi w:val="0"/>
              <w:adjustRightInd/>
              <w:snapToGrid/>
              <w:ind w:lef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本项目</w:t>
            </w:r>
            <w:r>
              <w:rPr>
                <w:rFonts w:hint="eastAsia" w:ascii="宋体" w:hAnsi="宋体" w:eastAsia="宋体" w:cs="宋体"/>
                <w:color w:val="auto"/>
                <w:sz w:val="21"/>
                <w:szCs w:val="21"/>
                <w:highlight w:val="none"/>
              </w:rPr>
              <w:t>最高限价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人民币</w:t>
            </w:r>
            <w:r>
              <w:rPr>
                <w:rFonts w:hint="eastAsia" w:ascii="宋体" w:hAnsi="宋体" w:eastAsia="宋体" w:cs="宋体"/>
                <w:color w:val="auto"/>
                <w:sz w:val="21"/>
                <w:szCs w:val="21"/>
                <w:highlight w:val="none"/>
                <w:lang w:val="en-US" w:eastAsia="zh-CN"/>
              </w:rPr>
              <w:t>9,849,327.60</w:t>
            </w:r>
            <w:r>
              <w:rPr>
                <w:rFonts w:hint="eastAsia" w:ascii="宋体" w:hAnsi="宋体" w:eastAsia="宋体" w:cs="宋体"/>
                <w:color w:val="auto"/>
                <w:sz w:val="21"/>
                <w:szCs w:val="21"/>
                <w:highlight w:val="none"/>
              </w:rPr>
              <w:t>元</w:t>
            </w:r>
            <w:r>
              <w:rPr>
                <w:rFonts w:hint="eastAsia" w:ascii="宋体" w:hAnsi="宋体" w:cs="宋体"/>
                <w:color w:val="auto"/>
                <w:sz w:val="21"/>
                <w:szCs w:val="21"/>
                <w:highlight w:val="none"/>
                <w:lang w:eastAsia="zh-CN"/>
              </w:rPr>
              <w:t>。</w:t>
            </w:r>
          </w:p>
        </w:tc>
      </w:tr>
    </w:tbl>
    <w:p>
      <w:pPr>
        <w:spacing w:line="500" w:lineRule="exact"/>
        <w:rPr>
          <w:rFonts w:hint="eastAsia" w:ascii="宋体" w:hAnsi="宋体" w:eastAsia="宋体" w:cs="宋体"/>
          <w:color w:val="auto"/>
          <w:sz w:val="21"/>
          <w:szCs w:val="21"/>
          <w:highlight w:val="none"/>
        </w:rPr>
      </w:pPr>
    </w:p>
    <w:p>
      <w:pPr>
        <w:spacing w:line="5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投标人名称(加盖公章)</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5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职务：</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spacing w:line="400" w:lineRule="exact"/>
        <w:rPr>
          <w:rFonts w:hint="eastAsia" w:ascii="宋体" w:hAnsi="宋体" w:eastAsia="宋体" w:cs="宋体"/>
          <w:b/>
          <w:bCs/>
          <w:color w:val="auto"/>
          <w:sz w:val="21"/>
          <w:szCs w:val="21"/>
          <w:highlight w:val="none"/>
        </w:rPr>
      </w:pPr>
    </w:p>
    <w:p>
      <w:pPr>
        <w:spacing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p>
      <w:pPr>
        <w:numPr>
          <w:ilvl w:val="1"/>
          <w:numId w:val="148"/>
        </w:numPr>
        <w:tabs>
          <w:tab w:val="left" w:pos="360"/>
          <w:tab w:val="clear" w:pos="1620"/>
        </w:tabs>
        <w:snapToGrid w:val="0"/>
        <w:spacing w:line="360" w:lineRule="auto"/>
        <w:ind w:left="36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此表为投标文件的组成部分，须附在正、副本的投标文件中，并另封装一份于开标小信封中。</w:t>
      </w:r>
    </w:p>
    <w:p>
      <w:pPr>
        <w:numPr>
          <w:ilvl w:val="1"/>
          <w:numId w:val="148"/>
        </w:numPr>
        <w:tabs>
          <w:tab w:val="left" w:pos="360"/>
          <w:tab w:val="clear" w:pos="1620"/>
        </w:tabs>
        <w:snapToGrid w:val="0"/>
        <w:spacing w:line="360" w:lineRule="auto"/>
        <w:ind w:left="36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此表内投标报价为最终价，投标文件内不得含有任何对本报价进行修改的其他说明或资料，否则为无效投标</w:t>
      </w:r>
      <w:r>
        <w:rPr>
          <w:rFonts w:hint="eastAsia" w:ascii="宋体" w:hAnsi="宋体" w:eastAsia="宋体" w:cs="宋体"/>
          <w:b/>
          <w:bCs/>
          <w:color w:val="auto"/>
          <w:sz w:val="21"/>
          <w:szCs w:val="21"/>
          <w:highlight w:val="none"/>
        </w:rPr>
        <w:t>。</w:t>
      </w:r>
    </w:p>
    <w:p>
      <w:pPr>
        <w:numPr>
          <w:ilvl w:val="1"/>
          <w:numId w:val="148"/>
        </w:numPr>
        <w:tabs>
          <w:tab w:val="left" w:pos="360"/>
          <w:tab w:val="left" w:pos="840"/>
          <w:tab w:val="clear" w:pos="1620"/>
        </w:tabs>
        <w:snapToGrid w:val="0"/>
        <w:spacing w:line="360" w:lineRule="auto"/>
        <w:ind w:left="36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投标报价要求具体见第五章“</w:t>
      </w:r>
      <w:bookmarkStart w:id="122" w:name="_Toc322076489"/>
      <w:r>
        <w:rPr>
          <w:rFonts w:hint="eastAsia" w:ascii="宋体" w:hAnsi="宋体" w:eastAsia="宋体" w:cs="宋体"/>
          <w:b/>
          <w:bCs/>
          <w:color w:val="auto"/>
          <w:sz w:val="21"/>
          <w:szCs w:val="21"/>
          <w:highlight w:val="none"/>
        </w:rPr>
        <w:t>投标报价</w:t>
      </w:r>
      <w:bookmarkEnd w:id="122"/>
      <w:r>
        <w:rPr>
          <w:rFonts w:hint="eastAsia" w:ascii="宋体" w:hAnsi="宋体" w:eastAsia="宋体" w:cs="宋体"/>
          <w:b/>
          <w:color w:val="auto"/>
          <w:sz w:val="21"/>
          <w:szCs w:val="21"/>
          <w:highlight w:val="none"/>
        </w:rPr>
        <w:t>”要求</w:t>
      </w:r>
      <w:r>
        <w:rPr>
          <w:rFonts w:hint="eastAsia" w:ascii="宋体" w:hAnsi="宋体" w:eastAsia="宋体" w:cs="宋体"/>
          <w:b/>
          <w:color w:val="auto"/>
          <w:sz w:val="21"/>
          <w:szCs w:val="21"/>
          <w:highlight w:val="none"/>
          <w:lang w:val="en-US" w:eastAsia="zh-CN"/>
        </w:rPr>
        <w:t>及用户需求书的要求</w:t>
      </w:r>
      <w:r>
        <w:rPr>
          <w:rFonts w:hint="eastAsia" w:ascii="宋体" w:hAnsi="宋体" w:eastAsia="宋体" w:cs="宋体"/>
          <w:b/>
          <w:color w:val="auto"/>
          <w:sz w:val="21"/>
          <w:szCs w:val="21"/>
          <w:highlight w:val="none"/>
        </w:rPr>
        <w:t>。</w:t>
      </w:r>
    </w:p>
    <w:p>
      <w:pPr>
        <w:numPr>
          <w:ilvl w:val="1"/>
          <w:numId w:val="148"/>
        </w:numPr>
        <w:tabs>
          <w:tab w:val="left" w:pos="360"/>
          <w:tab w:val="left" w:pos="840"/>
          <w:tab w:val="clear" w:pos="1620"/>
        </w:tabs>
        <w:snapToGrid w:val="0"/>
        <w:spacing w:line="360" w:lineRule="auto"/>
        <w:ind w:left="36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本项目不接受有选择性的投标报价</w:t>
      </w:r>
      <w:r>
        <w:rPr>
          <w:rFonts w:hint="eastAsia" w:ascii="宋体" w:hAnsi="宋体" w:eastAsia="宋体" w:cs="宋体"/>
          <w:b/>
          <w:color w:val="auto"/>
          <w:sz w:val="21"/>
          <w:szCs w:val="21"/>
          <w:highlight w:val="none"/>
        </w:rPr>
        <w:t>。</w:t>
      </w:r>
    </w:p>
    <w:p>
      <w:pPr>
        <w:numPr>
          <w:ilvl w:val="1"/>
          <w:numId w:val="148"/>
        </w:numPr>
        <w:tabs>
          <w:tab w:val="left" w:pos="360"/>
          <w:tab w:val="left" w:pos="840"/>
          <w:tab w:val="clear" w:pos="1620"/>
        </w:tabs>
        <w:snapToGrid w:val="0"/>
        <w:spacing w:line="360" w:lineRule="auto"/>
        <w:ind w:left="360"/>
        <w:rPr>
          <w:rFonts w:hint="eastAsia" w:ascii="宋体" w:hAnsi="宋体" w:eastAsia="宋体" w:cs="宋体"/>
          <w:b/>
          <w:bCs/>
          <w:color w:val="auto"/>
          <w:sz w:val="21"/>
          <w:szCs w:val="21"/>
          <w:highlight w:val="none"/>
        </w:rPr>
      </w:pPr>
      <w:r>
        <w:rPr>
          <w:rFonts w:hint="eastAsia" w:ascii="宋体" w:hAnsi="宋体" w:eastAsia="宋体" w:cs="宋体"/>
          <w:b/>
          <w:bCs/>
          <w:color w:val="auto"/>
          <w:spacing w:val="4"/>
          <w:sz w:val="21"/>
          <w:szCs w:val="21"/>
          <w:highlight w:val="none"/>
        </w:rPr>
        <w:t>中文大写金额用汉字，如壹、贰、叁、肆、伍、陆、柒、捌、玖、拾、佰、仟、万、亿、元、角、分、零、整（正）等。</w:t>
      </w:r>
    </w:p>
    <w:p>
      <w:pPr>
        <w:numPr>
          <w:ilvl w:val="1"/>
          <w:numId w:val="148"/>
        </w:numPr>
        <w:tabs>
          <w:tab w:val="left" w:pos="360"/>
          <w:tab w:val="left" w:pos="840"/>
          <w:tab w:val="clear" w:pos="1620"/>
        </w:tabs>
        <w:snapToGrid w:val="0"/>
        <w:spacing w:line="360" w:lineRule="auto"/>
        <w:ind w:left="36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lang w:eastAsia="zh-CN"/>
        </w:rPr>
        <w:t>若报价有小数点后的数值的，保留小数点后两位小数。</w:t>
      </w:r>
    </w:p>
    <w:p>
      <w:pPr>
        <w:pStyle w:val="34"/>
        <w:ind w:left="0" w:leftChars="0" w:firstLine="0" w:firstLineChars="0"/>
        <w:rPr>
          <w:rFonts w:hint="eastAsia" w:ascii="宋体" w:hAnsi="宋体" w:eastAsia="宋体" w:cs="宋体"/>
          <w:b/>
          <w:bCs/>
          <w:color w:val="auto"/>
          <w:sz w:val="21"/>
          <w:szCs w:val="21"/>
          <w:highlight w:val="none"/>
        </w:rPr>
      </w:pPr>
    </w:p>
    <w:p>
      <w:pPr>
        <w:numPr>
          <w:ilvl w:val="0"/>
          <w:numId w:val="143"/>
        </w:numPr>
        <w:spacing w:line="440" w:lineRule="exact"/>
        <w:rPr>
          <w:rFonts w:hint="eastAsia" w:ascii="宋体" w:hAnsi="宋体" w:eastAsia="宋体" w:cs="宋体"/>
          <w:bCs/>
          <w:color w:val="auto"/>
          <w:sz w:val="21"/>
          <w:szCs w:val="21"/>
          <w:highlight w:val="none"/>
        </w:rPr>
      </w:pPr>
    </w:p>
    <w:p>
      <w:pPr>
        <w:pStyle w:val="4"/>
        <w:adjustRightInd w:val="0"/>
        <w:snapToGrid w:val="0"/>
        <w:spacing w:before="156" w:beforeLines="50" w:after="156" w:afterLines="50" w:line="360" w:lineRule="auto"/>
        <w:jc w:val="center"/>
        <w:rPr>
          <w:rFonts w:hint="eastAsia" w:cs="Times New Roman"/>
          <w:b w:val="0"/>
          <w:bCs w:val="0"/>
          <w:color w:val="auto"/>
          <w:highlight w:val="none"/>
        </w:rPr>
      </w:pPr>
      <w:bookmarkStart w:id="123" w:name="_Toc275865619"/>
      <w:r>
        <w:rPr>
          <w:rFonts w:hint="eastAsia" w:cs="Times New Roman"/>
          <w:b w:val="0"/>
          <w:bCs w:val="0"/>
          <w:color w:val="auto"/>
          <w:highlight w:val="none"/>
        </w:rPr>
        <w:t>实质性响应一览表</w:t>
      </w:r>
      <w:bookmarkEnd w:id="123"/>
    </w:p>
    <w:p>
      <w:pPr>
        <w:widowControl/>
        <w:wordWrap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eastAsia="zh-CN"/>
        </w:rPr>
        <w:t>投标人名称：                                                     项目编号：GDZC-21GZ198</w:t>
      </w:r>
      <w:r>
        <w:rPr>
          <w:rFonts w:hint="eastAsia" w:ascii="宋体" w:hAnsi="宋体" w:eastAsia="宋体" w:cs="宋体"/>
          <w:color w:val="auto"/>
          <w:kern w:val="0"/>
          <w:sz w:val="21"/>
          <w:szCs w:val="21"/>
          <w:highlight w:val="none"/>
        </w:rPr>
        <w:t> </w:t>
      </w:r>
    </w:p>
    <w:tbl>
      <w:tblPr>
        <w:tblStyle w:val="21"/>
        <w:tblW w:w="9223" w:type="dxa"/>
        <w:tblInd w:w="6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241"/>
        <w:gridCol w:w="1951"/>
        <w:gridCol w:w="1694"/>
        <w:gridCol w:w="16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719" w:type="dxa"/>
            <w:tcBorders>
              <w:top w:val="single" w:color="auto" w:sz="12" w:space="0"/>
              <w:bottom w:val="double" w:color="auto" w:sz="4" w:space="0"/>
            </w:tcBorders>
            <w:shd w:val="clear" w:color="auto" w:fill="EEECE1"/>
            <w:vAlign w:val="center"/>
          </w:tcPr>
          <w:p>
            <w:pPr>
              <w:keepNext w:val="0"/>
              <w:keepLines w:val="0"/>
              <w:pageBreakBefore w:val="0"/>
              <w:widowControl w:val="0"/>
              <w:kinsoku/>
              <w:wordWrap w:val="0"/>
              <w:overflowPunct/>
              <w:topLinePunct w:val="0"/>
              <w:autoSpaceDE/>
              <w:autoSpaceDN/>
              <w:bidi w:val="0"/>
              <w:adjustRightInd/>
              <w:snapToGrid/>
              <w:spacing w:line="240" w:lineRule="auto"/>
              <w:ind w:left="-90" w:leftChars="-43" w:right="-103" w:rightChars="-49"/>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241" w:type="dxa"/>
            <w:tcBorders>
              <w:top w:val="single" w:color="auto" w:sz="12" w:space="0"/>
              <w:bottom w:val="double" w:color="auto" w:sz="4" w:space="0"/>
            </w:tcBorders>
            <w:shd w:val="clear" w:color="auto" w:fill="EEECE1"/>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原条款描述</w:t>
            </w:r>
          </w:p>
        </w:tc>
        <w:tc>
          <w:tcPr>
            <w:tcW w:w="1951" w:type="dxa"/>
            <w:tcBorders>
              <w:top w:val="single" w:color="auto" w:sz="12" w:space="0"/>
              <w:bottom w:val="double" w:color="auto" w:sz="4" w:space="0"/>
            </w:tcBorders>
            <w:shd w:val="clear" w:color="auto" w:fill="EEECE1"/>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投标人响应描述</w:t>
            </w:r>
          </w:p>
        </w:tc>
        <w:tc>
          <w:tcPr>
            <w:tcW w:w="1694" w:type="dxa"/>
            <w:tcBorders>
              <w:top w:val="single" w:color="auto" w:sz="12" w:space="0"/>
              <w:bottom w:val="double" w:color="auto" w:sz="4" w:space="0"/>
              <w:right w:val="single" w:color="auto" w:sz="2" w:space="0"/>
            </w:tcBorders>
            <w:shd w:val="clear" w:color="auto" w:fill="EEECE1"/>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偏离情况说明</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（正偏离/完全响应/负偏离）</w:t>
            </w:r>
          </w:p>
        </w:tc>
        <w:tc>
          <w:tcPr>
            <w:tcW w:w="1618" w:type="dxa"/>
            <w:tcBorders>
              <w:top w:val="single" w:color="auto" w:sz="12" w:space="0"/>
              <w:left w:val="single" w:color="auto" w:sz="2" w:space="0"/>
              <w:bottom w:val="double" w:color="auto" w:sz="4" w:space="0"/>
            </w:tcBorders>
            <w:shd w:val="clear" w:color="auto" w:fill="EEECE1"/>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9" w:type="dxa"/>
            <w:tcBorders>
              <w:top w:val="double" w:color="auto" w:sz="4" w:space="0"/>
            </w:tcBorders>
            <w:vAlign w:val="center"/>
          </w:tcPr>
          <w:p>
            <w:pPr>
              <w:keepNext w:val="0"/>
              <w:keepLines w:val="0"/>
              <w:pageBreakBefore w:val="0"/>
              <w:widowControl w:val="0"/>
              <w:numPr>
                <w:ilvl w:val="0"/>
                <w:numId w:val="149"/>
              </w:numPr>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3241" w:type="dxa"/>
            <w:tcBorders>
              <w:top w:val="doub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b w:val="0"/>
                <w:bCs w:val="0"/>
                <w:color w:val="auto"/>
                <w:sz w:val="21"/>
                <w:szCs w:val="21"/>
                <w:highlight w:val="none"/>
              </w:rPr>
              <w:t>★</w:t>
            </w:r>
            <w:r>
              <w:rPr>
                <w:rFonts w:hint="eastAsia" w:ascii="宋体" w:hAnsi="宋体" w:eastAsia="宋体" w:cs="宋体"/>
                <w:color w:val="auto"/>
                <w:kern w:val="0"/>
                <w:sz w:val="21"/>
                <w:szCs w:val="21"/>
                <w:highlight w:val="none"/>
              </w:rPr>
              <w:t>管理服务范围内无因中标人管理不当而发生重大刑事案件、重大交通及重大火灾等安全事故，社区监控范围内无被盗等治安案件的发生，无纵火、爆炸、投毒等恶性事（案）件发生、无外事纠纷、泄密等事（案）件发生。如因中标人管理不当导致上述事（案）件的发生，所产生的损失和责任全部由中标人承担</w:t>
            </w:r>
            <w:r>
              <w:rPr>
                <w:rFonts w:hint="eastAsia" w:hAnsi="宋体" w:cs="宋体"/>
                <w:bCs/>
                <w:color w:val="auto"/>
                <w:highlight w:val="none"/>
                <w:lang w:val="en-US" w:eastAsia="zh-CN"/>
              </w:rPr>
              <w:t>【投标时提供</w:t>
            </w:r>
            <w:r>
              <w:rPr>
                <w:rFonts w:hint="eastAsia" w:ascii="宋体" w:hAnsi="宋体" w:eastAsia="宋体" w:cs="宋体"/>
                <w:b w:val="0"/>
                <w:bCs w:val="0"/>
                <w:color w:val="auto"/>
                <w:highlight w:val="none"/>
                <w:lang w:eastAsia="zh-CN"/>
              </w:rPr>
              <w:t>由</w:t>
            </w:r>
            <w:r>
              <w:rPr>
                <w:rFonts w:hint="eastAsia"/>
                <w:color w:val="auto"/>
                <w:highlight w:val="none"/>
              </w:rPr>
              <w:t>法定代表人</w:t>
            </w:r>
            <w:r>
              <w:rPr>
                <w:rFonts w:hint="eastAsia" w:ascii="宋体" w:hAnsi="宋体" w:eastAsia="宋体" w:cs="宋体"/>
                <w:b w:val="0"/>
                <w:bCs w:val="0"/>
                <w:color w:val="auto"/>
                <w:highlight w:val="none"/>
                <w:lang w:eastAsia="zh-CN"/>
              </w:rPr>
              <w:t>签名确认的承诺函作证明</w:t>
            </w:r>
            <w:r>
              <w:rPr>
                <w:rFonts w:hint="eastAsia" w:hAnsi="宋体" w:cs="宋体"/>
                <w:b w:val="0"/>
                <w:bCs w:val="0"/>
                <w:color w:val="auto"/>
                <w:highlight w:val="none"/>
                <w:lang w:eastAsia="zh-CN"/>
              </w:rPr>
              <w:t>，承诺函</w:t>
            </w:r>
            <w:r>
              <w:rPr>
                <w:rFonts w:hint="eastAsia"/>
                <w:color w:val="auto"/>
                <w:highlight w:val="none"/>
              </w:rPr>
              <w:t>格式自拟</w:t>
            </w:r>
            <w:r>
              <w:rPr>
                <w:rFonts w:hint="eastAsia" w:hAnsi="宋体" w:cs="宋体"/>
                <w:b w:val="0"/>
                <w:bCs w:val="0"/>
                <w:color w:val="auto"/>
                <w:highlight w:val="none"/>
                <w:lang w:eastAsia="zh-CN"/>
              </w:rPr>
              <w:t>】</w:t>
            </w:r>
          </w:p>
        </w:tc>
        <w:tc>
          <w:tcPr>
            <w:tcW w:w="1951" w:type="dxa"/>
            <w:tcBorders>
              <w:top w:val="doub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694" w:type="dxa"/>
            <w:tcBorders>
              <w:top w:val="double" w:color="auto" w:sz="4" w:space="0"/>
              <w:righ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618" w:type="dxa"/>
            <w:tcBorders>
              <w:top w:val="double" w:color="auto" w:sz="4" w:space="0"/>
              <w:lef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keepNext w:val="0"/>
              <w:keepLines w:val="0"/>
              <w:pageBreakBefore w:val="0"/>
              <w:widowControl w:val="0"/>
              <w:numPr>
                <w:ilvl w:val="0"/>
                <w:numId w:val="149"/>
              </w:numPr>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3241" w:type="dxa"/>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eastAsia="zh-CN"/>
              </w:rPr>
            </w:pPr>
            <w:r>
              <w:rPr>
                <w:rFonts w:hint="eastAsia"/>
                <w:b w:val="0"/>
                <w:bCs w:val="0"/>
                <w:color w:val="auto"/>
                <w:sz w:val="21"/>
                <w:szCs w:val="21"/>
                <w:highlight w:val="none"/>
              </w:rPr>
              <w:t>★</w:t>
            </w:r>
            <w:r>
              <w:rPr>
                <w:rFonts w:hint="eastAsia" w:ascii="宋体" w:hAnsi="宋体" w:eastAsia="宋体" w:cs="宋体"/>
                <w:color w:val="auto"/>
                <w:kern w:val="0"/>
                <w:sz w:val="21"/>
                <w:szCs w:val="21"/>
                <w:highlight w:val="none"/>
              </w:rPr>
              <w:t>园区内设施、机电设备无操作管理、使用责任事故发生。全部外包项目及园区内施工工程无因中标人监管不到位而发生安全事故。如因中标人管理不当导致发生安全事故，所产生的损失和责任全部由中标人承担</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投标时提供承诺函作为证明材料</w:t>
            </w:r>
            <w:r>
              <w:rPr>
                <w:rFonts w:hint="eastAsia" w:hAnsi="宋体" w:cs="宋体"/>
                <w:b w:val="0"/>
                <w:bCs w:val="0"/>
                <w:color w:val="auto"/>
                <w:highlight w:val="none"/>
                <w:lang w:eastAsia="zh-CN"/>
              </w:rPr>
              <w:t>，承诺函</w:t>
            </w:r>
            <w:r>
              <w:rPr>
                <w:rFonts w:hint="eastAsia"/>
                <w:color w:val="auto"/>
                <w:highlight w:val="none"/>
              </w:rPr>
              <w:t>格式自拟</w:t>
            </w:r>
            <w:r>
              <w:rPr>
                <w:rFonts w:hint="eastAsia" w:ascii="宋体" w:hAnsi="宋体" w:eastAsia="宋体" w:cs="宋体"/>
                <w:color w:val="auto"/>
                <w:kern w:val="0"/>
                <w:sz w:val="21"/>
                <w:szCs w:val="21"/>
                <w:highlight w:val="none"/>
                <w:lang w:eastAsia="zh-CN"/>
              </w:rPr>
              <w:t>）</w:t>
            </w:r>
            <w:r>
              <w:rPr>
                <w:rFonts w:hint="eastAsia" w:ascii="宋体" w:hAnsi="宋体" w:cs="宋体"/>
                <w:color w:val="auto"/>
                <w:sz w:val="21"/>
                <w:szCs w:val="21"/>
                <w:highlight w:val="none"/>
                <w:lang w:eastAsia="zh-CN"/>
              </w:rPr>
              <w:t>。</w:t>
            </w:r>
          </w:p>
        </w:tc>
        <w:tc>
          <w:tcPr>
            <w:tcW w:w="195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694" w:type="dxa"/>
            <w:tcBorders>
              <w:righ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618" w:type="dxa"/>
            <w:tcBorders>
              <w:lef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keepNext w:val="0"/>
              <w:keepLines w:val="0"/>
              <w:pageBreakBefore w:val="0"/>
              <w:widowControl w:val="0"/>
              <w:numPr>
                <w:ilvl w:val="0"/>
                <w:numId w:val="149"/>
              </w:numPr>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3241" w:type="dxa"/>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kern w:val="0"/>
                <w:sz w:val="21"/>
                <w:szCs w:val="21"/>
                <w:highlight w:val="none"/>
                <w:lang w:eastAsia="zh-CN"/>
              </w:rPr>
              <w:t>中标人在临时停车场代招标人收取的费用，全部归招标人所有，与中标人无关，中标人不得侵占、挪用，中标人收取的停车费用转至招标人账户前，由中标人做好保管工作并承担相应责任，因中标人人员原因造成招标人损失的，招标人有权追究中标人赔偿责任</w:t>
            </w:r>
            <w:r>
              <w:rPr>
                <w:rFonts w:hint="eastAsia" w:hAnsi="宋体" w:cs="宋体"/>
                <w:b w:val="0"/>
                <w:bCs w:val="0"/>
                <w:color w:val="auto"/>
                <w:kern w:val="0"/>
                <w:sz w:val="21"/>
                <w:szCs w:val="21"/>
                <w:highlight w:val="none"/>
                <w:lang w:eastAsia="zh-CN"/>
              </w:rPr>
              <w:t>（投标时提供承诺函作为证明材料，格式自拟）。</w:t>
            </w:r>
          </w:p>
        </w:tc>
        <w:tc>
          <w:tcPr>
            <w:tcW w:w="195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694" w:type="dxa"/>
            <w:tcBorders>
              <w:righ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618" w:type="dxa"/>
            <w:tcBorders>
              <w:lef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19" w:type="dxa"/>
            <w:vAlign w:val="center"/>
          </w:tcPr>
          <w:p>
            <w:pPr>
              <w:keepNext w:val="0"/>
              <w:keepLines w:val="0"/>
              <w:pageBreakBefore w:val="0"/>
              <w:widowControl w:val="0"/>
              <w:numPr>
                <w:ilvl w:val="0"/>
                <w:numId w:val="149"/>
              </w:numPr>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3241" w:type="dxa"/>
            <w:vAlign w:val="center"/>
          </w:tcPr>
          <w:p>
            <w:pPr>
              <w:keepNext w:val="0"/>
              <w:keepLines w:val="0"/>
              <w:pageBreakBefore w:val="0"/>
              <w:widowControl w:val="0"/>
              <w:kinsoku/>
              <w:wordWrap w:val="0"/>
              <w:overflowPunct/>
              <w:topLinePunct w:val="0"/>
              <w:autoSpaceDE/>
              <w:autoSpaceDN/>
              <w:bidi w:val="0"/>
              <w:adjustRightInd/>
              <w:snapToGrid/>
              <w:spacing w:line="24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kern w:val="0"/>
                <w:sz w:val="21"/>
                <w:szCs w:val="21"/>
                <w:highlight w:val="none"/>
                <w:lang w:eastAsia="zh-CN"/>
              </w:rPr>
              <w:t>合同履行期间及合同解除或终止后，</w:t>
            </w:r>
            <w:r>
              <w:rPr>
                <w:rFonts w:hint="eastAsia" w:hAnsi="宋体" w:cs="宋体"/>
                <w:b w:val="0"/>
                <w:bCs w:val="0"/>
                <w:color w:val="auto"/>
                <w:kern w:val="0"/>
                <w:sz w:val="21"/>
                <w:szCs w:val="21"/>
                <w:highlight w:val="none"/>
                <w:lang w:val="en-US" w:eastAsia="zh-CN"/>
              </w:rPr>
              <w:t>中标人</w:t>
            </w:r>
            <w:r>
              <w:rPr>
                <w:rFonts w:hint="eastAsia" w:ascii="宋体" w:hAnsi="宋体" w:eastAsia="宋体" w:cs="宋体"/>
                <w:b w:val="0"/>
                <w:bCs w:val="0"/>
                <w:color w:val="auto"/>
                <w:kern w:val="0"/>
                <w:sz w:val="21"/>
                <w:szCs w:val="21"/>
                <w:highlight w:val="none"/>
                <w:lang w:eastAsia="zh-CN"/>
              </w:rPr>
              <w:t>因自身合同纠纷或劳资纠纷等问题及相关法律责任与</w:t>
            </w:r>
            <w:r>
              <w:rPr>
                <w:rFonts w:hint="eastAsia" w:hAnsi="宋体" w:cs="宋体"/>
                <w:b w:val="0"/>
                <w:bCs w:val="0"/>
                <w:color w:val="auto"/>
                <w:kern w:val="0"/>
                <w:sz w:val="21"/>
                <w:szCs w:val="21"/>
                <w:highlight w:val="none"/>
                <w:lang w:val="en-US" w:eastAsia="zh-CN"/>
              </w:rPr>
              <w:t>招标人</w:t>
            </w:r>
            <w:r>
              <w:rPr>
                <w:rFonts w:hint="eastAsia" w:ascii="宋体" w:hAnsi="宋体" w:eastAsia="宋体" w:cs="宋体"/>
                <w:b w:val="0"/>
                <w:bCs w:val="0"/>
                <w:color w:val="auto"/>
                <w:kern w:val="0"/>
                <w:sz w:val="21"/>
                <w:szCs w:val="21"/>
                <w:highlight w:val="none"/>
                <w:lang w:eastAsia="zh-CN"/>
              </w:rPr>
              <w:t>无关，由</w:t>
            </w:r>
            <w:r>
              <w:rPr>
                <w:rFonts w:hint="eastAsia" w:hAnsi="宋体" w:cs="宋体"/>
                <w:b w:val="0"/>
                <w:bCs w:val="0"/>
                <w:color w:val="auto"/>
                <w:kern w:val="0"/>
                <w:sz w:val="21"/>
                <w:szCs w:val="21"/>
                <w:highlight w:val="none"/>
                <w:lang w:val="en-US" w:eastAsia="zh-CN"/>
              </w:rPr>
              <w:t>中标人</w:t>
            </w:r>
            <w:r>
              <w:rPr>
                <w:rFonts w:hint="eastAsia" w:ascii="宋体" w:hAnsi="宋体" w:eastAsia="宋体" w:cs="宋体"/>
                <w:b w:val="0"/>
                <w:bCs w:val="0"/>
                <w:color w:val="auto"/>
                <w:kern w:val="0"/>
                <w:sz w:val="21"/>
                <w:szCs w:val="21"/>
                <w:highlight w:val="none"/>
                <w:lang w:eastAsia="zh-CN"/>
              </w:rPr>
              <w:t>自行解决。若上述问题对</w:t>
            </w:r>
            <w:r>
              <w:rPr>
                <w:rFonts w:hint="eastAsia" w:hAnsi="宋体" w:cs="宋体"/>
                <w:b w:val="0"/>
                <w:bCs w:val="0"/>
                <w:color w:val="auto"/>
                <w:kern w:val="0"/>
                <w:sz w:val="21"/>
                <w:szCs w:val="21"/>
                <w:highlight w:val="none"/>
                <w:lang w:val="en-US" w:eastAsia="zh-CN"/>
              </w:rPr>
              <w:t>招标人</w:t>
            </w:r>
            <w:r>
              <w:rPr>
                <w:rFonts w:hint="eastAsia" w:ascii="宋体" w:hAnsi="宋体" w:eastAsia="宋体" w:cs="宋体"/>
                <w:b w:val="0"/>
                <w:bCs w:val="0"/>
                <w:color w:val="auto"/>
                <w:kern w:val="0"/>
                <w:sz w:val="21"/>
                <w:szCs w:val="21"/>
                <w:highlight w:val="none"/>
                <w:lang w:eastAsia="zh-CN"/>
              </w:rPr>
              <w:t>、园区入驻企业正常经营造成影响的，</w:t>
            </w:r>
            <w:r>
              <w:rPr>
                <w:rFonts w:hint="eastAsia" w:hAnsi="宋体" w:cs="宋体"/>
                <w:b w:val="0"/>
                <w:bCs w:val="0"/>
                <w:color w:val="auto"/>
                <w:kern w:val="0"/>
                <w:sz w:val="21"/>
                <w:szCs w:val="21"/>
                <w:highlight w:val="none"/>
                <w:lang w:val="en-US" w:eastAsia="zh-CN"/>
              </w:rPr>
              <w:t>招标人</w:t>
            </w:r>
            <w:r>
              <w:rPr>
                <w:rFonts w:hint="eastAsia" w:ascii="宋体" w:hAnsi="宋体" w:eastAsia="宋体" w:cs="宋体"/>
                <w:b w:val="0"/>
                <w:bCs w:val="0"/>
                <w:color w:val="auto"/>
                <w:kern w:val="0"/>
                <w:sz w:val="21"/>
                <w:szCs w:val="21"/>
                <w:highlight w:val="none"/>
                <w:lang w:eastAsia="zh-CN"/>
              </w:rPr>
              <w:t>有权向</w:t>
            </w:r>
            <w:r>
              <w:rPr>
                <w:rFonts w:hint="eastAsia" w:hAnsi="宋体" w:cs="宋体"/>
                <w:b w:val="0"/>
                <w:bCs w:val="0"/>
                <w:color w:val="auto"/>
                <w:kern w:val="0"/>
                <w:sz w:val="21"/>
                <w:szCs w:val="21"/>
                <w:highlight w:val="none"/>
                <w:lang w:val="en-US" w:eastAsia="zh-CN"/>
              </w:rPr>
              <w:t>中标人</w:t>
            </w:r>
            <w:r>
              <w:rPr>
                <w:rFonts w:hint="eastAsia" w:ascii="宋体" w:hAnsi="宋体" w:eastAsia="宋体" w:cs="宋体"/>
                <w:b w:val="0"/>
                <w:bCs w:val="0"/>
                <w:color w:val="auto"/>
                <w:kern w:val="0"/>
                <w:sz w:val="21"/>
                <w:szCs w:val="21"/>
                <w:highlight w:val="none"/>
                <w:lang w:eastAsia="zh-CN"/>
              </w:rPr>
              <w:t>追究相关法律责任，由此造成的</w:t>
            </w:r>
            <w:r>
              <w:rPr>
                <w:rFonts w:hint="eastAsia" w:hAnsi="宋体" w:cs="宋体"/>
                <w:b w:val="0"/>
                <w:bCs w:val="0"/>
                <w:color w:val="auto"/>
                <w:kern w:val="0"/>
                <w:sz w:val="21"/>
                <w:szCs w:val="21"/>
                <w:highlight w:val="none"/>
                <w:lang w:val="en-US" w:eastAsia="zh-CN"/>
              </w:rPr>
              <w:t>招标人</w:t>
            </w:r>
            <w:r>
              <w:rPr>
                <w:rFonts w:hint="eastAsia" w:ascii="宋体" w:hAnsi="宋体" w:eastAsia="宋体" w:cs="宋体"/>
                <w:b w:val="0"/>
                <w:bCs w:val="0"/>
                <w:color w:val="auto"/>
                <w:kern w:val="0"/>
                <w:sz w:val="21"/>
                <w:szCs w:val="21"/>
                <w:highlight w:val="none"/>
                <w:lang w:eastAsia="zh-CN"/>
              </w:rPr>
              <w:t>经济损失、园区入驻企业经济损失由</w:t>
            </w:r>
            <w:r>
              <w:rPr>
                <w:rFonts w:hint="eastAsia" w:hAnsi="宋体" w:cs="宋体"/>
                <w:b w:val="0"/>
                <w:bCs w:val="0"/>
                <w:color w:val="auto"/>
                <w:kern w:val="0"/>
                <w:sz w:val="21"/>
                <w:szCs w:val="21"/>
                <w:highlight w:val="none"/>
                <w:lang w:val="en-US" w:eastAsia="zh-CN"/>
              </w:rPr>
              <w:t>中标人</w:t>
            </w:r>
            <w:r>
              <w:rPr>
                <w:rFonts w:hint="eastAsia" w:ascii="宋体" w:hAnsi="宋体" w:eastAsia="宋体" w:cs="宋体"/>
                <w:b w:val="0"/>
                <w:bCs w:val="0"/>
                <w:color w:val="auto"/>
                <w:kern w:val="0"/>
                <w:sz w:val="21"/>
                <w:szCs w:val="21"/>
                <w:highlight w:val="none"/>
                <w:lang w:eastAsia="zh-CN"/>
              </w:rPr>
              <w:t>承担</w:t>
            </w:r>
            <w:r>
              <w:rPr>
                <w:rFonts w:hint="eastAsia" w:hAnsi="宋体" w:cs="宋体"/>
                <w:b w:val="0"/>
                <w:bCs w:val="0"/>
                <w:color w:val="auto"/>
                <w:kern w:val="0"/>
                <w:sz w:val="21"/>
                <w:szCs w:val="21"/>
                <w:highlight w:val="none"/>
                <w:lang w:eastAsia="zh-CN"/>
              </w:rPr>
              <w:t>（投标时提供承诺函作为证明材料，格式自拟）。</w:t>
            </w:r>
          </w:p>
        </w:tc>
        <w:tc>
          <w:tcPr>
            <w:tcW w:w="1951"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694" w:type="dxa"/>
            <w:tcBorders>
              <w:righ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1618" w:type="dxa"/>
            <w:tcBorders>
              <w:left w:val="single" w:color="auto" w:sz="2" w:space="0"/>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bl>
    <w:p>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p>
      <w:pPr>
        <w:numPr>
          <w:ilvl w:val="0"/>
          <w:numId w:val="150"/>
        </w:num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投标人必须对应招标文件带“</w:t>
      </w:r>
      <w:r>
        <w:rPr>
          <w:rFonts w:hint="eastAsia" w:ascii="宋体" w:hAnsi="宋体" w:eastAsia="宋体" w:cs="宋体"/>
          <w:b/>
          <w:bCs/>
          <w:color w:val="auto"/>
          <w:sz w:val="21"/>
          <w:szCs w:val="21"/>
          <w:highlight w:val="none"/>
        </w:rPr>
        <w:t>★</w:t>
      </w:r>
      <w:r>
        <w:rPr>
          <w:rFonts w:hint="eastAsia" w:ascii="宋体" w:hAnsi="宋体" w:eastAsia="宋体" w:cs="宋体"/>
          <w:color w:val="auto"/>
          <w:sz w:val="21"/>
          <w:szCs w:val="21"/>
          <w:highlight w:val="none"/>
        </w:rPr>
        <w:t>”的实质性条款逐条应答并按要求填写上表。</w:t>
      </w:r>
    </w:p>
    <w:p>
      <w:pPr>
        <w:numPr>
          <w:ilvl w:val="0"/>
          <w:numId w:val="150"/>
        </w:num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本表中“原条款描述”的条款与用户需求中的条款描述不一致的以用户需求中规定的为准。</w:t>
      </w:r>
    </w:p>
    <w:p>
      <w:pPr>
        <w:spacing w:line="500" w:lineRule="exact"/>
        <w:rPr>
          <w:rFonts w:hint="eastAsia" w:ascii="宋体" w:hAnsi="宋体" w:eastAsia="宋体" w:cs="宋体"/>
          <w:color w:val="auto"/>
          <w:spacing w:val="4"/>
          <w:sz w:val="21"/>
          <w:szCs w:val="21"/>
          <w:highlight w:val="none"/>
        </w:rPr>
      </w:pPr>
    </w:p>
    <w:p>
      <w:pPr>
        <w:spacing w:line="500" w:lineRule="exact"/>
        <w:ind w:firstLine="109" w:firstLineChars="50"/>
        <w:rPr>
          <w:rFonts w:hint="eastAsia" w:ascii="宋体" w:hAnsi="宋体" w:eastAsia="宋体" w:cs="宋体"/>
          <w:color w:val="auto"/>
          <w:sz w:val="21"/>
          <w:szCs w:val="21"/>
          <w:highlight w:val="none"/>
          <w:u w:val="single"/>
        </w:rPr>
      </w:pPr>
      <w:r>
        <w:rPr>
          <w:rFonts w:hint="eastAsia" w:ascii="宋体" w:hAnsi="宋体" w:eastAsia="宋体" w:cs="宋体"/>
          <w:color w:val="auto"/>
          <w:spacing w:val="4"/>
          <w:sz w:val="21"/>
          <w:szCs w:val="21"/>
          <w:highlight w:val="none"/>
        </w:rPr>
        <w:t>投标人名称（加盖公章）：</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440" w:lineRule="exact"/>
        <w:ind w:firstLine="105" w:firstLineChars="50"/>
        <w:rPr>
          <w:rFonts w:hint="eastAsia" w:ascii="宋体" w:hAnsi="宋体" w:eastAsia="宋体" w:cs="宋体"/>
          <w:color w:val="auto"/>
          <w:spacing w:val="4"/>
          <w:sz w:val="21"/>
          <w:szCs w:val="21"/>
          <w:highlight w:val="none"/>
          <w:u w:val="singl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职务：</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spacing w:line="400" w:lineRule="exact"/>
        <w:rPr>
          <w:rFonts w:hint="eastAsia" w:ascii="宋体" w:hAnsi="宋体" w:eastAsia="宋体" w:cs="宋体"/>
          <w:b/>
          <w:bCs/>
          <w:color w:val="auto"/>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numPr>
          <w:ilvl w:val="0"/>
          <w:numId w:val="143"/>
        </w:numPr>
        <w:spacing w:line="44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 </w:t>
      </w: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bookmarkStart w:id="124" w:name="_Toc275865611"/>
      <w:bookmarkStart w:id="125" w:name="_Toc192662843"/>
      <w:r>
        <w:rPr>
          <w:rFonts w:hint="eastAsia" w:ascii="Arial" w:hAnsi="Arial" w:eastAsia="黑体" w:cs="Times New Roman"/>
          <w:b w:val="0"/>
          <w:bCs w:val="0"/>
          <w:color w:val="auto"/>
          <w:kern w:val="2"/>
          <w:sz w:val="32"/>
          <w:szCs w:val="32"/>
          <w:highlight w:val="none"/>
          <w:lang w:val="en-US" w:eastAsia="zh-CN" w:bidi="ar-SA"/>
        </w:rPr>
        <w:t>投标分项报价表</w:t>
      </w:r>
      <w:bookmarkEnd w:id="124"/>
      <w:bookmarkEnd w:id="125"/>
    </w:p>
    <w:p>
      <w:pP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投标人名称：                                                     项目编号：GDZC-21GZ198</w:t>
      </w:r>
    </w:p>
    <w:tbl>
      <w:tblPr>
        <w:tblStyle w:val="21"/>
        <w:tblpPr w:leftFromText="180" w:rightFromText="180" w:vertAnchor="text" w:tblpY="1"/>
        <w:tblOverlap w:val="never"/>
        <w:tblW w:w="942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2929"/>
        <w:gridCol w:w="1010"/>
        <w:gridCol w:w="969"/>
        <w:gridCol w:w="1228"/>
        <w:gridCol w:w="972"/>
        <w:gridCol w:w="12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92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服务内容</w:t>
            </w:r>
          </w:p>
        </w:tc>
        <w:tc>
          <w:tcPr>
            <w:tcW w:w="1010" w:type="dxa"/>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单位</w:t>
            </w:r>
          </w:p>
        </w:tc>
        <w:tc>
          <w:tcPr>
            <w:tcW w:w="969" w:type="dxa"/>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数量</w:t>
            </w:r>
          </w:p>
        </w:tc>
        <w:tc>
          <w:tcPr>
            <w:tcW w:w="1228"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972" w:type="dxa"/>
            <w:vAlign w:val="center"/>
          </w:tcPr>
          <w:p>
            <w:pPr>
              <w:ind w:left="-92" w:leftChars="-4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合计（元）</w:t>
            </w:r>
          </w:p>
        </w:tc>
        <w:tc>
          <w:tcPr>
            <w:tcW w:w="1267" w:type="dxa"/>
            <w:vAlign w:val="center"/>
          </w:tcPr>
          <w:p>
            <w:pPr>
              <w:ind w:left="-92" w:leftChars="-4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2929" w:type="dxa"/>
            <w:vAlign w:val="center"/>
          </w:tcPr>
          <w:p>
            <w:pPr>
              <w:jc w:val="center"/>
              <w:rPr>
                <w:rFonts w:hint="eastAsia" w:ascii="宋体" w:hAnsi="宋体" w:eastAsia="宋体" w:cs="宋体"/>
                <w:color w:val="auto"/>
                <w:sz w:val="21"/>
                <w:szCs w:val="21"/>
                <w:highlight w:val="none"/>
              </w:rPr>
            </w:pPr>
          </w:p>
        </w:tc>
        <w:tc>
          <w:tcPr>
            <w:tcW w:w="1010" w:type="dxa"/>
            <w:vAlign w:val="center"/>
          </w:tcPr>
          <w:p>
            <w:pPr>
              <w:jc w:val="center"/>
              <w:rPr>
                <w:rFonts w:hint="eastAsia" w:ascii="宋体" w:hAnsi="宋体" w:eastAsia="宋体" w:cs="宋体"/>
                <w:bCs/>
                <w:color w:val="auto"/>
                <w:sz w:val="21"/>
                <w:szCs w:val="21"/>
                <w:highlight w:val="none"/>
              </w:rPr>
            </w:pPr>
          </w:p>
        </w:tc>
        <w:tc>
          <w:tcPr>
            <w:tcW w:w="969" w:type="dxa"/>
            <w:vAlign w:val="center"/>
          </w:tcPr>
          <w:p>
            <w:pPr>
              <w:jc w:val="center"/>
              <w:rPr>
                <w:rFonts w:hint="eastAsia" w:ascii="宋体" w:hAnsi="宋体" w:eastAsia="宋体" w:cs="宋体"/>
                <w:bCs/>
                <w:color w:val="auto"/>
                <w:sz w:val="21"/>
                <w:szCs w:val="21"/>
                <w:highlight w:val="none"/>
              </w:rPr>
            </w:pPr>
          </w:p>
        </w:tc>
        <w:tc>
          <w:tcPr>
            <w:tcW w:w="1228" w:type="dxa"/>
            <w:vAlign w:val="center"/>
          </w:tcPr>
          <w:p>
            <w:pPr>
              <w:jc w:val="center"/>
              <w:rPr>
                <w:rFonts w:hint="eastAsia" w:ascii="宋体" w:hAnsi="宋体" w:eastAsia="宋体" w:cs="宋体"/>
                <w:color w:val="auto"/>
                <w:sz w:val="21"/>
                <w:szCs w:val="21"/>
                <w:highlight w:val="none"/>
              </w:rPr>
            </w:pPr>
          </w:p>
        </w:tc>
        <w:tc>
          <w:tcPr>
            <w:tcW w:w="972" w:type="dxa"/>
            <w:vAlign w:val="center"/>
          </w:tcPr>
          <w:p>
            <w:pPr>
              <w:ind w:left="-92" w:leftChars="-44"/>
              <w:jc w:val="center"/>
              <w:rPr>
                <w:rFonts w:hint="eastAsia" w:ascii="宋体" w:hAnsi="宋体" w:eastAsia="宋体" w:cs="宋体"/>
                <w:color w:val="auto"/>
                <w:sz w:val="21"/>
                <w:szCs w:val="21"/>
                <w:highlight w:val="none"/>
              </w:rPr>
            </w:pPr>
          </w:p>
        </w:tc>
        <w:tc>
          <w:tcPr>
            <w:tcW w:w="1267" w:type="dxa"/>
            <w:vAlign w:val="center"/>
          </w:tcPr>
          <w:p>
            <w:pPr>
              <w:ind w:left="-92" w:leftChars="-44"/>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2929" w:type="dxa"/>
            <w:vAlign w:val="center"/>
          </w:tcPr>
          <w:p>
            <w:pPr>
              <w:jc w:val="center"/>
              <w:rPr>
                <w:rFonts w:hint="eastAsia" w:ascii="宋体" w:hAnsi="宋体" w:eastAsia="宋体" w:cs="宋体"/>
                <w:color w:val="auto"/>
                <w:sz w:val="21"/>
                <w:szCs w:val="21"/>
                <w:highlight w:val="none"/>
              </w:rPr>
            </w:pPr>
          </w:p>
        </w:tc>
        <w:tc>
          <w:tcPr>
            <w:tcW w:w="1010" w:type="dxa"/>
            <w:vAlign w:val="center"/>
          </w:tcPr>
          <w:p>
            <w:pPr>
              <w:jc w:val="center"/>
              <w:rPr>
                <w:rFonts w:hint="eastAsia" w:ascii="宋体" w:hAnsi="宋体" w:eastAsia="宋体" w:cs="宋体"/>
                <w:bCs/>
                <w:color w:val="auto"/>
                <w:sz w:val="21"/>
                <w:szCs w:val="21"/>
                <w:highlight w:val="none"/>
              </w:rPr>
            </w:pPr>
          </w:p>
        </w:tc>
        <w:tc>
          <w:tcPr>
            <w:tcW w:w="969" w:type="dxa"/>
            <w:vAlign w:val="center"/>
          </w:tcPr>
          <w:p>
            <w:pPr>
              <w:jc w:val="center"/>
              <w:rPr>
                <w:rFonts w:hint="eastAsia" w:ascii="宋体" w:hAnsi="宋体" w:eastAsia="宋体" w:cs="宋体"/>
                <w:bCs/>
                <w:color w:val="auto"/>
                <w:sz w:val="21"/>
                <w:szCs w:val="21"/>
                <w:highlight w:val="none"/>
              </w:rPr>
            </w:pPr>
          </w:p>
        </w:tc>
        <w:tc>
          <w:tcPr>
            <w:tcW w:w="1228" w:type="dxa"/>
            <w:vAlign w:val="center"/>
          </w:tcPr>
          <w:p>
            <w:pPr>
              <w:jc w:val="center"/>
              <w:rPr>
                <w:rFonts w:hint="eastAsia" w:ascii="宋体" w:hAnsi="宋体" w:eastAsia="宋体" w:cs="宋体"/>
                <w:color w:val="auto"/>
                <w:sz w:val="21"/>
                <w:szCs w:val="21"/>
                <w:highlight w:val="none"/>
              </w:rPr>
            </w:pPr>
          </w:p>
        </w:tc>
        <w:tc>
          <w:tcPr>
            <w:tcW w:w="972" w:type="dxa"/>
            <w:vAlign w:val="center"/>
          </w:tcPr>
          <w:p>
            <w:pPr>
              <w:ind w:left="-92" w:leftChars="-44"/>
              <w:jc w:val="center"/>
              <w:rPr>
                <w:rFonts w:hint="eastAsia" w:ascii="宋体" w:hAnsi="宋体" w:eastAsia="宋体" w:cs="宋体"/>
                <w:color w:val="auto"/>
                <w:sz w:val="21"/>
                <w:szCs w:val="21"/>
                <w:highlight w:val="none"/>
              </w:rPr>
            </w:pPr>
          </w:p>
        </w:tc>
        <w:tc>
          <w:tcPr>
            <w:tcW w:w="1267" w:type="dxa"/>
            <w:vAlign w:val="center"/>
          </w:tcPr>
          <w:p>
            <w:pPr>
              <w:ind w:left="-92" w:leftChars="-44"/>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2929" w:type="dxa"/>
            <w:vAlign w:val="center"/>
          </w:tcPr>
          <w:p>
            <w:pPr>
              <w:jc w:val="center"/>
              <w:rPr>
                <w:rFonts w:hint="eastAsia" w:ascii="宋体" w:hAnsi="宋体" w:eastAsia="宋体" w:cs="宋体"/>
                <w:color w:val="auto"/>
                <w:sz w:val="21"/>
                <w:szCs w:val="21"/>
                <w:highlight w:val="none"/>
              </w:rPr>
            </w:pPr>
          </w:p>
        </w:tc>
        <w:tc>
          <w:tcPr>
            <w:tcW w:w="1010" w:type="dxa"/>
            <w:vAlign w:val="center"/>
          </w:tcPr>
          <w:p>
            <w:pPr>
              <w:jc w:val="center"/>
              <w:rPr>
                <w:rFonts w:hint="eastAsia" w:ascii="宋体" w:hAnsi="宋体" w:eastAsia="宋体" w:cs="宋体"/>
                <w:bCs/>
                <w:color w:val="auto"/>
                <w:sz w:val="21"/>
                <w:szCs w:val="21"/>
                <w:highlight w:val="none"/>
              </w:rPr>
            </w:pPr>
          </w:p>
        </w:tc>
        <w:tc>
          <w:tcPr>
            <w:tcW w:w="969" w:type="dxa"/>
            <w:vAlign w:val="center"/>
          </w:tcPr>
          <w:p>
            <w:pPr>
              <w:jc w:val="center"/>
              <w:rPr>
                <w:rFonts w:hint="eastAsia" w:ascii="宋体" w:hAnsi="宋体" w:eastAsia="宋体" w:cs="宋体"/>
                <w:bCs/>
                <w:color w:val="auto"/>
                <w:sz w:val="21"/>
                <w:szCs w:val="21"/>
                <w:highlight w:val="none"/>
              </w:rPr>
            </w:pPr>
          </w:p>
        </w:tc>
        <w:tc>
          <w:tcPr>
            <w:tcW w:w="1228" w:type="dxa"/>
            <w:vAlign w:val="center"/>
          </w:tcPr>
          <w:p>
            <w:pPr>
              <w:jc w:val="center"/>
              <w:rPr>
                <w:rFonts w:hint="eastAsia" w:ascii="宋体" w:hAnsi="宋体" w:eastAsia="宋体" w:cs="宋体"/>
                <w:color w:val="auto"/>
                <w:sz w:val="21"/>
                <w:szCs w:val="21"/>
                <w:highlight w:val="none"/>
              </w:rPr>
            </w:pPr>
          </w:p>
        </w:tc>
        <w:tc>
          <w:tcPr>
            <w:tcW w:w="972" w:type="dxa"/>
            <w:vAlign w:val="center"/>
          </w:tcPr>
          <w:p>
            <w:pPr>
              <w:ind w:left="-92" w:leftChars="-44"/>
              <w:jc w:val="center"/>
              <w:rPr>
                <w:rFonts w:hint="eastAsia" w:ascii="宋体" w:hAnsi="宋体" w:eastAsia="宋体" w:cs="宋体"/>
                <w:color w:val="auto"/>
                <w:sz w:val="21"/>
                <w:szCs w:val="21"/>
                <w:highlight w:val="none"/>
              </w:rPr>
            </w:pPr>
          </w:p>
        </w:tc>
        <w:tc>
          <w:tcPr>
            <w:tcW w:w="1267" w:type="dxa"/>
            <w:vAlign w:val="center"/>
          </w:tcPr>
          <w:p>
            <w:pPr>
              <w:ind w:left="-92" w:leftChars="-44"/>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1049" w:type="dxa"/>
            <w:vAlign w:val="center"/>
          </w:tcPr>
          <w:p>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p>
            <w:pPr>
              <w:jc w:val="cente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（元）</w:t>
            </w:r>
          </w:p>
        </w:tc>
        <w:tc>
          <w:tcPr>
            <w:tcW w:w="8375" w:type="dxa"/>
            <w:gridSpan w:val="6"/>
            <w:vAlign w:val="center"/>
          </w:tcPr>
          <w:p>
            <w:pPr>
              <w:ind w:left="-92" w:leftChars="-44"/>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大写：</w:t>
            </w:r>
          </w:p>
        </w:tc>
      </w:tr>
    </w:tbl>
    <w:p>
      <w:pPr>
        <w:spacing w:line="500" w:lineRule="exact"/>
        <w:rPr>
          <w:rFonts w:hint="eastAsia" w:ascii="宋体" w:hAnsi="宋体" w:eastAsia="宋体" w:cs="宋体"/>
          <w:color w:val="auto"/>
          <w:spacing w:val="4"/>
          <w:sz w:val="21"/>
          <w:szCs w:val="21"/>
          <w:highlight w:val="none"/>
        </w:rPr>
      </w:pPr>
    </w:p>
    <w:p>
      <w:pPr>
        <w:spacing w:line="5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pacing w:val="4"/>
          <w:sz w:val="21"/>
          <w:szCs w:val="21"/>
          <w:highlight w:val="none"/>
        </w:rPr>
        <w:t>投标人名称（加盖公章）：</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5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职务：</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spacing w:line="400" w:lineRule="exact"/>
        <w:ind w:left="750" w:hanging="749" w:hangingChars="35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p>
      <w:pPr>
        <w:numPr>
          <w:ilvl w:val="0"/>
          <w:numId w:val="151"/>
        </w:num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此表为《开标一览表(报价表)》的报价明细表。</w:t>
      </w:r>
    </w:p>
    <w:p>
      <w:pPr>
        <w:numPr>
          <w:ilvl w:val="0"/>
          <w:numId w:val="151"/>
        </w:numPr>
        <w:spacing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南、北</w:t>
      </w:r>
      <w:r>
        <w:rPr>
          <w:rFonts w:hint="eastAsia" w:ascii="宋体" w:hAnsi="宋体" w:eastAsia="宋体" w:cs="宋体"/>
          <w:b/>
          <w:bCs/>
          <w:color w:val="auto"/>
          <w:kern w:val="0"/>
          <w:sz w:val="21"/>
          <w:szCs w:val="21"/>
          <w:highlight w:val="none"/>
          <w:lang w:eastAsia="zh-CN"/>
        </w:rPr>
        <w:t>两个停车场管理服务费为不可竞争费用，不作调整，</w:t>
      </w:r>
      <w:r>
        <w:rPr>
          <w:rFonts w:hint="eastAsia" w:ascii="宋体" w:hAnsi="宋体" w:eastAsia="宋体" w:cs="宋体"/>
          <w:b/>
          <w:bCs/>
          <w:color w:val="auto"/>
          <w:kern w:val="0"/>
          <w:sz w:val="21"/>
          <w:szCs w:val="21"/>
          <w:highlight w:val="none"/>
          <w:lang w:val="en-US" w:eastAsia="zh-CN"/>
        </w:rPr>
        <w:t>2年</w:t>
      </w:r>
      <w:r>
        <w:rPr>
          <w:rFonts w:hint="eastAsia" w:ascii="宋体" w:hAnsi="宋体" w:eastAsia="宋体" w:cs="宋体"/>
          <w:b/>
          <w:bCs/>
          <w:color w:val="auto"/>
          <w:kern w:val="0"/>
          <w:sz w:val="21"/>
          <w:szCs w:val="21"/>
          <w:highlight w:val="none"/>
          <w:lang w:eastAsia="zh-CN"/>
        </w:rPr>
        <w:t>管理服务费为人民币壹佰壹拾万零肆仟捌佰肆拾贰元捌角捌分</w:t>
      </w:r>
      <w:r>
        <w:rPr>
          <w:rFonts w:hint="eastAsia" w:ascii="宋体" w:hAnsi="宋体" w:eastAsia="宋体" w:cs="宋体"/>
          <w:b/>
          <w:bCs/>
          <w:color w:val="auto"/>
          <w:kern w:val="0"/>
          <w:sz w:val="21"/>
          <w:szCs w:val="21"/>
          <w:highlight w:val="none"/>
          <w:lang w:val="en-US" w:eastAsia="zh-CN"/>
        </w:rPr>
        <w:t>(</w:t>
      </w:r>
      <w:r>
        <w:rPr>
          <w:rFonts w:hint="eastAsia" w:ascii="宋体" w:hAnsi="宋体" w:eastAsia="宋体" w:cs="宋体"/>
          <w:b/>
          <w:bCs/>
          <w:color w:val="auto"/>
          <w:kern w:val="0"/>
          <w:sz w:val="21"/>
          <w:szCs w:val="21"/>
          <w:highlight w:val="none"/>
          <w:lang w:eastAsia="zh-CN"/>
        </w:rPr>
        <w:t>￥1,104,842.88元</w:t>
      </w:r>
      <w:r>
        <w:rPr>
          <w:rFonts w:hint="eastAsia" w:ascii="宋体" w:hAnsi="宋体" w:eastAsia="宋体" w:cs="宋体"/>
          <w:b/>
          <w:bCs/>
          <w:color w:val="auto"/>
          <w:kern w:val="0"/>
          <w:sz w:val="21"/>
          <w:szCs w:val="21"/>
          <w:highlight w:val="none"/>
          <w:lang w:val="en-US" w:eastAsia="zh-CN"/>
        </w:rPr>
        <w:t>)。</w:t>
      </w:r>
    </w:p>
    <w:p>
      <w:pPr>
        <w:numPr>
          <w:ilvl w:val="0"/>
          <w:numId w:val="151"/>
        </w:num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所有价格均以人民币作为货币单位填写及计算。</w:t>
      </w:r>
    </w:p>
    <w:p>
      <w:pPr>
        <w:numPr>
          <w:ilvl w:val="0"/>
          <w:numId w:val="151"/>
        </w:num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该表格式仅作参考，投标人的详细报价表格式可自定。</w:t>
      </w:r>
    </w:p>
    <w:p>
      <w:pPr>
        <w:spacing w:line="400" w:lineRule="exact"/>
        <w:ind w:left="539" w:leftChars="200" w:hanging="119" w:hangingChars="57"/>
        <w:rPr>
          <w:rFonts w:hint="eastAsia" w:ascii="宋体" w:hAnsi="宋体" w:eastAsia="宋体" w:cs="宋体"/>
          <w:color w:val="auto"/>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numPr>
          <w:ilvl w:val="0"/>
          <w:numId w:val="143"/>
        </w:numPr>
        <w:spacing w:line="440" w:lineRule="exact"/>
        <w:rPr>
          <w:rFonts w:hint="eastAsia" w:ascii="宋体" w:hAnsi="宋体" w:eastAsia="宋体" w:cs="宋体"/>
          <w:bCs/>
          <w:color w:val="auto"/>
          <w:sz w:val="21"/>
          <w:szCs w:val="21"/>
          <w:highlight w:val="none"/>
        </w:rPr>
      </w:pPr>
      <w:bookmarkStart w:id="126" w:name="_Toc229227176"/>
      <w:r>
        <w:rPr>
          <w:rFonts w:hint="eastAsia" w:ascii="宋体" w:hAnsi="宋体" w:eastAsia="宋体" w:cs="宋体"/>
          <w:bCs/>
          <w:color w:val="auto"/>
          <w:sz w:val="21"/>
          <w:szCs w:val="21"/>
          <w:highlight w:val="none"/>
        </w:rPr>
        <w:t xml:space="preserve">    </w:t>
      </w:r>
    </w:p>
    <w:bookmarkEnd w:id="126"/>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r>
        <w:rPr>
          <w:rFonts w:hint="eastAsia" w:ascii="Arial" w:hAnsi="Arial" w:eastAsia="黑体" w:cs="Times New Roman"/>
          <w:b w:val="0"/>
          <w:bCs w:val="0"/>
          <w:color w:val="auto"/>
          <w:kern w:val="2"/>
          <w:sz w:val="32"/>
          <w:szCs w:val="32"/>
          <w:highlight w:val="none"/>
          <w:lang w:val="en-US" w:eastAsia="zh-CN" w:bidi="ar-SA"/>
        </w:rPr>
        <w:t>用户需求书响应一览表</w:t>
      </w:r>
    </w:p>
    <w:p>
      <w:pPr>
        <w:spacing w:after="156" w:afterLines="50"/>
        <w:jc w:val="center"/>
        <w:outlineLvl w:val="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投标人名称：                                                     项目编号：GDZC-21GZ198</w:t>
      </w:r>
    </w:p>
    <w:tbl>
      <w:tblPr>
        <w:tblStyle w:val="21"/>
        <w:tblW w:w="90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5"/>
        <w:gridCol w:w="2256"/>
        <w:gridCol w:w="2333"/>
        <w:gridCol w:w="2347"/>
        <w:gridCol w:w="15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35" w:type="dxa"/>
            <w:tcBorders>
              <w:top w:val="single" w:color="auto" w:sz="12" w:space="0"/>
              <w:bottom w:val="double" w:color="auto" w:sz="4" w:space="0"/>
            </w:tcBorders>
            <w:shd w:val="clear" w:color="auto" w:fill="EEECE1"/>
            <w:vAlign w:val="center"/>
          </w:tcPr>
          <w:p>
            <w:pPr>
              <w:adjustRightInd w:val="0"/>
              <w:snapToGrid w:val="0"/>
              <w:ind w:left="-71" w:leftChars="-34" w:right="-73" w:rightChars="-3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256" w:type="dxa"/>
            <w:tcBorders>
              <w:top w:val="single" w:color="auto" w:sz="12" w:space="0"/>
              <w:bottom w:val="double" w:color="auto" w:sz="4" w:space="0"/>
            </w:tcBorders>
            <w:shd w:val="clear" w:color="auto" w:fill="EEECE1"/>
            <w:vAlign w:val="center"/>
          </w:tcPr>
          <w:p>
            <w:pPr>
              <w:adjustRightInd w:val="0"/>
              <w:snapToGrid w:val="0"/>
              <w:ind w:left="-71" w:leftChars="-34" w:right="-73" w:rightChars="-3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招标文件条款描述</w:t>
            </w:r>
          </w:p>
        </w:tc>
        <w:tc>
          <w:tcPr>
            <w:tcW w:w="2333" w:type="dxa"/>
            <w:tcBorders>
              <w:top w:val="single" w:color="auto" w:sz="12" w:space="0"/>
              <w:bottom w:val="double" w:color="auto" w:sz="4" w:space="0"/>
            </w:tcBorders>
            <w:shd w:val="clear" w:color="auto" w:fill="EEECE1"/>
            <w:vAlign w:val="center"/>
          </w:tcPr>
          <w:p>
            <w:pPr>
              <w:adjustRightInd w:val="0"/>
              <w:snapToGrid w:val="0"/>
              <w:ind w:left="-71" w:leftChars="-34" w:right="-73" w:rightChars="-3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投标人响应描述</w:t>
            </w:r>
          </w:p>
          <w:p>
            <w:pPr>
              <w:adjustRightInd w:val="0"/>
              <w:snapToGrid w:val="0"/>
              <w:ind w:left="-71" w:leftChars="-34" w:right="-73" w:rightChars="-35"/>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(投标人应按响应服务实际数据填写)</w:t>
            </w:r>
          </w:p>
        </w:tc>
        <w:tc>
          <w:tcPr>
            <w:tcW w:w="2347" w:type="dxa"/>
            <w:tcBorders>
              <w:top w:val="single" w:color="auto" w:sz="12" w:space="0"/>
              <w:bottom w:val="double" w:color="auto" w:sz="4" w:space="0"/>
            </w:tcBorders>
            <w:shd w:val="clear" w:color="auto" w:fill="EEECE1"/>
            <w:vAlign w:val="center"/>
          </w:tcPr>
          <w:p>
            <w:pPr>
              <w:adjustRightInd w:val="0"/>
              <w:snapToGrid w:val="0"/>
              <w:ind w:left="-71" w:leftChars="-34" w:right="-73" w:rightChars="-3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偏离情况说明</w:t>
            </w:r>
          </w:p>
          <w:p>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（正偏离/完全响应/负偏离）</w:t>
            </w:r>
          </w:p>
        </w:tc>
        <w:tc>
          <w:tcPr>
            <w:tcW w:w="1555" w:type="dxa"/>
            <w:tcBorders>
              <w:top w:val="single" w:color="auto" w:sz="12" w:space="0"/>
              <w:bottom w:val="double" w:color="auto" w:sz="4" w:space="0"/>
            </w:tcBorders>
            <w:shd w:val="clear" w:color="auto" w:fill="EEECE1"/>
            <w:vAlign w:val="center"/>
          </w:tcPr>
          <w:p>
            <w:pPr>
              <w:adjustRightInd w:val="0"/>
              <w:snapToGrid w:val="0"/>
              <w:ind w:left="-71" w:leftChars="-34" w:right="-73" w:rightChars="-3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026" w:type="dxa"/>
            <w:gridSpan w:val="5"/>
            <w:vAlign w:val="center"/>
          </w:tcPr>
          <w:p>
            <w:pPr>
              <w:spacing w:line="4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一般条款（除带“</w:t>
            </w:r>
            <w:r>
              <w:rPr>
                <w:rFonts w:hint="eastAsia" w:ascii="宋体" w:hAnsi="宋体" w:eastAsia="宋体" w:cs="宋体"/>
                <w:b/>
                <w:bCs/>
                <w:color w:val="auto"/>
                <w:sz w:val="21"/>
                <w:szCs w:val="21"/>
                <w:highlight w:val="none"/>
              </w:rPr>
              <w:t>★</w:t>
            </w:r>
            <w:r>
              <w:rPr>
                <w:rFonts w:hint="eastAsia" w:ascii="宋体" w:hAnsi="宋体" w:eastAsia="宋体" w:cs="宋体"/>
                <w:b/>
                <w:color w:val="auto"/>
                <w:sz w:val="21"/>
                <w:szCs w:val="21"/>
                <w:highlight w:val="none"/>
              </w:rPr>
              <w:t>”之外的条款）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项目概况及范围</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服务要求</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人员要求</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管理服务质量要求</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物业管理费用说明</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物业管理工作绩效考核办法</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12"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报价要求</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履约保证金</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35" w:type="dxa"/>
            <w:vAlign w:val="center"/>
          </w:tcPr>
          <w:p>
            <w:pPr>
              <w:numPr>
                <w:ilvl w:val="0"/>
                <w:numId w:val="152"/>
              </w:numPr>
              <w:jc w:val="center"/>
              <w:rPr>
                <w:rFonts w:hint="eastAsia" w:ascii="宋体" w:hAnsi="宋体" w:eastAsia="宋体" w:cs="宋体"/>
                <w:color w:val="auto"/>
                <w:sz w:val="21"/>
                <w:szCs w:val="21"/>
                <w:highlight w:val="none"/>
              </w:rPr>
            </w:pPr>
          </w:p>
        </w:tc>
        <w:tc>
          <w:tcPr>
            <w:tcW w:w="2256" w:type="dxa"/>
            <w:vAlign w:val="center"/>
          </w:tcPr>
          <w:p>
            <w:pPr>
              <w:spacing w:line="400" w:lineRule="exact"/>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付款方式</w:t>
            </w:r>
          </w:p>
        </w:tc>
        <w:tc>
          <w:tcPr>
            <w:tcW w:w="2333" w:type="dxa"/>
            <w:vAlign w:val="center"/>
          </w:tcPr>
          <w:p>
            <w:pPr>
              <w:spacing w:line="400" w:lineRule="exact"/>
              <w:jc w:val="center"/>
              <w:rPr>
                <w:rFonts w:hint="eastAsia" w:ascii="宋体" w:hAnsi="宋体" w:eastAsia="宋体" w:cs="宋体"/>
                <w:color w:val="auto"/>
                <w:sz w:val="21"/>
                <w:szCs w:val="21"/>
                <w:highlight w:val="none"/>
              </w:rPr>
            </w:pPr>
          </w:p>
        </w:tc>
        <w:tc>
          <w:tcPr>
            <w:tcW w:w="2347" w:type="dxa"/>
            <w:vAlign w:val="center"/>
          </w:tcPr>
          <w:p>
            <w:pPr>
              <w:spacing w:line="400" w:lineRule="exact"/>
              <w:jc w:val="center"/>
              <w:rPr>
                <w:rFonts w:hint="eastAsia" w:ascii="宋体" w:hAnsi="宋体" w:eastAsia="宋体" w:cs="宋体"/>
                <w:color w:val="auto"/>
                <w:sz w:val="21"/>
                <w:szCs w:val="21"/>
                <w:highlight w:val="none"/>
              </w:rPr>
            </w:pPr>
          </w:p>
        </w:tc>
        <w:tc>
          <w:tcPr>
            <w:tcW w:w="1555" w:type="dxa"/>
            <w:vAlign w:val="top"/>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见《投标文件》第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bl>
    <w:p>
      <w:pPr>
        <w:numPr>
          <w:ilvl w:val="0"/>
          <w:numId w:val="0"/>
        </w:numPr>
        <w:adjustRightInd w:val="0"/>
        <w:snapToGrid w:val="0"/>
        <w:spacing w:line="460" w:lineRule="exact"/>
        <w:ind w:left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备注：</w:t>
      </w:r>
    </w:p>
    <w:p>
      <w:pPr>
        <w:numPr>
          <w:ilvl w:val="0"/>
          <w:numId w:val="153"/>
        </w:numPr>
        <w:adjustRightInd w:val="0"/>
        <w:snapToGrid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用户需求中要求提供的相关证明资料必须一并提供，否则视为不响应。</w:t>
      </w:r>
    </w:p>
    <w:p>
      <w:pPr>
        <w:numPr>
          <w:ilvl w:val="0"/>
          <w:numId w:val="153"/>
        </w:numPr>
        <w:adjustRightInd w:val="0"/>
        <w:snapToGrid w:val="0"/>
        <w:spacing w:line="46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r>
        <w:rPr>
          <w:rFonts w:hint="eastAsia" w:ascii="宋体" w:hAnsi="宋体" w:eastAsia="宋体" w:cs="宋体"/>
          <w:color w:val="auto"/>
          <w:sz w:val="21"/>
          <w:szCs w:val="21"/>
          <w:highlight w:val="none"/>
        </w:rPr>
        <w:t>原条款描述</w:t>
      </w:r>
      <w:r>
        <w:rPr>
          <w:rFonts w:hint="eastAsia" w:ascii="宋体" w:hAnsi="宋体" w:eastAsia="宋体" w:cs="宋体"/>
          <w:b/>
          <w:color w:val="auto"/>
          <w:sz w:val="21"/>
          <w:szCs w:val="21"/>
          <w:highlight w:val="none"/>
        </w:rPr>
        <w:t>”的条款与用户需求中的条款描述不一致的，以用户需求中规定的为准。</w:t>
      </w:r>
    </w:p>
    <w:p>
      <w:pPr>
        <w:spacing w:line="5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pacing w:val="4"/>
          <w:sz w:val="21"/>
          <w:szCs w:val="21"/>
          <w:highlight w:val="none"/>
        </w:rPr>
        <w:t>投标人名称（加盖公章）：</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520" w:lineRule="exact"/>
        <w:rPr>
          <w:rFonts w:hint="eastAsia" w:ascii="宋体" w:hAnsi="宋体" w:eastAsia="宋体" w:cs="宋体"/>
          <w:color w:val="auto"/>
          <w:spacing w:val="4"/>
          <w:sz w:val="21"/>
          <w:szCs w:val="21"/>
          <w:highlight w:val="none"/>
          <w:u w:val="singl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职务：</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spacing w:line="520" w:lineRule="exact"/>
        <w:rPr>
          <w:rFonts w:hint="eastAsia" w:ascii="宋体" w:hAnsi="宋体" w:eastAsia="宋体" w:cs="宋体"/>
          <w:color w:val="auto"/>
          <w:spacing w:val="4"/>
          <w:sz w:val="21"/>
          <w:szCs w:val="21"/>
          <w:highlight w:val="none"/>
          <w:u w:val="single"/>
        </w:rPr>
      </w:pPr>
    </w:p>
    <w:p>
      <w:pPr>
        <w:spacing w:line="520" w:lineRule="exact"/>
        <w:rPr>
          <w:rFonts w:hint="eastAsia" w:ascii="宋体" w:hAnsi="宋体" w:eastAsia="宋体" w:cs="宋体"/>
          <w:color w:val="auto"/>
          <w:spacing w:val="4"/>
          <w:sz w:val="21"/>
          <w:szCs w:val="21"/>
          <w:highlight w:val="none"/>
          <w:u w:val="single"/>
        </w:rPr>
      </w:pPr>
    </w:p>
    <w:p>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numPr>
          <w:ilvl w:val="0"/>
          <w:numId w:val="143"/>
        </w:numPr>
        <w:spacing w:line="440" w:lineRule="exact"/>
        <w:rPr>
          <w:rFonts w:hint="eastAsia" w:ascii="宋体" w:hAnsi="宋体" w:eastAsia="宋体" w:cs="宋体"/>
          <w:bCs/>
          <w:color w:val="auto"/>
          <w:sz w:val="21"/>
          <w:szCs w:val="21"/>
          <w:highlight w:val="none"/>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bookmarkStart w:id="127" w:name="_Toc275865614"/>
      <w:r>
        <w:rPr>
          <w:rFonts w:hint="eastAsia" w:ascii="Arial" w:hAnsi="Arial" w:eastAsia="黑体" w:cs="Times New Roman"/>
          <w:b w:val="0"/>
          <w:bCs w:val="0"/>
          <w:color w:val="auto"/>
          <w:kern w:val="2"/>
          <w:sz w:val="32"/>
          <w:szCs w:val="32"/>
          <w:highlight w:val="none"/>
          <w:lang w:val="en-US" w:eastAsia="zh-CN" w:bidi="ar-SA"/>
        </w:rPr>
        <w:t>投标技术服务方案</w:t>
      </w:r>
      <w:bookmarkEnd w:id="127"/>
    </w:p>
    <w:p>
      <w:pPr>
        <w:spacing w:after="156" w:afterLines="50"/>
        <w:jc w:val="center"/>
        <w:outlineLvl w:val="2"/>
        <w:rPr>
          <w:rFonts w:hint="eastAsia" w:ascii="宋体" w:hAnsi="宋体" w:eastAsia="宋体" w:cs="宋体"/>
          <w:b/>
          <w:color w:val="auto"/>
          <w:sz w:val="21"/>
          <w:szCs w:val="21"/>
          <w:highlight w:val="none"/>
          <w:lang w:eastAsia="zh-CN"/>
        </w:rPr>
      </w:pPr>
      <w:r>
        <w:rPr>
          <w:rFonts w:hint="eastAsia" w:ascii="宋体" w:hAnsi="宋体" w:eastAsia="宋体" w:cs="宋体"/>
          <w:color w:val="auto"/>
          <w:sz w:val="21"/>
          <w:szCs w:val="21"/>
          <w:highlight w:val="none"/>
          <w:lang w:eastAsia="zh-CN"/>
        </w:rPr>
        <w:t>投标人名称：                                                     项目编号：GDZC-21GZ198</w:t>
      </w:r>
    </w:p>
    <w:p>
      <w:pPr>
        <w:adjustRightInd w:val="0"/>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主要内容应包括但不限于以下内容（格式自定）：</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对项目的熟悉程度</w:t>
      </w:r>
      <w:r>
        <w:rPr>
          <w:rFonts w:hint="eastAsia" w:ascii="宋体" w:hAnsi="宋体" w:cs="宋体"/>
          <w:color w:val="auto"/>
          <w:sz w:val="21"/>
          <w:szCs w:val="21"/>
          <w:highlight w:val="none"/>
          <w:lang w:eastAsia="zh-CN"/>
        </w:rPr>
        <w:t>；</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项目组织方案</w:t>
      </w:r>
      <w:r>
        <w:rPr>
          <w:rFonts w:hint="eastAsia" w:ascii="宋体" w:hAnsi="宋体" w:cs="宋体"/>
          <w:color w:val="auto"/>
          <w:sz w:val="21"/>
          <w:szCs w:val="21"/>
          <w:highlight w:val="none"/>
          <w:lang w:eastAsia="zh-CN"/>
        </w:rPr>
        <w:t>；</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安保服务方案</w:t>
      </w:r>
      <w:r>
        <w:rPr>
          <w:rFonts w:hint="eastAsia" w:ascii="宋体" w:hAnsi="宋体" w:cs="宋体"/>
          <w:color w:val="auto"/>
          <w:sz w:val="21"/>
          <w:szCs w:val="21"/>
          <w:highlight w:val="none"/>
          <w:lang w:eastAsia="zh-CN"/>
        </w:rPr>
        <w:t>；</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工程服务方案</w:t>
      </w:r>
      <w:r>
        <w:rPr>
          <w:rFonts w:hint="eastAsia" w:ascii="宋体" w:hAnsi="宋体" w:cs="宋体"/>
          <w:color w:val="auto"/>
          <w:sz w:val="21"/>
          <w:szCs w:val="21"/>
          <w:highlight w:val="none"/>
          <w:lang w:eastAsia="zh-CN"/>
        </w:rPr>
        <w:t>；</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环境保洁服务方案</w:t>
      </w:r>
      <w:r>
        <w:rPr>
          <w:rFonts w:hint="eastAsia" w:ascii="宋体" w:hAnsi="宋体" w:cs="宋体"/>
          <w:color w:val="auto"/>
          <w:sz w:val="21"/>
          <w:szCs w:val="21"/>
          <w:highlight w:val="none"/>
          <w:lang w:eastAsia="zh-CN"/>
        </w:rPr>
        <w:t>；</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绿化养护服务方案</w:t>
      </w:r>
      <w:r>
        <w:rPr>
          <w:rFonts w:hint="eastAsia" w:ascii="宋体" w:hAnsi="宋体" w:cs="宋体"/>
          <w:color w:val="auto"/>
          <w:sz w:val="21"/>
          <w:szCs w:val="21"/>
          <w:highlight w:val="none"/>
          <w:lang w:eastAsia="zh-CN"/>
        </w:rPr>
        <w:t>；</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智能化设备和科技技术运用方案</w:t>
      </w:r>
      <w:r>
        <w:rPr>
          <w:rFonts w:hint="eastAsia" w:ascii="宋体" w:hAnsi="宋体" w:cs="宋体"/>
          <w:color w:val="auto"/>
          <w:sz w:val="21"/>
          <w:szCs w:val="21"/>
          <w:highlight w:val="none"/>
          <w:lang w:eastAsia="zh-CN"/>
        </w:rPr>
        <w:t>；</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专项接待管理方案</w:t>
      </w:r>
      <w:r>
        <w:rPr>
          <w:rFonts w:hint="eastAsia" w:ascii="宋体" w:hAnsi="宋体" w:cs="宋体"/>
          <w:color w:val="auto"/>
          <w:sz w:val="21"/>
          <w:szCs w:val="21"/>
          <w:highlight w:val="none"/>
          <w:lang w:eastAsia="zh-CN"/>
        </w:rPr>
        <w:t>；</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应急管理方案；</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配合事项；</w:t>
      </w:r>
    </w:p>
    <w:p>
      <w:pPr>
        <w:numPr>
          <w:ilvl w:val="0"/>
          <w:numId w:val="154"/>
        </w:numPr>
        <w:tabs>
          <w:tab w:val="left" w:pos="420"/>
        </w:tabs>
        <w:spacing w:line="520" w:lineRule="exact"/>
        <w:ind w:left="425" w:leftChars="0" w:hanging="425"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投标人认为对投标有利的其他资料。</w:t>
      </w:r>
    </w:p>
    <w:p>
      <w:pPr>
        <w:spacing w:line="400" w:lineRule="exact"/>
        <w:rPr>
          <w:rFonts w:hint="eastAsia" w:ascii="宋体" w:hAnsi="宋体" w:eastAsia="宋体" w:cs="宋体"/>
          <w:color w:val="auto"/>
          <w:sz w:val="21"/>
          <w:szCs w:val="21"/>
          <w:highlight w:val="none"/>
        </w:rPr>
      </w:pPr>
    </w:p>
    <w:p>
      <w:pPr>
        <w:spacing w:line="400" w:lineRule="exact"/>
        <w:rPr>
          <w:rFonts w:hint="eastAsia" w:ascii="宋体" w:hAnsi="宋体" w:eastAsia="宋体" w:cs="宋体"/>
          <w:color w:val="auto"/>
          <w:sz w:val="21"/>
          <w:szCs w:val="21"/>
          <w:highlight w:val="none"/>
        </w:rPr>
      </w:pPr>
    </w:p>
    <w:p>
      <w:pPr>
        <w:spacing w:line="500" w:lineRule="exact"/>
        <w:rPr>
          <w:rFonts w:hint="eastAsia" w:ascii="宋体" w:hAnsi="宋体" w:eastAsia="宋体" w:cs="宋体"/>
          <w:color w:val="auto"/>
          <w:sz w:val="21"/>
          <w:szCs w:val="21"/>
          <w:highlight w:val="none"/>
          <w:u w:val="single"/>
        </w:rPr>
      </w:pPr>
      <w:bookmarkStart w:id="128" w:name="_Toc50703730"/>
      <w:bookmarkStart w:id="129" w:name="_Toc50691037"/>
      <w:bookmarkStart w:id="130" w:name="_Toc43264518"/>
      <w:r>
        <w:rPr>
          <w:rFonts w:hint="eastAsia" w:ascii="宋体" w:hAnsi="宋体" w:eastAsia="宋体" w:cs="宋体"/>
          <w:color w:val="auto"/>
          <w:spacing w:val="4"/>
          <w:sz w:val="21"/>
          <w:szCs w:val="21"/>
          <w:highlight w:val="none"/>
        </w:rPr>
        <w:t>投标人名称（盖公章）：</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520" w:lineRule="exact"/>
        <w:rPr>
          <w:rFonts w:hint="eastAsia" w:ascii="宋体" w:hAnsi="宋体" w:eastAsia="宋体" w:cs="宋体"/>
          <w:color w:val="auto"/>
          <w:spacing w:val="4"/>
          <w:sz w:val="21"/>
          <w:szCs w:val="21"/>
          <w:highlight w:val="none"/>
          <w:u w:val="singl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职务：</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spacing w:line="520" w:lineRule="exact"/>
        <w:ind w:firstLine="436" w:firstLineChars="200"/>
        <w:rPr>
          <w:rFonts w:hint="eastAsia" w:ascii="宋体" w:hAnsi="宋体" w:eastAsia="宋体" w:cs="宋体"/>
          <w:color w:val="auto"/>
          <w:spacing w:val="4"/>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numPr>
          <w:ilvl w:val="0"/>
          <w:numId w:val="143"/>
        </w:numPr>
        <w:spacing w:line="440" w:lineRule="exact"/>
        <w:rPr>
          <w:rFonts w:hint="eastAsia" w:ascii="宋体" w:hAnsi="宋体" w:eastAsia="宋体" w:cs="宋体"/>
          <w:bCs/>
          <w:color w:val="auto"/>
          <w:sz w:val="21"/>
          <w:szCs w:val="21"/>
          <w:highlight w:val="none"/>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bookmarkStart w:id="131" w:name="_Toc275865618"/>
      <w:bookmarkStart w:id="132" w:name="_Toc50737300"/>
      <w:bookmarkStart w:id="133" w:name="_Toc50737332"/>
      <w:bookmarkStart w:id="134" w:name="_Toc52165084"/>
      <w:bookmarkStart w:id="135" w:name="_Toc50691042"/>
      <w:bookmarkStart w:id="136" w:name="_Toc50736480"/>
      <w:bookmarkStart w:id="137" w:name="_Toc173553182"/>
      <w:bookmarkStart w:id="138" w:name="_Toc275865616"/>
      <w:r>
        <w:rPr>
          <w:rFonts w:hint="eastAsia" w:ascii="Arial" w:hAnsi="Arial" w:eastAsia="黑体" w:cs="Times New Roman"/>
          <w:b w:val="0"/>
          <w:bCs w:val="0"/>
          <w:color w:val="auto"/>
          <w:kern w:val="2"/>
          <w:sz w:val="32"/>
          <w:szCs w:val="32"/>
          <w:highlight w:val="none"/>
          <w:lang w:val="en-US" w:eastAsia="zh-CN" w:bidi="ar-SA"/>
        </w:rPr>
        <w:t>拟投入人员一览表</w:t>
      </w:r>
      <w:bookmarkEnd w:id="131"/>
      <w:bookmarkEnd w:id="132"/>
      <w:bookmarkEnd w:id="133"/>
      <w:bookmarkEnd w:id="134"/>
      <w:bookmarkEnd w:id="135"/>
      <w:bookmarkEnd w:id="136"/>
    </w:p>
    <w:p>
      <w:pPr>
        <w:spacing w:after="156" w:afterLines="50"/>
        <w:jc w:val="center"/>
        <w:outlineLvl w:val="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投标人名称：                                                     项目编号：GDZC-21GZ198</w:t>
      </w:r>
    </w:p>
    <w:tbl>
      <w:tblPr>
        <w:tblStyle w:val="21"/>
        <w:tblW w:w="95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4"/>
        <w:gridCol w:w="1037"/>
        <w:gridCol w:w="695"/>
        <w:gridCol w:w="720"/>
        <w:gridCol w:w="825"/>
        <w:gridCol w:w="980"/>
        <w:gridCol w:w="862"/>
        <w:gridCol w:w="733"/>
        <w:gridCol w:w="1686"/>
        <w:gridCol w:w="13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74"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37" w:type="dxa"/>
            <w:tcBorders>
              <w:top w:val="single" w:color="auto" w:sz="12" w:space="0"/>
              <w:bottom w:val="double" w:color="auto" w:sz="4" w:space="0"/>
            </w:tcBorders>
            <w:shd w:val="clear" w:color="auto" w:fill="EEECE1"/>
            <w:vAlign w:val="center"/>
          </w:tcPr>
          <w:p>
            <w:pPr>
              <w:pStyle w:val="47"/>
              <w:keepNext w:val="0"/>
              <w:snapToGrid w:val="0"/>
              <w:spacing w:before="0" w:after="0" w:line="240" w:lineRule="auto"/>
              <w:ind w:left="-84" w:leftChars="-40" w:right="-107" w:rightChars="-51"/>
              <w:textAlignment w:val="auto"/>
              <w:rPr>
                <w:rFonts w:hint="eastAsia" w:ascii="宋体" w:hAnsi="宋体" w:eastAsia="宋体" w:cs="宋体"/>
                <w:snapToGrid/>
                <w:color w:val="auto"/>
                <w:spacing w:val="0"/>
                <w:kern w:val="2"/>
                <w:sz w:val="21"/>
                <w:szCs w:val="21"/>
                <w:highlight w:val="none"/>
                <w:lang w:val="en-US" w:eastAsia="zh-CN"/>
              </w:rPr>
            </w:pPr>
            <w:r>
              <w:rPr>
                <w:rFonts w:hint="eastAsia" w:ascii="宋体" w:hAnsi="宋体" w:eastAsia="宋体" w:cs="宋体"/>
                <w:snapToGrid/>
                <w:color w:val="auto"/>
                <w:spacing w:val="0"/>
                <w:kern w:val="2"/>
                <w:sz w:val="21"/>
                <w:szCs w:val="21"/>
                <w:highlight w:val="none"/>
                <w:lang w:val="en-US" w:eastAsia="zh-CN"/>
              </w:rPr>
              <w:t>姓名</w:t>
            </w:r>
          </w:p>
        </w:tc>
        <w:tc>
          <w:tcPr>
            <w:tcW w:w="695"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720"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825"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980"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862"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tc>
        <w:tc>
          <w:tcPr>
            <w:tcW w:w="733"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经验年限</w:t>
            </w:r>
          </w:p>
        </w:tc>
        <w:tc>
          <w:tcPr>
            <w:tcW w:w="1686"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拟担任职务或承担工作内容</w:t>
            </w:r>
          </w:p>
        </w:tc>
        <w:tc>
          <w:tcPr>
            <w:tcW w:w="1394" w:type="dxa"/>
            <w:tcBorders>
              <w:top w:val="single" w:color="auto" w:sz="12" w:space="0"/>
              <w:bottom w:val="double" w:color="auto" w:sz="4" w:space="0"/>
            </w:tcBorders>
            <w:shd w:val="clear" w:color="auto" w:fill="EEECE1"/>
            <w:vAlign w:val="top"/>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55"/>
              </w:numPr>
              <w:tabs>
                <w:tab w:val="left" w:pos="142"/>
              </w:tabs>
              <w:jc w:val="center"/>
              <w:rPr>
                <w:rFonts w:hint="eastAsia" w:ascii="宋体" w:hAnsi="宋体" w:eastAsia="宋体" w:cs="宋体"/>
                <w:color w:val="auto"/>
                <w:sz w:val="21"/>
                <w:szCs w:val="21"/>
                <w:highlight w:val="none"/>
              </w:rPr>
            </w:pPr>
          </w:p>
        </w:tc>
        <w:tc>
          <w:tcPr>
            <w:tcW w:w="1037" w:type="dxa"/>
            <w:vAlign w:val="center"/>
          </w:tcPr>
          <w:p>
            <w:pPr>
              <w:jc w:val="center"/>
              <w:rPr>
                <w:rFonts w:hint="eastAsia" w:ascii="宋体" w:hAnsi="宋体" w:eastAsia="宋体" w:cs="宋体"/>
                <w:color w:val="auto"/>
                <w:sz w:val="21"/>
                <w:szCs w:val="21"/>
                <w:highlight w:val="none"/>
              </w:rPr>
            </w:pPr>
          </w:p>
        </w:tc>
        <w:tc>
          <w:tcPr>
            <w:tcW w:w="695" w:type="dxa"/>
            <w:vAlign w:val="center"/>
          </w:tcPr>
          <w:p>
            <w:pPr>
              <w:jc w:val="center"/>
              <w:rPr>
                <w:rFonts w:hint="eastAsia" w:ascii="宋体" w:hAnsi="宋体" w:eastAsia="宋体" w:cs="宋体"/>
                <w:color w:val="auto"/>
                <w:sz w:val="21"/>
                <w:szCs w:val="21"/>
                <w:highlight w:val="none"/>
              </w:rPr>
            </w:pPr>
          </w:p>
        </w:tc>
        <w:tc>
          <w:tcPr>
            <w:tcW w:w="720" w:type="dxa"/>
            <w:vAlign w:val="center"/>
          </w:tcPr>
          <w:p>
            <w:pPr>
              <w:jc w:val="center"/>
              <w:rPr>
                <w:rFonts w:hint="eastAsia" w:ascii="宋体" w:hAnsi="宋体" w:eastAsia="宋体" w:cs="宋体"/>
                <w:color w:val="auto"/>
                <w:sz w:val="21"/>
                <w:szCs w:val="21"/>
                <w:highlight w:val="none"/>
              </w:rPr>
            </w:pPr>
          </w:p>
        </w:tc>
        <w:tc>
          <w:tcPr>
            <w:tcW w:w="825" w:type="dxa"/>
            <w:vAlign w:val="center"/>
          </w:tcPr>
          <w:p>
            <w:pPr>
              <w:jc w:val="center"/>
              <w:rPr>
                <w:rFonts w:hint="eastAsia" w:ascii="宋体" w:hAnsi="宋体" w:eastAsia="宋体" w:cs="宋体"/>
                <w:color w:val="auto"/>
                <w:sz w:val="21"/>
                <w:szCs w:val="21"/>
                <w:highlight w:val="none"/>
              </w:rPr>
            </w:pPr>
          </w:p>
        </w:tc>
        <w:tc>
          <w:tcPr>
            <w:tcW w:w="980" w:type="dxa"/>
            <w:vAlign w:val="center"/>
          </w:tcPr>
          <w:p>
            <w:pPr>
              <w:jc w:val="center"/>
              <w:rPr>
                <w:rFonts w:hint="eastAsia" w:ascii="宋体" w:hAnsi="宋体" w:eastAsia="宋体" w:cs="宋体"/>
                <w:color w:val="auto"/>
                <w:sz w:val="21"/>
                <w:szCs w:val="21"/>
                <w:highlight w:val="none"/>
              </w:rPr>
            </w:pPr>
          </w:p>
        </w:tc>
        <w:tc>
          <w:tcPr>
            <w:tcW w:w="862" w:type="dxa"/>
            <w:vAlign w:val="center"/>
          </w:tcPr>
          <w:p>
            <w:pPr>
              <w:jc w:val="center"/>
              <w:rPr>
                <w:rFonts w:hint="eastAsia" w:ascii="宋体" w:hAnsi="宋体" w:eastAsia="宋体" w:cs="宋体"/>
                <w:color w:val="auto"/>
                <w:sz w:val="21"/>
                <w:szCs w:val="21"/>
                <w:highlight w:val="none"/>
              </w:rPr>
            </w:pPr>
          </w:p>
        </w:tc>
        <w:tc>
          <w:tcPr>
            <w:tcW w:w="733" w:type="dxa"/>
            <w:vAlign w:val="center"/>
          </w:tcPr>
          <w:p>
            <w:pPr>
              <w:jc w:val="center"/>
              <w:rPr>
                <w:rFonts w:hint="eastAsia" w:ascii="宋体" w:hAnsi="宋体" w:eastAsia="宋体" w:cs="宋体"/>
                <w:color w:val="auto"/>
                <w:sz w:val="21"/>
                <w:szCs w:val="21"/>
                <w:highlight w:val="none"/>
              </w:rPr>
            </w:pPr>
          </w:p>
        </w:tc>
        <w:tc>
          <w:tcPr>
            <w:tcW w:w="1686" w:type="dxa"/>
            <w:vAlign w:val="center"/>
          </w:tcPr>
          <w:p>
            <w:pPr>
              <w:jc w:val="center"/>
              <w:rPr>
                <w:rFonts w:hint="eastAsia" w:ascii="宋体" w:hAnsi="宋体" w:eastAsia="宋体" w:cs="宋体"/>
                <w:color w:val="auto"/>
                <w:sz w:val="21"/>
                <w:szCs w:val="21"/>
                <w:highlight w:val="none"/>
              </w:rPr>
            </w:pPr>
          </w:p>
        </w:tc>
        <w:tc>
          <w:tcPr>
            <w:tcW w:w="1394"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55"/>
              </w:numPr>
              <w:tabs>
                <w:tab w:val="left" w:pos="142"/>
              </w:tabs>
              <w:jc w:val="center"/>
              <w:rPr>
                <w:rFonts w:hint="eastAsia" w:ascii="宋体" w:hAnsi="宋体" w:eastAsia="宋体" w:cs="宋体"/>
                <w:color w:val="auto"/>
                <w:sz w:val="21"/>
                <w:szCs w:val="21"/>
                <w:highlight w:val="none"/>
              </w:rPr>
            </w:pPr>
          </w:p>
        </w:tc>
        <w:tc>
          <w:tcPr>
            <w:tcW w:w="1037" w:type="dxa"/>
            <w:vAlign w:val="center"/>
          </w:tcPr>
          <w:p>
            <w:pPr>
              <w:jc w:val="center"/>
              <w:rPr>
                <w:rFonts w:hint="eastAsia" w:ascii="宋体" w:hAnsi="宋体" w:eastAsia="宋体" w:cs="宋体"/>
                <w:color w:val="auto"/>
                <w:sz w:val="21"/>
                <w:szCs w:val="21"/>
                <w:highlight w:val="none"/>
              </w:rPr>
            </w:pPr>
          </w:p>
        </w:tc>
        <w:tc>
          <w:tcPr>
            <w:tcW w:w="695" w:type="dxa"/>
            <w:vAlign w:val="center"/>
          </w:tcPr>
          <w:p>
            <w:pPr>
              <w:jc w:val="center"/>
              <w:rPr>
                <w:rFonts w:hint="eastAsia" w:ascii="宋体" w:hAnsi="宋体" w:eastAsia="宋体" w:cs="宋体"/>
                <w:color w:val="auto"/>
                <w:sz w:val="21"/>
                <w:szCs w:val="21"/>
                <w:highlight w:val="none"/>
              </w:rPr>
            </w:pPr>
          </w:p>
        </w:tc>
        <w:tc>
          <w:tcPr>
            <w:tcW w:w="720" w:type="dxa"/>
            <w:vAlign w:val="center"/>
          </w:tcPr>
          <w:p>
            <w:pPr>
              <w:jc w:val="center"/>
              <w:rPr>
                <w:rFonts w:hint="eastAsia" w:ascii="宋体" w:hAnsi="宋体" w:eastAsia="宋体" w:cs="宋体"/>
                <w:color w:val="auto"/>
                <w:sz w:val="21"/>
                <w:szCs w:val="21"/>
                <w:highlight w:val="none"/>
              </w:rPr>
            </w:pPr>
          </w:p>
        </w:tc>
        <w:tc>
          <w:tcPr>
            <w:tcW w:w="825" w:type="dxa"/>
            <w:vAlign w:val="center"/>
          </w:tcPr>
          <w:p>
            <w:pPr>
              <w:jc w:val="center"/>
              <w:rPr>
                <w:rFonts w:hint="eastAsia" w:ascii="宋体" w:hAnsi="宋体" w:eastAsia="宋体" w:cs="宋体"/>
                <w:color w:val="auto"/>
                <w:sz w:val="21"/>
                <w:szCs w:val="21"/>
                <w:highlight w:val="none"/>
              </w:rPr>
            </w:pPr>
          </w:p>
        </w:tc>
        <w:tc>
          <w:tcPr>
            <w:tcW w:w="980" w:type="dxa"/>
            <w:vAlign w:val="center"/>
          </w:tcPr>
          <w:p>
            <w:pPr>
              <w:jc w:val="center"/>
              <w:rPr>
                <w:rFonts w:hint="eastAsia" w:ascii="宋体" w:hAnsi="宋体" w:eastAsia="宋体" w:cs="宋体"/>
                <w:color w:val="auto"/>
                <w:sz w:val="21"/>
                <w:szCs w:val="21"/>
                <w:highlight w:val="none"/>
              </w:rPr>
            </w:pPr>
          </w:p>
        </w:tc>
        <w:tc>
          <w:tcPr>
            <w:tcW w:w="862" w:type="dxa"/>
            <w:vAlign w:val="center"/>
          </w:tcPr>
          <w:p>
            <w:pPr>
              <w:jc w:val="center"/>
              <w:rPr>
                <w:rFonts w:hint="eastAsia" w:ascii="宋体" w:hAnsi="宋体" w:eastAsia="宋体" w:cs="宋体"/>
                <w:color w:val="auto"/>
                <w:sz w:val="21"/>
                <w:szCs w:val="21"/>
                <w:highlight w:val="none"/>
              </w:rPr>
            </w:pPr>
          </w:p>
        </w:tc>
        <w:tc>
          <w:tcPr>
            <w:tcW w:w="733" w:type="dxa"/>
            <w:vAlign w:val="center"/>
          </w:tcPr>
          <w:p>
            <w:pPr>
              <w:jc w:val="center"/>
              <w:rPr>
                <w:rFonts w:hint="eastAsia" w:ascii="宋体" w:hAnsi="宋体" w:eastAsia="宋体" w:cs="宋体"/>
                <w:color w:val="auto"/>
                <w:sz w:val="21"/>
                <w:szCs w:val="21"/>
                <w:highlight w:val="none"/>
              </w:rPr>
            </w:pPr>
          </w:p>
        </w:tc>
        <w:tc>
          <w:tcPr>
            <w:tcW w:w="1686" w:type="dxa"/>
            <w:vAlign w:val="center"/>
          </w:tcPr>
          <w:p>
            <w:pPr>
              <w:jc w:val="center"/>
              <w:rPr>
                <w:rFonts w:hint="eastAsia" w:ascii="宋体" w:hAnsi="宋体" w:eastAsia="宋体" w:cs="宋体"/>
                <w:color w:val="auto"/>
                <w:sz w:val="21"/>
                <w:szCs w:val="21"/>
                <w:highlight w:val="none"/>
              </w:rPr>
            </w:pPr>
          </w:p>
        </w:tc>
        <w:tc>
          <w:tcPr>
            <w:tcW w:w="1394"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55"/>
              </w:numPr>
              <w:tabs>
                <w:tab w:val="left" w:pos="142"/>
              </w:tabs>
              <w:jc w:val="center"/>
              <w:rPr>
                <w:rFonts w:hint="eastAsia" w:ascii="宋体" w:hAnsi="宋体" w:eastAsia="宋体" w:cs="宋体"/>
                <w:color w:val="auto"/>
                <w:sz w:val="21"/>
                <w:szCs w:val="21"/>
                <w:highlight w:val="none"/>
              </w:rPr>
            </w:pPr>
          </w:p>
        </w:tc>
        <w:tc>
          <w:tcPr>
            <w:tcW w:w="1037" w:type="dxa"/>
            <w:vAlign w:val="center"/>
          </w:tcPr>
          <w:p>
            <w:pPr>
              <w:jc w:val="center"/>
              <w:rPr>
                <w:rFonts w:hint="eastAsia" w:ascii="宋体" w:hAnsi="宋体" w:eastAsia="宋体" w:cs="宋体"/>
                <w:color w:val="auto"/>
                <w:sz w:val="21"/>
                <w:szCs w:val="21"/>
                <w:highlight w:val="none"/>
              </w:rPr>
            </w:pPr>
          </w:p>
        </w:tc>
        <w:tc>
          <w:tcPr>
            <w:tcW w:w="695" w:type="dxa"/>
            <w:vAlign w:val="center"/>
          </w:tcPr>
          <w:p>
            <w:pPr>
              <w:jc w:val="center"/>
              <w:rPr>
                <w:rFonts w:hint="eastAsia" w:ascii="宋体" w:hAnsi="宋体" w:eastAsia="宋体" w:cs="宋体"/>
                <w:color w:val="auto"/>
                <w:sz w:val="21"/>
                <w:szCs w:val="21"/>
                <w:highlight w:val="none"/>
              </w:rPr>
            </w:pPr>
          </w:p>
        </w:tc>
        <w:tc>
          <w:tcPr>
            <w:tcW w:w="720" w:type="dxa"/>
            <w:vAlign w:val="center"/>
          </w:tcPr>
          <w:p>
            <w:pPr>
              <w:jc w:val="center"/>
              <w:rPr>
                <w:rFonts w:hint="eastAsia" w:ascii="宋体" w:hAnsi="宋体" w:eastAsia="宋体" w:cs="宋体"/>
                <w:color w:val="auto"/>
                <w:sz w:val="21"/>
                <w:szCs w:val="21"/>
                <w:highlight w:val="none"/>
              </w:rPr>
            </w:pPr>
          </w:p>
        </w:tc>
        <w:tc>
          <w:tcPr>
            <w:tcW w:w="825" w:type="dxa"/>
            <w:vAlign w:val="center"/>
          </w:tcPr>
          <w:p>
            <w:pPr>
              <w:jc w:val="center"/>
              <w:rPr>
                <w:rFonts w:hint="eastAsia" w:ascii="宋体" w:hAnsi="宋体" w:eastAsia="宋体" w:cs="宋体"/>
                <w:color w:val="auto"/>
                <w:sz w:val="21"/>
                <w:szCs w:val="21"/>
                <w:highlight w:val="none"/>
              </w:rPr>
            </w:pPr>
          </w:p>
        </w:tc>
        <w:tc>
          <w:tcPr>
            <w:tcW w:w="980" w:type="dxa"/>
            <w:vAlign w:val="center"/>
          </w:tcPr>
          <w:p>
            <w:pPr>
              <w:jc w:val="center"/>
              <w:rPr>
                <w:rFonts w:hint="eastAsia" w:ascii="宋体" w:hAnsi="宋体" w:eastAsia="宋体" w:cs="宋体"/>
                <w:color w:val="auto"/>
                <w:sz w:val="21"/>
                <w:szCs w:val="21"/>
                <w:highlight w:val="none"/>
              </w:rPr>
            </w:pPr>
          </w:p>
        </w:tc>
        <w:tc>
          <w:tcPr>
            <w:tcW w:w="862" w:type="dxa"/>
            <w:vAlign w:val="center"/>
          </w:tcPr>
          <w:p>
            <w:pPr>
              <w:jc w:val="center"/>
              <w:rPr>
                <w:rFonts w:hint="eastAsia" w:ascii="宋体" w:hAnsi="宋体" w:eastAsia="宋体" w:cs="宋体"/>
                <w:color w:val="auto"/>
                <w:sz w:val="21"/>
                <w:szCs w:val="21"/>
                <w:highlight w:val="none"/>
              </w:rPr>
            </w:pPr>
          </w:p>
        </w:tc>
        <w:tc>
          <w:tcPr>
            <w:tcW w:w="733" w:type="dxa"/>
            <w:vAlign w:val="center"/>
          </w:tcPr>
          <w:p>
            <w:pPr>
              <w:jc w:val="center"/>
              <w:rPr>
                <w:rFonts w:hint="eastAsia" w:ascii="宋体" w:hAnsi="宋体" w:eastAsia="宋体" w:cs="宋体"/>
                <w:color w:val="auto"/>
                <w:sz w:val="21"/>
                <w:szCs w:val="21"/>
                <w:highlight w:val="none"/>
              </w:rPr>
            </w:pPr>
          </w:p>
        </w:tc>
        <w:tc>
          <w:tcPr>
            <w:tcW w:w="1686" w:type="dxa"/>
            <w:vAlign w:val="center"/>
          </w:tcPr>
          <w:p>
            <w:pPr>
              <w:jc w:val="center"/>
              <w:rPr>
                <w:rFonts w:hint="eastAsia" w:ascii="宋体" w:hAnsi="宋体" w:eastAsia="宋体" w:cs="宋体"/>
                <w:color w:val="auto"/>
                <w:sz w:val="21"/>
                <w:szCs w:val="21"/>
                <w:highlight w:val="none"/>
              </w:rPr>
            </w:pPr>
          </w:p>
        </w:tc>
        <w:tc>
          <w:tcPr>
            <w:tcW w:w="1394"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55"/>
              </w:numPr>
              <w:tabs>
                <w:tab w:val="left" w:pos="142"/>
              </w:tabs>
              <w:jc w:val="center"/>
              <w:rPr>
                <w:rFonts w:hint="eastAsia" w:ascii="宋体" w:hAnsi="宋体" w:eastAsia="宋体" w:cs="宋体"/>
                <w:color w:val="auto"/>
                <w:sz w:val="21"/>
                <w:szCs w:val="21"/>
                <w:highlight w:val="none"/>
              </w:rPr>
            </w:pPr>
          </w:p>
        </w:tc>
        <w:tc>
          <w:tcPr>
            <w:tcW w:w="1037" w:type="dxa"/>
            <w:vAlign w:val="center"/>
          </w:tcPr>
          <w:p>
            <w:pPr>
              <w:jc w:val="center"/>
              <w:rPr>
                <w:rFonts w:hint="eastAsia" w:ascii="宋体" w:hAnsi="宋体" w:eastAsia="宋体" w:cs="宋体"/>
                <w:color w:val="auto"/>
                <w:sz w:val="21"/>
                <w:szCs w:val="21"/>
                <w:highlight w:val="none"/>
              </w:rPr>
            </w:pPr>
          </w:p>
        </w:tc>
        <w:tc>
          <w:tcPr>
            <w:tcW w:w="695" w:type="dxa"/>
            <w:vAlign w:val="center"/>
          </w:tcPr>
          <w:p>
            <w:pPr>
              <w:jc w:val="center"/>
              <w:rPr>
                <w:rFonts w:hint="eastAsia" w:ascii="宋体" w:hAnsi="宋体" w:eastAsia="宋体" w:cs="宋体"/>
                <w:color w:val="auto"/>
                <w:sz w:val="21"/>
                <w:szCs w:val="21"/>
                <w:highlight w:val="none"/>
              </w:rPr>
            </w:pPr>
          </w:p>
        </w:tc>
        <w:tc>
          <w:tcPr>
            <w:tcW w:w="720" w:type="dxa"/>
            <w:vAlign w:val="center"/>
          </w:tcPr>
          <w:p>
            <w:pPr>
              <w:jc w:val="center"/>
              <w:rPr>
                <w:rFonts w:hint="eastAsia" w:ascii="宋体" w:hAnsi="宋体" w:eastAsia="宋体" w:cs="宋体"/>
                <w:color w:val="auto"/>
                <w:sz w:val="21"/>
                <w:szCs w:val="21"/>
                <w:highlight w:val="none"/>
              </w:rPr>
            </w:pPr>
          </w:p>
        </w:tc>
        <w:tc>
          <w:tcPr>
            <w:tcW w:w="825" w:type="dxa"/>
            <w:vAlign w:val="center"/>
          </w:tcPr>
          <w:p>
            <w:pPr>
              <w:jc w:val="center"/>
              <w:rPr>
                <w:rFonts w:hint="eastAsia" w:ascii="宋体" w:hAnsi="宋体" w:eastAsia="宋体" w:cs="宋体"/>
                <w:color w:val="auto"/>
                <w:sz w:val="21"/>
                <w:szCs w:val="21"/>
                <w:highlight w:val="none"/>
              </w:rPr>
            </w:pPr>
          </w:p>
        </w:tc>
        <w:tc>
          <w:tcPr>
            <w:tcW w:w="980" w:type="dxa"/>
            <w:vAlign w:val="center"/>
          </w:tcPr>
          <w:p>
            <w:pPr>
              <w:jc w:val="center"/>
              <w:rPr>
                <w:rFonts w:hint="eastAsia" w:ascii="宋体" w:hAnsi="宋体" w:eastAsia="宋体" w:cs="宋体"/>
                <w:color w:val="auto"/>
                <w:sz w:val="21"/>
                <w:szCs w:val="21"/>
                <w:highlight w:val="none"/>
              </w:rPr>
            </w:pPr>
          </w:p>
        </w:tc>
        <w:tc>
          <w:tcPr>
            <w:tcW w:w="862" w:type="dxa"/>
            <w:vAlign w:val="center"/>
          </w:tcPr>
          <w:p>
            <w:pPr>
              <w:jc w:val="center"/>
              <w:rPr>
                <w:rFonts w:hint="eastAsia" w:ascii="宋体" w:hAnsi="宋体" w:eastAsia="宋体" w:cs="宋体"/>
                <w:color w:val="auto"/>
                <w:sz w:val="21"/>
                <w:szCs w:val="21"/>
                <w:highlight w:val="none"/>
              </w:rPr>
            </w:pPr>
          </w:p>
        </w:tc>
        <w:tc>
          <w:tcPr>
            <w:tcW w:w="733" w:type="dxa"/>
            <w:vAlign w:val="center"/>
          </w:tcPr>
          <w:p>
            <w:pPr>
              <w:jc w:val="center"/>
              <w:rPr>
                <w:rFonts w:hint="eastAsia" w:ascii="宋体" w:hAnsi="宋体" w:eastAsia="宋体" w:cs="宋体"/>
                <w:color w:val="auto"/>
                <w:sz w:val="21"/>
                <w:szCs w:val="21"/>
                <w:highlight w:val="none"/>
              </w:rPr>
            </w:pPr>
          </w:p>
        </w:tc>
        <w:tc>
          <w:tcPr>
            <w:tcW w:w="1686" w:type="dxa"/>
            <w:vAlign w:val="center"/>
          </w:tcPr>
          <w:p>
            <w:pPr>
              <w:jc w:val="center"/>
              <w:rPr>
                <w:rFonts w:hint="eastAsia" w:ascii="宋体" w:hAnsi="宋体" w:eastAsia="宋体" w:cs="宋体"/>
                <w:color w:val="auto"/>
                <w:sz w:val="21"/>
                <w:szCs w:val="21"/>
                <w:highlight w:val="none"/>
              </w:rPr>
            </w:pPr>
          </w:p>
        </w:tc>
        <w:tc>
          <w:tcPr>
            <w:tcW w:w="1394"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55"/>
              </w:numPr>
              <w:tabs>
                <w:tab w:val="left" w:pos="142"/>
              </w:tabs>
              <w:jc w:val="center"/>
              <w:rPr>
                <w:rFonts w:hint="eastAsia" w:ascii="宋体" w:hAnsi="宋体" w:eastAsia="宋体" w:cs="宋体"/>
                <w:color w:val="auto"/>
                <w:sz w:val="21"/>
                <w:szCs w:val="21"/>
                <w:highlight w:val="none"/>
              </w:rPr>
            </w:pPr>
          </w:p>
        </w:tc>
        <w:tc>
          <w:tcPr>
            <w:tcW w:w="1037" w:type="dxa"/>
            <w:vAlign w:val="center"/>
          </w:tcPr>
          <w:p>
            <w:pPr>
              <w:jc w:val="center"/>
              <w:rPr>
                <w:rFonts w:hint="eastAsia" w:ascii="宋体" w:hAnsi="宋体" w:eastAsia="宋体" w:cs="宋体"/>
                <w:color w:val="auto"/>
                <w:sz w:val="21"/>
                <w:szCs w:val="21"/>
                <w:highlight w:val="none"/>
              </w:rPr>
            </w:pPr>
          </w:p>
        </w:tc>
        <w:tc>
          <w:tcPr>
            <w:tcW w:w="695" w:type="dxa"/>
            <w:vAlign w:val="center"/>
          </w:tcPr>
          <w:p>
            <w:pPr>
              <w:jc w:val="center"/>
              <w:rPr>
                <w:rFonts w:hint="eastAsia" w:ascii="宋体" w:hAnsi="宋体" w:eastAsia="宋体" w:cs="宋体"/>
                <w:color w:val="auto"/>
                <w:sz w:val="21"/>
                <w:szCs w:val="21"/>
                <w:highlight w:val="none"/>
              </w:rPr>
            </w:pPr>
          </w:p>
        </w:tc>
        <w:tc>
          <w:tcPr>
            <w:tcW w:w="720" w:type="dxa"/>
            <w:vAlign w:val="center"/>
          </w:tcPr>
          <w:p>
            <w:pPr>
              <w:jc w:val="center"/>
              <w:rPr>
                <w:rFonts w:hint="eastAsia" w:ascii="宋体" w:hAnsi="宋体" w:eastAsia="宋体" w:cs="宋体"/>
                <w:color w:val="auto"/>
                <w:sz w:val="21"/>
                <w:szCs w:val="21"/>
                <w:highlight w:val="none"/>
              </w:rPr>
            </w:pPr>
          </w:p>
        </w:tc>
        <w:tc>
          <w:tcPr>
            <w:tcW w:w="825" w:type="dxa"/>
            <w:vAlign w:val="center"/>
          </w:tcPr>
          <w:p>
            <w:pPr>
              <w:jc w:val="center"/>
              <w:rPr>
                <w:rFonts w:hint="eastAsia" w:ascii="宋体" w:hAnsi="宋体" w:eastAsia="宋体" w:cs="宋体"/>
                <w:color w:val="auto"/>
                <w:sz w:val="21"/>
                <w:szCs w:val="21"/>
                <w:highlight w:val="none"/>
              </w:rPr>
            </w:pPr>
          </w:p>
        </w:tc>
        <w:tc>
          <w:tcPr>
            <w:tcW w:w="980" w:type="dxa"/>
            <w:vAlign w:val="center"/>
          </w:tcPr>
          <w:p>
            <w:pPr>
              <w:jc w:val="center"/>
              <w:rPr>
                <w:rFonts w:hint="eastAsia" w:ascii="宋体" w:hAnsi="宋体" w:eastAsia="宋体" w:cs="宋体"/>
                <w:color w:val="auto"/>
                <w:sz w:val="21"/>
                <w:szCs w:val="21"/>
                <w:highlight w:val="none"/>
              </w:rPr>
            </w:pPr>
          </w:p>
        </w:tc>
        <w:tc>
          <w:tcPr>
            <w:tcW w:w="862" w:type="dxa"/>
            <w:vAlign w:val="center"/>
          </w:tcPr>
          <w:p>
            <w:pPr>
              <w:jc w:val="center"/>
              <w:rPr>
                <w:rFonts w:hint="eastAsia" w:ascii="宋体" w:hAnsi="宋体" w:eastAsia="宋体" w:cs="宋体"/>
                <w:color w:val="auto"/>
                <w:sz w:val="21"/>
                <w:szCs w:val="21"/>
                <w:highlight w:val="none"/>
              </w:rPr>
            </w:pPr>
          </w:p>
        </w:tc>
        <w:tc>
          <w:tcPr>
            <w:tcW w:w="733" w:type="dxa"/>
            <w:vAlign w:val="center"/>
          </w:tcPr>
          <w:p>
            <w:pPr>
              <w:jc w:val="center"/>
              <w:rPr>
                <w:rFonts w:hint="eastAsia" w:ascii="宋体" w:hAnsi="宋体" w:eastAsia="宋体" w:cs="宋体"/>
                <w:color w:val="auto"/>
                <w:sz w:val="21"/>
                <w:szCs w:val="21"/>
                <w:highlight w:val="none"/>
              </w:rPr>
            </w:pPr>
          </w:p>
        </w:tc>
        <w:tc>
          <w:tcPr>
            <w:tcW w:w="1686" w:type="dxa"/>
            <w:vAlign w:val="center"/>
          </w:tcPr>
          <w:p>
            <w:pPr>
              <w:jc w:val="center"/>
              <w:rPr>
                <w:rFonts w:hint="eastAsia" w:ascii="宋体" w:hAnsi="宋体" w:eastAsia="宋体" w:cs="宋体"/>
                <w:color w:val="auto"/>
                <w:sz w:val="21"/>
                <w:szCs w:val="21"/>
                <w:highlight w:val="none"/>
              </w:rPr>
            </w:pPr>
          </w:p>
        </w:tc>
        <w:tc>
          <w:tcPr>
            <w:tcW w:w="1394"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55"/>
              </w:numPr>
              <w:tabs>
                <w:tab w:val="left" w:pos="142"/>
              </w:tabs>
              <w:jc w:val="center"/>
              <w:rPr>
                <w:rFonts w:hint="eastAsia" w:ascii="宋体" w:hAnsi="宋体" w:eastAsia="宋体" w:cs="宋体"/>
                <w:color w:val="auto"/>
                <w:sz w:val="21"/>
                <w:szCs w:val="21"/>
                <w:highlight w:val="none"/>
              </w:rPr>
            </w:pPr>
          </w:p>
        </w:tc>
        <w:tc>
          <w:tcPr>
            <w:tcW w:w="1037" w:type="dxa"/>
            <w:vAlign w:val="center"/>
          </w:tcPr>
          <w:p>
            <w:pPr>
              <w:jc w:val="center"/>
              <w:rPr>
                <w:rFonts w:hint="eastAsia" w:ascii="宋体" w:hAnsi="宋体" w:eastAsia="宋体" w:cs="宋体"/>
                <w:color w:val="auto"/>
                <w:sz w:val="21"/>
                <w:szCs w:val="21"/>
                <w:highlight w:val="none"/>
              </w:rPr>
            </w:pPr>
          </w:p>
        </w:tc>
        <w:tc>
          <w:tcPr>
            <w:tcW w:w="695" w:type="dxa"/>
            <w:vAlign w:val="center"/>
          </w:tcPr>
          <w:p>
            <w:pPr>
              <w:jc w:val="center"/>
              <w:rPr>
                <w:rFonts w:hint="eastAsia" w:ascii="宋体" w:hAnsi="宋体" w:eastAsia="宋体" w:cs="宋体"/>
                <w:color w:val="auto"/>
                <w:sz w:val="21"/>
                <w:szCs w:val="21"/>
                <w:highlight w:val="none"/>
              </w:rPr>
            </w:pPr>
          </w:p>
        </w:tc>
        <w:tc>
          <w:tcPr>
            <w:tcW w:w="720" w:type="dxa"/>
            <w:vAlign w:val="center"/>
          </w:tcPr>
          <w:p>
            <w:pPr>
              <w:jc w:val="center"/>
              <w:rPr>
                <w:rFonts w:hint="eastAsia" w:ascii="宋体" w:hAnsi="宋体" w:eastAsia="宋体" w:cs="宋体"/>
                <w:color w:val="auto"/>
                <w:sz w:val="21"/>
                <w:szCs w:val="21"/>
                <w:highlight w:val="none"/>
              </w:rPr>
            </w:pPr>
          </w:p>
        </w:tc>
        <w:tc>
          <w:tcPr>
            <w:tcW w:w="825" w:type="dxa"/>
            <w:vAlign w:val="center"/>
          </w:tcPr>
          <w:p>
            <w:pPr>
              <w:jc w:val="center"/>
              <w:rPr>
                <w:rFonts w:hint="eastAsia" w:ascii="宋体" w:hAnsi="宋体" w:eastAsia="宋体" w:cs="宋体"/>
                <w:color w:val="auto"/>
                <w:sz w:val="21"/>
                <w:szCs w:val="21"/>
                <w:highlight w:val="none"/>
              </w:rPr>
            </w:pPr>
          </w:p>
        </w:tc>
        <w:tc>
          <w:tcPr>
            <w:tcW w:w="980" w:type="dxa"/>
            <w:vAlign w:val="center"/>
          </w:tcPr>
          <w:p>
            <w:pPr>
              <w:jc w:val="center"/>
              <w:rPr>
                <w:rFonts w:hint="eastAsia" w:ascii="宋体" w:hAnsi="宋体" w:eastAsia="宋体" w:cs="宋体"/>
                <w:color w:val="auto"/>
                <w:sz w:val="21"/>
                <w:szCs w:val="21"/>
                <w:highlight w:val="none"/>
              </w:rPr>
            </w:pPr>
          </w:p>
        </w:tc>
        <w:tc>
          <w:tcPr>
            <w:tcW w:w="862" w:type="dxa"/>
            <w:vAlign w:val="center"/>
          </w:tcPr>
          <w:p>
            <w:pPr>
              <w:jc w:val="center"/>
              <w:rPr>
                <w:rFonts w:hint="eastAsia" w:ascii="宋体" w:hAnsi="宋体" w:eastAsia="宋体" w:cs="宋体"/>
                <w:color w:val="auto"/>
                <w:sz w:val="21"/>
                <w:szCs w:val="21"/>
                <w:highlight w:val="none"/>
              </w:rPr>
            </w:pPr>
          </w:p>
        </w:tc>
        <w:tc>
          <w:tcPr>
            <w:tcW w:w="733" w:type="dxa"/>
            <w:vAlign w:val="center"/>
          </w:tcPr>
          <w:p>
            <w:pPr>
              <w:jc w:val="center"/>
              <w:rPr>
                <w:rFonts w:hint="eastAsia" w:ascii="宋体" w:hAnsi="宋体" w:eastAsia="宋体" w:cs="宋体"/>
                <w:color w:val="auto"/>
                <w:sz w:val="21"/>
                <w:szCs w:val="21"/>
                <w:highlight w:val="none"/>
              </w:rPr>
            </w:pPr>
          </w:p>
        </w:tc>
        <w:tc>
          <w:tcPr>
            <w:tcW w:w="1686" w:type="dxa"/>
            <w:vAlign w:val="center"/>
          </w:tcPr>
          <w:p>
            <w:pPr>
              <w:jc w:val="center"/>
              <w:rPr>
                <w:rFonts w:hint="eastAsia" w:ascii="宋体" w:hAnsi="宋体" w:eastAsia="宋体" w:cs="宋体"/>
                <w:color w:val="auto"/>
                <w:sz w:val="21"/>
                <w:szCs w:val="21"/>
                <w:highlight w:val="none"/>
              </w:rPr>
            </w:pPr>
          </w:p>
        </w:tc>
        <w:tc>
          <w:tcPr>
            <w:tcW w:w="1394"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55"/>
              </w:numPr>
              <w:tabs>
                <w:tab w:val="left" w:pos="142"/>
              </w:tabs>
              <w:jc w:val="center"/>
              <w:rPr>
                <w:rFonts w:hint="eastAsia" w:ascii="宋体" w:hAnsi="宋体" w:eastAsia="宋体" w:cs="宋体"/>
                <w:color w:val="auto"/>
                <w:sz w:val="21"/>
                <w:szCs w:val="21"/>
                <w:highlight w:val="none"/>
              </w:rPr>
            </w:pPr>
          </w:p>
        </w:tc>
        <w:tc>
          <w:tcPr>
            <w:tcW w:w="1037" w:type="dxa"/>
            <w:vAlign w:val="center"/>
          </w:tcPr>
          <w:p>
            <w:pPr>
              <w:jc w:val="center"/>
              <w:rPr>
                <w:rFonts w:hint="eastAsia" w:ascii="宋体" w:hAnsi="宋体" w:eastAsia="宋体" w:cs="宋体"/>
                <w:color w:val="auto"/>
                <w:sz w:val="21"/>
                <w:szCs w:val="21"/>
                <w:highlight w:val="none"/>
              </w:rPr>
            </w:pPr>
          </w:p>
        </w:tc>
        <w:tc>
          <w:tcPr>
            <w:tcW w:w="695" w:type="dxa"/>
            <w:vAlign w:val="center"/>
          </w:tcPr>
          <w:p>
            <w:pPr>
              <w:jc w:val="center"/>
              <w:rPr>
                <w:rFonts w:hint="eastAsia" w:ascii="宋体" w:hAnsi="宋体" w:eastAsia="宋体" w:cs="宋体"/>
                <w:color w:val="auto"/>
                <w:sz w:val="21"/>
                <w:szCs w:val="21"/>
                <w:highlight w:val="none"/>
              </w:rPr>
            </w:pPr>
          </w:p>
        </w:tc>
        <w:tc>
          <w:tcPr>
            <w:tcW w:w="720" w:type="dxa"/>
            <w:vAlign w:val="center"/>
          </w:tcPr>
          <w:p>
            <w:pPr>
              <w:jc w:val="center"/>
              <w:rPr>
                <w:rFonts w:hint="eastAsia" w:ascii="宋体" w:hAnsi="宋体" w:eastAsia="宋体" w:cs="宋体"/>
                <w:color w:val="auto"/>
                <w:sz w:val="21"/>
                <w:szCs w:val="21"/>
                <w:highlight w:val="none"/>
              </w:rPr>
            </w:pPr>
          </w:p>
        </w:tc>
        <w:tc>
          <w:tcPr>
            <w:tcW w:w="825" w:type="dxa"/>
            <w:vAlign w:val="center"/>
          </w:tcPr>
          <w:p>
            <w:pPr>
              <w:jc w:val="center"/>
              <w:rPr>
                <w:rFonts w:hint="eastAsia" w:ascii="宋体" w:hAnsi="宋体" w:eastAsia="宋体" w:cs="宋体"/>
                <w:color w:val="auto"/>
                <w:sz w:val="21"/>
                <w:szCs w:val="21"/>
                <w:highlight w:val="none"/>
              </w:rPr>
            </w:pPr>
          </w:p>
        </w:tc>
        <w:tc>
          <w:tcPr>
            <w:tcW w:w="980" w:type="dxa"/>
            <w:vAlign w:val="center"/>
          </w:tcPr>
          <w:p>
            <w:pPr>
              <w:jc w:val="center"/>
              <w:rPr>
                <w:rFonts w:hint="eastAsia" w:ascii="宋体" w:hAnsi="宋体" w:eastAsia="宋体" w:cs="宋体"/>
                <w:color w:val="auto"/>
                <w:sz w:val="21"/>
                <w:szCs w:val="21"/>
                <w:highlight w:val="none"/>
              </w:rPr>
            </w:pPr>
          </w:p>
        </w:tc>
        <w:tc>
          <w:tcPr>
            <w:tcW w:w="862" w:type="dxa"/>
            <w:vAlign w:val="center"/>
          </w:tcPr>
          <w:p>
            <w:pPr>
              <w:jc w:val="center"/>
              <w:rPr>
                <w:rFonts w:hint="eastAsia" w:ascii="宋体" w:hAnsi="宋体" w:eastAsia="宋体" w:cs="宋体"/>
                <w:color w:val="auto"/>
                <w:sz w:val="21"/>
                <w:szCs w:val="21"/>
                <w:highlight w:val="none"/>
              </w:rPr>
            </w:pPr>
          </w:p>
        </w:tc>
        <w:tc>
          <w:tcPr>
            <w:tcW w:w="733" w:type="dxa"/>
            <w:vAlign w:val="center"/>
          </w:tcPr>
          <w:p>
            <w:pPr>
              <w:jc w:val="center"/>
              <w:rPr>
                <w:rFonts w:hint="eastAsia" w:ascii="宋体" w:hAnsi="宋体" w:eastAsia="宋体" w:cs="宋体"/>
                <w:color w:val="auto"/>
                <w:sz w:val="21"/>
                <w:szCs w:val="21"/>
                <w:highlight w:val="none"/>
              </w:rPr>
            </w:pPr>
          </w:p>
        </w:tc>
        <w:tc>
          <w:tcPr>
            <w:tcW w:w="1686" w:type="dxa"/>
            <w:vAlign w:val="center"/>
          </w:tcPr>
          <w:p>
            <w:pPr>
              <w:jc w:val="center"/>
              <w:rPr>
                <w:rFonts w:hint="eastAsia" w:ascii="宋体" w:hAnsi="宋体" w:eastAsia="宋体" w:cs="宋体"/>
                <w:color w:val="auto"/>
                <w:sz w:val="21"/>
                <w:szCs w:val="21"/>
                <w:highlight w:val="none"/>
              </w:rPr>
            </w:pPr>
          </w:p>
        </w:tc>
        <w:tc>
          <w:tcPr>
            <w:tcW w:w="1394"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74" w:type="dxa"/>
            <w:vAlign w:val="center"/>
          </w:tcPr>
          <w:p>
            <w:pPr>
              <w:numPr>
                <w:ilvl w:val="0"/>
                <w:numId w:val="155"/>
              </w:numPr>
              <w:tabs>
                <w:tab w:val="left" w:pos="142"/>
              </w:tabs>
              <w:jc w:val="center"/>
              <w:rPr>
                <w:rFonts w:hint="eastAsia" w:ascii="宋体" w:hAnsi="宋体" w:eastAsia="宋体" w:cs="宋体"/>
                <w:color w:val="auto"/>
                <w:sz w:val="21"/>
                <w:szCs w:val="21"/>
                <w:highlight w:val="none"/>
              </w:rPr>
            </w:pPr>
          </w:p>
        </w:tc>
        <w:tc>
          <w:tcPr>
            <w:tcW w:w="1037" w:type="dxa"/>
            <w:vAlign w:val="center"/>
          </w:tcPr>
          <w:p>
            <w:pPr>
              <w:jc w:val="center"/>
              <w:rPr>
                <w:rFonts w:hint="eastAsia" w:ascii="宋体" w:hAnsi="宋体" w:eastAsia="宋体" w:cs="宋体"/>
                <w:color w:val="auto"/>
                <w:sz w:val="21"/>
                <w:szCs w:val="21"/>
                <w:highlight w:val="none"/>
              </w:rPr>
            </w:pPr>
          </w:p>
        </w:tc>
        <w:tc>
          <w:tcPr>
            <w:tcW w:w="695" w:type="dxa"/>
            <w:vAlign w:val="center"/>
          </w:tcPr>
          <w:p>
            <w:pPr>
              <w:jc w:val="center"/>
              <w:rPr>
                <w:rFonts w:hint="eastAsia" w:ascii="宋体" w:hAnsi="宋体" w:eastAsia="宋体" w:cs="宋体"/>
                <w:color w:val="auto"/>
                <w:sz w:val="21"/>
                <w:szCs w:val="21"/>
                <w:highlight w:val="none"/>
              </w:rPr>
            </w:pPr>
          </w:p>
        </w:tc>
        <w:tc>
          <w:tcPr>
            <w:tcW w:w="720" w:type="dxa"/>
            <w:vAlign w:val="center"/>
          </w:tcPr>
          <w:p>
            <w:pPr>
              <w:jc w:val="center"/>
              <w:rPr>
                <w:rFonts w:hint="eastAsia" w:ascii="宋体" w:hAnsi="宋体" w:eastAsia="宋体" w:cs="宋体"/>
                <w:color w:val="auto"/>
                <w:sz w:val="21"/>
                <w:szCs w:val="21"/>
                <w:highlight w:val="none"/>
              </w:rPr>
            </w:pPr>
          </w:p>
        </w:tc>
        <w:tc>
          <w:tcPr>
            <w:tcW w:w="825" w:type="dxa"/>
            <w:vAlign w:val="center"/>
          </w:tcPr>
          <w:p>
            <w:pPr>
              <w:jc w:val="center"/>
              <w:rPr>
                <w:rFonts w:hint="eastAsia" w:ascii="宋体" w:hAnsi="宋体" w:eastAsia="宋体" w:cs="宋体"/>
                <w:color w:val="auto"/>
                <w:sz w:val="21"/>
                <w:szCs w:val="21"/>
                <w:highlight w:val="none"/>
              </w:rPr>
            </w:pPr>
          </w:p>
        </w:tc>
        <w:tc>
          <w:tcPr>
            <w:tcW w:w="980" w:type="dxa"/>
            <w:vAlign w:val="center"/>
          </w:tcPr>
          <w:p>
            <w:pPr>
              <w:jc w:val="center"/>
              <w:rPr>
                <w:rFonts w:hint="eastAsia" w:ascii="宋体" w:hAnsi="宋体" w:eastAsia="宋体" w:cs="宋体"/>
                <w:color w:val="auto"/>
                <w:sz w:val="21"/>
                <w:szCs w:val="21"/>
                <w:highlight w:val="none"/>
              </w:rPr>
            </w:pPr>
          </w:p>
        </w:tc>
        <w:tc>
          <w:tcPr>
            <w:tcW w:w="862" w:type="dxa"/>
            <w:vAlign w:val="center"/>
          </w:tcPr>
          <w:p>
            <w:pPr>
              <w:jc w:val="center"/>
              <w:rPr>
                <w:rFonts w:hint="eastAsia" w:ascii="宋体" w:hAnsi="宋体" w:eastAsia="宋体" w:cs="宋体"/>
                <w:color w:val="auto"/>
                <w:sz w:val="21"/>
                <w:szCs w:val="21"/>
                <w:highlight w:val="none"/>
              </w:rPr>
            </w:pPr>
          </w:p>
        </w:tc>
        <w:tc>
          <w:tcPr>
            <w:tcW w:w="733" w:type="dxa"/>
            <w:vAlign w:val="center"/>
          </w:tcPr>
          <w:p>
            <w:pPr>
              <w:jc w:val="center"/>
              <w:rPr>
                <w:rFonts w:hint="eastAsia" w:ascii="宋体" w:hAnsi="宋体" w:eastAsia="宋体" w:cs="宋体"/>
                <w:color w:val="auto"/>
                <w:sz w:val="21"/>
                <w:szCs w:val="21"/>
                <w:highlight w:val="none"/>
              </w:rPr>
            </w:pPr>
          </w:p>
        </w:tc>
        <w:tc>
          <w:tcPr>
            <w:tcW w:w="1686" w:type="dxa"/>
            <w:vAlign w:val="center"/>
          </w:tcPr>
          <w:p>
            <w:pPr>
              <w:jc w:val="center"/>
              <w:rPr>
                <w:rFonts w:hint="eastAsia" w:ascii="宋体" w:hAnsi="宋体" w:eastAsia="宋体" w:cs="宋体"/>
                <w:color w:val="auto"/>
                <w:sz w:val="21"/>
                <w:szCs w:val="21"/>
                <w:highlight w:val="none"/>
              </w:rPr>
            </w:pPr>
          </w:p>
        </w:tc>
        <w:tc>
          <w:tcPr>
            <w:tcW w:w="1394"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bl>
    <w:p>
      <w:pPr>
        <w:spacing w:line="5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备注：</w:t>
      </w:r>
    </w:p>
    <w:p>
      <w:pPr>
        <w:numPr>
          <w:ilvl w:val="0"/>
          <w:numId w:val="156"/>
        </w:numPr>
        <w:spacing w:line="500" w:lineRule="exact"/>
        <w:ind w:left="425" w:leftChars="0" w:hanging="425" w:firstLineChars="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根据评分表的要求提交相应资料</w:t>
      </w:r>
      <w:r>
        <w:rPr>
          <w:rFonts w:hint="eastAsia" w:ascii="宋体" w:hAnsi="宋体" w:eastAsia="宋体" w:cs="宋体"/>
          <w:bCs/>
          <w:color w:val="auto"/>
          <w:sz w:val="21"/>
          <w:szCs w:val="21"/>
          <w:highlight w:val="none"/>
        </w:rPr>
        <w:t xml:space="preserve">。 </w:t>
      </w:r>
    </w:p>
    <w:p>
      <w:pPr>
        <w:numPr>
          <w:ilvl w:val="0"/>
          <w:numId w:val="156"/>
        </w:numPr>
        <w:spacing w:line="500" w:lineRule="exact"/>
        <w:ind w:left="425" w:leftChars="0" w:hanging="425" w:firstLineChars="0"/>
        <w:rPr>
          <w:rFonts w:hint="eastAsia" w:ascii="宋体" w:hAnsi="宋体" w:eastAsia="宋体" w:cs="宋体"/>
          <w:color w:val="auto"/>
          <w:spacing w:val="4"/>
          <w:sz w:val="21"/>
          <w:szCs w:val="21"/>
          <w:highlight w:val="none"/>
        </w:rPr>
      </w:pPr>
      <w:r>
        <w:rPr>
          <w:rFonts w:hint="eastAsia" w:ascii="宋体" w:hAnsi="宋体" w:eastAsia="宋体" w:cs="宋体"/>
          <w:bCs/>
          <w:color w:val="auto"/>
          <w:sz w:val="21"/>
          <w:szCs w:val="21"/>
          <w:highlight w:val="none"/>
        </w:rPr>
        <w:t>如本表格式内容不能满足需要，投标人可根据本表格式自行扩展填写，但必须体现以上内容</w:t>
      </w:r>
      <w:r>
        <w:rPr>
          <w:rFonts w:hint="eastAsia" w:ascii="宋体" w:hAnsi="宋体" w:eastAsia="宋体" w:cs="宋体"/>
          <w:bCs/>
          <w:color w:val="auto"/>
          <w:sz w:val="21"/>
          <w:szCs w:val="21"/>
          <w:highlight w:val="none"/>
          <w:lang w:eastAsia="zh-CN"/>
        </w:rPr>
        <w:t>。</w:t>
      </w:r>
    </w:p>
    <w:p>
      <w:pPr>
        <w:spacing w:line="500" w:lineRule="exact"/>
        <w:ind w:firstLine="436" w:firstLineChars="200"/>
        <w:rPr>
          <w:rFonts w:hint="eastAsia" w:ascii="宋体" w:hAnsi="宋体" w:eastAsia="宋体" w:cs="宋体"/>
          <w:color w:val="auto"/>
          <w:spacing w:val="4"/>
          <w:sz w:val="21"/>
          <w:szCs w:val="21"/>
          <w:highlight w:val="none"/>
        </w:rPr>
      </w:pPr>
    </w:p>
    <w:p>
      <w:pPr>
        <w:spacing w:line="500" w:lineRule="exact"/>
        <w:ind w:firstLine="436" w:firstLineChars="200"/>
        <w:rPr>
          <w:rFonts w:hint="eastAsia" w:ascii="宋体" w:hAnsi="宋体" w:eastAsia="宋体" w:cs="宋体"/>
          <w:color w:val="auto"/>
          <w:spacing w:val="4"/>
          <w:sz w:val="21"/>
          <w:szCs w:val="21"/>
          <w:highlight w:val="none"/>
        </w:rPr>
      </w:pPr>
    </w:p>
    <w:p>
      <w:pPr>
        <w:spacing w:line="5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pacing w:val="4"/>
          <w:sz w:val="21"/>
          <w:szCs w:val="21"/>
          <w:highlight w:val="none"/>
        </w:rPr>
        <w:t>投标人名称（加盖公章）：</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5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职务：</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numPr>
          <w:ilvl w:val="0"/>
          <w:numId w:val="143"/>
        </w:num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pPr>
        <w:numPr>
          <w:ilvl w:val="0"/>
          <w:numId w:val="143"/>
        </w:numPr>
        <w:spacing w:line="440" w:lineRule="exact"/>
        <w:rPr>
          <w:rFonts w:hint="eastAsia" w:ascii="宋体" w:hAnsi="宋体" w:eastAsia="宋体" w:cs="宋体"/>
          <w:b w:val="0"/>
          <w:color w:val="auto"/>
          <w:sz w:val="21"/>
          <w:szCs w:val="21"/>
          <w:highlight w:val="none"/>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r>
        <w:rPr>
          <w:rFonts w:hint="eastAsia" w:ascii="Arial" w:hAnsi="Arial" w:eastAsia="黑体" w:cs="Times New Roman"/>
          <w:b w:val="0"/>
          <w:bCs w:val="0"/>
          <w:color w:val="auto"/>
          <w:kern w:val="2"/>
          <w:sz w:val="32"/>
          <w:szCs w:val="32"/>
          <w:highlight w:val="none"/>
          <w:lang w:val="en-US" w:eastAsia="zh-CN" w:bidi="ar-SA"/>
        </w:rPr>
        <w:t>投标人基本情况表</w:t>
      </w:r>
      <w:bookmarkEnd w:id="137"/>
      <w:bookmarkEnd w:id="138"/>
    </w:p>
    <w:p>
      <w:pPr>
        <w:numPr>
          <w:ilvl w:val="0"/>
          <w:numId w:val="157"/>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公司基本情况</w:t>
      </w:r>
    </w:p>
    <w:p>
      <w:pPr>
        <w:numPr>
          <w:ilvl w:val="1"/>
          <w:numId w:val="157"/>
        </w:numPr>
        <w:tabs>
          <w:tab w:val="left" w:pos="420"/>
          <w:tab w:val="clear" w:pos="840"/>
        </w:tabs>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电话号码：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numPr>
          <w:ilvl w:val="1"/>
          <w:numId w:val="157"/>
        </w:numPr>
        <w:tabs>
          <w:tab w:val="left" w:pos="420"/>
          <w:tab w:val="clear" w:pos="840"/>
        </w:tabs>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传    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pPr>
        <w:numPr>
          <w:ilvl w:val="1"/>
          <w:numId w:val="157"/>
        </w:numPr>
        <w:tabs>
          <w:tab w:val="left" w:pos="420"/>
          <w:tab w:val="clear" w:pos="840"/>
        </w:tabs>
        <w:spacing w:line="360" w:lineRule="auto"/>
        <w:ind w:left="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注册资金：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经济性质：</w:t>
      </w:r>
      <w:r>
        <w:rPr>
          <w:rFonts w:hint="eastAsia" w:ascii="宋体" w:hAnsi="宋体" w:eastAsia="宋体" w:cs="宋体"/>
          <w:color w:val="auto"/>
          <w:sz w:val="21"/>
          <w:szCs w:val="21"/>
          <w:highlight w:val="none"/>
          <w:u w:val="single"/>
        </w:rPr>
        <w:t xml:space="preserve">          </w:t>
      </w:r>
    </w:p>
    <w:p>
      <w:pPr>
        <w:numPr>
          <w:ilvl w:val="1"/>
          <w:numId w:val="157"/>
        </w:numPr>
        <w:tabs>
          <w:tab w:val="left" w:pos="420"/>
          <w:tab w:val="clear" w:pos="840"/>
        </w:tabs>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公司开户银行名称及账号：     </w:t>
      </w:r>
    </w:p>
    <w:p>
      <w:pPr>
        <w:numPr>
          <w:ilvl w:val="1"/>
          <w:numId w:val="157"/>
        </w:numPr>
        <w:tabs>
          <w:tab w:val="left" w:pos="420"/>
          <w:tab w:val="clear" w:pos="840"/>
        </w:tabs>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营业注册执照号：   </w:t>
      </w:r>
    </w:p>
    <w:p>
      <w:pPr>
        <w:numPr>
          <w:ilvl w:val="1"/>
          <w:numId w:val="157"/>
        </w:numPr>
        <w:tabs>
          <w:tab w:val="left" w:pos="420"/>
          <w:tab w:val="clear" w:pos="840"/>
        </w:tabs>
        <w:spacing w:line="360" w:lineRule="auto"/>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公司简介</w:t>
      </w:r>
    </w:p>
    <w:p>
      <w:pPr>
        <w:spacing w:line="360" w:lineRule="auto"/>
        <w:ind w:left="3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文字描述：</w:t>
      </w:r>
      <w:r>
        <w:rPr>
          <w:rFonts w:hint="eastAsia" w:ascii="宋体" w:hAnsi="宋体" w:eastAsia="宋体" w:cs="宋体"/>
          <w:bCs/>
          <w:color w:val="auto"/>
          <w:sz w:val="21"/>
          <w:szCs w:val="21"/>
          <w:highlight w:val="none"/>
          <w:lang w:val="en-GB"/>
        </w:rPr>
        <w:t>发展历程、经营规模及服务理念</w:t>
      </w:r>
      <w:r>
        <w:rPr>
          <w:rFonts w:hint="eastAsia" w:ascii="宋体" w:hAnsi="宋体" w:eastAsia="宋体" w:cs="宋体"/>
          <w:color w:val="auto"/>
          <w:sz w:val="21"/>
          <w:szCs w:val="21"/>
          <w:highlight w:val="none"/>
        </w:rPr>
        <w:t>、技术力量、财务状况、管理水平等方面进行阐述</w:t>
      </w:r>
    </w:p>
    <w:p>
      <w:pPr>
        <w:spacing w:line="360" w:lineRule="auto"/>
        <w:ind w:left="36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图片描述：</w:t>
      </w:r>
      <w:r>
        <w:rPr>
          <w:rFonts w:hint="eastAsia" w:ascii="宋体" w:hAnsi="宋体" w:eastAsia="宋体" w:cs="宋体"/>
          <w:bCs/>
          <w:color w:val="auto"/>
          <w:sz w:val="21"/>
          <w:szCs w:val="21"/>
          <w:highlight w:val="none"/>
          <w:lang w:val="en-GB"/>
        </w:rPr>
        <w:t>经营场所、主要或关键产品介绍、生产场所及工艺流程等。</w:t>
      </w:r>
    </w:p>
    <w:p>
      <w:pPr>
        <w:numPr>
          <w:ilvl w:val="0"/>
          <w:numId w:val="157"/>
        </w:num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投标人获得国家有关部门颁发的资质证书和奖项：</w:t>
      </w:r>
    </w:p>
    <w:tbl>
      <w:tblPr>
        <w:tblStyle w:val="21"/>
        <w:tblW w:w="9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2349"/>
        <w:gridCol w:w="2349"/>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2349" w:type="dxa"/>
            <w:tcBorders>
              <w:top w:val="single" w:color="auto" w:sz="12" w:space="0"/>
              <w:left w:val="single" w:color="auto" w:sz="12" w:space="0"/>
            </w:tcBorders>
            <w:vAlign w:val="top"/>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证书名称</w:t>
            </w:r>
          </w:p>
        </w:tc>
        <w:tc>
          <w:tcPr>
            <w:tcW w:w="2349" w:type="dxa"/>
            <w:tcBorders>
              <w:top w:val="single" w:color="auto" w:sz="12" w:space="0"/>
            </w:tcBorders>
            <w:vAlign w:val="top"/>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发证单位</w:t>
            </w:r>
          </w:p>
        </w:tc>
        <w:tc>
          <w:tcPr>
            <w:tcW w:w="2349" w:type="dxa"/>
            <w:tcBorders>
              <w:top w:val="single" w:color="auto" w:sz="12" w:space="0"/>
            </w:tcBorders>
            <w:vAlign w:val="top"/>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证书等级</w:t>
            </w:r>
          </w:p>
        </w:tc>
        <w:tc>
          <w:tcPr>
            <w:tcW w:w="2349" w:type="dxa"/>
            <w:tcBorders>
              <w:top w:val="single" w:color="auto" w:sz="12" w:space="0"/>
              <w:right w:val="single" w:color="auto" w:sz="12" w:space="0"/>
            </w:tcBorders>
            <w:vAlign w:val="top"/>
          </w:tcPr>
          <w:p>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证书有效期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Borders>
              <w:left w:val="single" w:color="auto" w:sz="12" w:space="0"/>
            </w:tcBorders>
            <w:vAlign w:val="top"/>
          </w:tcPr>
          <w:p>
            <w:pPr>
              <w:spacing w:line="360" w:lineRule="auto"/>
              <w:jc w:val="center"/>
              <w:rPr>
                <w:rFonts w:hint="eastAsia" w:ascii="宋体" w:hAnsi="宋体" w:eastAsia="宋体" w:cs="宋体"/>
                <w:color w:val="auto"/>
                <w:sz w:val="21"/>
                <w:szCs w:val="21"/>
                <w:highlight w:val="none"/>
              </w:rPr>
            </w:pPr>
          </w:p>
        </w:tc>
        <w:tc>
          <w:tcPr>
            <w:tcW w:w="2349" w:type="dxa"/>
            <w:vAlign w:val="top"/>
          </w:tcPr>
          <w:p>
            <w:pPr>
              <w:spacing w:line="360" w:lineRule="auto"/>
              <w:jc w:val="center"/>
              <w:rPr>
                <w:rFonts w:hint="eastAsia" w:ascii="宋体" w:hAnsi="宋体" w:eastAsia="宋体" w:cs="宋体"/>
                <w:color w:val="auto"/>
                <w:sz w:val="21"/>
                <w:szCs w:val="21"/>
                <w:highlight w:val="none"/>
              </w:rPr>
            </w:pPr>
          </w:p>
        </w:tc>
        <w:tc>
          <w:tcPr>
            <w:tcW w:w="2349" w:type="dxa"/>
            <w:vAlign w:val="top"/>
          </w:tcPr>
          <w:p>
            <w:pPr>
              <w:spacing w:line="360" w:lineRule="auto"/>
              <w:jc w:val="center"/>
              <w:rPr>
                <w:rFonts w:hint="eastAsia" w:ascii="宋体" w:hAnsi="宋体" w:eastAsia="宋体" w:cs="宋体"/>
                <w:color w:val="auto"/>
                <w:sz w:val="21"/>
                <w:szCs w:val="21"/>
                <w:highlight w:val="none"/>
              </w:rPr>
            </w:pPr>
          </w:p>
        </w:tc>
        <w:tc>
          <w:tcPr>
            <w:tcW w:w="2349" w:type="dxa"/>
            <w:tcBorders>
              <w:right w:val="single" w:color="auto" w:sz="12" w:space="0"/>
            </w:tcBorders>
            <w:vAlign w:val="top"/>
          </w:tcPr>
          <w:p>
            <w:pPr>
              <w:spacing w:line="360" w:lineRule="auto"/>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9" w:type="dxa"/>
            <w:tcBorders>
              <w:left w:val="single" w:color="auto" w:sz="12" w:space="0"/>
              <w:bottom w:val="single" w:color="auto" w:sz="12" w:space="0"/>
            </w:tcBorders>
            <w:vAlign w:val="top"/>
          </w:tcPr>
          <w:p>
            <w:pPr>
              <w:spacing w:line="360" w:lineRule="auto"/>
              <w:jc w:val="center"/>
              <w:rPr>
                <w:rFonts w:hint="eastAsia" w:ascii="宋体" w:hAnsi="宋体" w:eastAsia="宋体" w:cs="宋体"/>
                <w:color w:val="auto"/>
                <w:sz w:val="21"/>
                <w:szCs w:val="21"/>
                <w:highlight w:val="none"/>
              </w:rPr>
            </w:pPr>
          </w:p>
        </w:tc>
        <w:tc>
          <w:tcPr>
            <w:tcW w:w="2349" w:type="dxa"/>
            <w:tcBorders>
              <w:bottom w:val="single" w:color="auto" w:sz="12" w:space="0"/>
            </w:tcBorders>
            <w:vAlign w:val="top"/>
          </w:tcPr>
          <w:p>
            <w:pPr>
              <w:spacing w:line="360" w:lineRule="auto"/>
              <w:jc w:val="center"/>
              <w:rPr>
                <w:rFonts w:hint="eastAsia" w:ascii="宋体" w:hAnsi="宋体" w:eastAsia="宋体" w:cs="宋体"/>
                <w:color w:val="auto"/>
                <w:sz w:val="21"/>
                <w:szCs w:val="21"/>
                <w:highlight w:val="none"/>
              </w:rPr>
            </w:pPr>
          </w:p>
        </w:tc>
        <w:tc>
          <w:tcPr>
            <w:tcW w:w="2349" w:type="dxa"/>
            <w:tcBorders>
              <w:bottom w:val="single" w:color="auto" w:sz="12" w:space="0"/>
            </w:tcBorders>
            <w:vAlign w:val="top"/>
          </w:tcPr>
          <w:p>
            <w:pPr>
              <w:spacing w:line="360" w:lineRule="auto"/>
              <w:jc w:val="center"/>
              <w:rPr>
                <w:rFonts w:hint="eastAsia" w:ascii="宋体" w:hAnsi="宋体" w:eastAsia="宋体" w:cs="宋体"/>
                <w:color w:val="auto"/>
                <w:sz w:val="21"/>
                <w:szCs w:val="21"/>
                <w:highlight w:val="none"/>
              </w:rPr>
            </w:pPr>
          </w:p>
        </w:tc>
        <w:tc>
          <w:tcPr>
            <w:tcW w:w="2349" w:type="dxa"/>
            <w:tcBorders>
              <w:bottom w:val="single" w:color="auto" w:sz="12" w:space="0"/>
              <w:right w:val="single" w:color="auto" w:sz="12" w:space="0"/>
            </w:tcBorders>
            <w:vAlign w:val="top"/>
          </w:tcPr>
          <w:p>
            <w:pPr>
              <w:spacing w:line="360" w:lineRule="auto"/>
              <w:jc w:val="center"/>
              <w:rPr>
                <w:rFonts w:hint="eastAsia" w:ascii="宋体" w:hAnsi="宋体" w:eastAsia="宋体" w:cs="宋体"/>
                <w:color w:val="auto"/>
                <w:sz w:val="21"/>
                <w:szCs w:val="21"/>
                <w:highlight w:val="none"/>
              </w:rPr>
            </w:pPr>
          </w:p>
        </w:tc>
      </w:tr>
    </w:tbl>
    <w:p>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spacing w:line="360" w:lineRule="auto"/>
        <w:ind w:firstLine="315" w:firstLineChars="150"/>
        <w:rPr>
          <w:rFonts w:hint="eastAsia" w:ascii="宋体" w:hAnsi="宋体" w:eastAsia="宋体" w:cs="宋体"/>
          <w:color w:val="auto"/>
          <w:sz w:val="21"/>
          <w:szCs w:val="21"/>
          <w:highlight w:val="none"/>
        </w:rPr>
      </w:pPr>
      <w:bookmarkStart w:id="139" w:name="_Toc43264525"/>
      <w:r>
        <w:rPr>
          <w:rFonts w:hint="eastAsia" w:ascii="宋体" w:hAnsi="宋体" w:eastAsia="宋体" w:cs="宋体"/>
          <w:color w:val="auto"/>
          <w:sz w:val="21"/>
          <w:szCs w:val="21"/>
          <w:highlight w:val="none"/>
        </w:rPr>
        <w:t>我/我们声明以上所述是正确无误的，您有权进行您认为必要的所有调查，</w:t>
      </w:r>
      <w:r>
        <w:rPr>
          <w:rFonts w:hint="eastAsia" w:ascii="宋体" w:hAnsi="宋体" w:eastAsia="宋体" w:cs="宋体"/>
          <w:color w:val="auto"/>
          <w:sz w:val="21"/>
          <w:szCs w:val="21"/>
          <w:highlight w:val="none"/>
          <w:lang w:val="en-GB"/>
        </w:rPr>
        <w:t>如以上数据有虚假，一经查实，自行承担相关责任。</w:t>
      </w:r>
    </w:p>
    <w:p>
      <w:pPr>
        <w:spacing w:line="500" w:lineRule="exact"/>
        <w:rPr>
          <w:rFonts w:hint="eastAsia" w:ascii="宋体" w:hAnsi="宋体" w:eastAsia="宋体" w:cs="宋体"/>
          <w:color w:val="auto"/>
          <w:spacing w:val="4"/>
          <w:sz w:val="21"/>
          <w:szCs w:val="21"/>
          <w:highlight w:val="none"/>
        </w:rPr>
      </w:pPr>
    </w:p>
    <w:p>
      <w:pPr>
        <w:spacing w:line="5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pacing w:val="4"/>
          <w:sz w:val="21"/>
          <w:szCs w:val="21"/>
          <w:highlight w:val="none"/>
        </w:rPr>
        <w:t>投标人名称（盖公章）：</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5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职务：</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spacing w:line="360" w:lineRule="auto"/>
        <w:rPr>
          <w:rFonts w:hint="eastAsia" w:ascii="宋体" w:hAnsi="宋体" w:eastAsia="宋体" w:cs="宋体"/>
          <w:b/>
          <w:bCs/>
          <w:color w:val="auto"/>
          <w:sz w:val="21"/>
          <w:szCs w:val="21"/>
          <w:highlight w:val="none"/>
        </w:rPr>
      </w:pPr>
    </w:p>
    <w:p>
      <w:pPr>
        <w:spacing w:line="360" w:lineRule="auto"/>
        <w:rPr>
          <w:rFonts w:hint="eastAsia" w:ascii="宋体" w:hAnsi="宋体" w:eastAsia="宋体" w:cs="宋体"/>
          <w:b/>
          <w:bCs/>
          <w:color w:val="auto"/>
          <w:sz w:val="21"/>
          <w:szCs w:val="21"/>
          <w:highlight w:val="none"/>
        </w:rPr>
      </w:pPr>
    </w:p>
    <w:p>
      <w:pPr>
        <w:numPr>
          <w:ilvl w:val="0"/>
          <w:numId w:val="143"/>
        </w:numPr>
        <w:spacing w:line="44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br w:type="page"/>
      </w:r>
    </w:p>
    <w:p>
      <w:pPr>
        <w:numPr>
          <w:ilvl w:val="0"/>
          <w:numId w:val="143"/>
        </w:numPr>
        <w:spacing w:line="440" w:lineRule="exact"/>
        <w:rPr>
          <w:rFonts w:hint="eastAsia" w:ascii="宋体" w:hAnsi="宋体" w:eastAsia="宋体" w:cs="宋体"/>
          <w:b w:val="0"/>
          <w:color w:val="auto"/>
          <w:sz w:val="21"/>
          <w:szCs w:val="21"/>
          <w:highlight w:val="none"/>
        </w:rPr>
      </w:pPr>
      <w:bookmarkStart w:id="140" w:name="_Toc50691044"/>
      <w:bookmarkStart w:id="141" w:name="_Toc275865617"/>
      <w:bookmarkStart w:id="142" w:name="_Toc50737333"/>
      <w:bookmarkStart w:id="143" w:name="_Toc52165085"/>
      <w:bookmarkStart w:id="144" w:name="_Toc50737301"/>
      <w:bookmarkStart w:id="145" w:name="_Toc50736481"/>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r>
        <w:rPr>
          <w:rFonts w:hint="eastAsia" w:ascii="Arial" w:hAnsi="Arial" w:eastAsia="黑体" w:cs="Times New Roman"/>
          <w:b w:val="0"/>
          <w:bCs w:val="0"/>
          <w:color w:val="auto"/>
          <w:kern w:val="2"/>
          <w:sz w:val="32"/>
          <w:szCs w:val="32"/>
          <w:highlight w:val="none"/>
          <w:lang w:val="en-US" w:eastAsia="zh-CN" w:bidi="ar-SA"/>
        </w:rPr>
        <w:t>同类项目业绩一览表</w:t>
      </w:r>
      <w:bookmarkEnd w:id="139"/>
      <w:bookmarkEnd w:id="140"/>
      <w:bookmarkEnd w:id="141"/>
      <w:bookmarkEnd w:id="142"/>
      <w:bookmarkEnd w:id="143"/>
      <w:bookmarkEnd w:id="144"/>
      <w:bookmarkEnd w:id="145"/>
    </w:p>
    <w:p>
      <w:pPr>
        <w:spacing w:after="156" w:afterLines="50"/>
        <w:jc w:val="center"/>
        <w:outlineLvl w:val="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投标人名称：                                                     项目编号：GDZC-21GZ198</w:t>
      </w:r>
    </w:p>
    <w:tbl>
      <w:tblPr>
        <w:tblStyle w:val="21"/>
        <w:tblW w:w="973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260"/>
        <w:gridCol w:w="1136"/>
        <w:gridCol w:w="1155"/>
        <w:gridCol w:w="1095"/>
        <w:gridCol w:w="1275"/>
        <w:gridCol w:w="1365"/>
        <w:gridCol w:w="1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0" w:type="dxa"/>
            <w:tcBorders>
              <w:top w:val="single" w:color="auto" w:sz="12" w:space="0"/>
              <w:bottom w:val="double" w:color="auto" w:sz="4" w:space="0"/>
            </w:tcBorders>
            <w:shd w:val="clear" w:color="auto" w:fill="EEECE1"/>
            <w:vAlign w:val="center"/>
          </w:tcPr>
          <w:p>
            <w:pPr>
              <w:adjustRightInd w:val="0"/>
              <w:snapToGrid w:val="0"/>
              <w:ind w:left="-69" w:leftChars="-33" w:right="-97" w:rightChars="-46"/>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0" w:type="dxa"/>
            <w:tcBorders>
              <w:top w:val="single" w:color="auto" w:sz="12" w:space="0"/>
              <w:bottom w:val="double" w:color="auto" w:sz="4" w:space="0"/>
            </w:tcBorders>
            <w:shd w:val="clear" w:color="auto" w:fill="EEECE1"/>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业主名称</w:t>
            </w:r>
          </w:p>
        </w:tc>
        <w:tc>
          <w:tcPr>
            <w:tcW w:w="1136" w:type="dxa"/>
            <w:tcBorders>
              <w:top w:val="single" w:color="auto" w:sz="12" w:space="0"/>
              <w:bottom w:val="double" w:color="auto" w:sz="4" w:space="0"/>
            </w:tcBorders>
            <w:shd w:val="clear" w:color="auto" w:fill="EEECE1"/>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55" w:type="dxa"/>
            <w:tcBorders>
              <w:top w:val="single" w:color="auto" w:sz="12" w:space="0"/>
              <w:bottom w:val="double" w:color="auto" w:sz="4" w:space="0"/>
            </w:tcBorders>
            <w:shd w:val="clear" w:color="auto" w:fill="EEECE1"/>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服务内容</w:t>
            </w:r>
          </w:p>
        </w:tc>
        <w:tc>
          <w:tcPr>
            <w:tcW w:w="1095" w:type="dxa"/>
            <w:tcBorders>
              <w:top w:val="single" w:color="auto" w:sz="12" w:space="0"/>
              <w:bottom w:val="double" w:color="auto" w:sz="4" w:space="0"/>
            </w:tcBorders>
            <w:shd w:val="clear" w:color="auto" w:fill="EEECE1"/>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合同总价</w:t>
            </w:r>
          </w:p>
        </w:tc>
        <w:tc>
          <w:tcPr>
            <w:tcW w:w="1275" w:type="dxa"/>
            <w:tcBorders>
              <w:top w:val="single" w:color="auto" w:sz="12" w:space="0"/>
              <w:bottom w:val="double" w:color="auto" w:sz="4" w:space="0"/>
            </w:tcBorders>
            <w:shd w:val="clear" w:color="auto" w:fill="EEECE1"/>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签约及完成时间</w:t>
            </w:r>
          </w:p>
        </w:tc>
        <w:tc>
          <w:tcPr>
            <w:tcW w:w="1365" w:type="dxa"/>
            <w:tcBorders>
              <w:top w:val="single" w:color="auto" w:sz="12" w:space="0"/>
              <w:bottom w:val="double" w:color="auto" w:sz="4" w:space="0"/>
            </w:tcBorders>
            <w:shd w:val="clear" w:color="auto" w:fill="EEECE1"/>
            <w:vAlign w:val="center"/>
          </w:tcPr>
          <w:p>
            <w:pPr>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单位联系人及电话</w:t>
            </w:r>
          </w:p>
        </w:tc>
        <w:tc>
          <w:tcPr>
            <w:tcW w:w="1879" w:type="dxa"/>
            <w:tcBorders>
              <w:top w:val="single" w:color="auto" w:sz="12" w:space="0"/>
              <w:bottom w:val="double" w:color="auto" w:sz="4" w:space="0"/>
            </w:tcBorders>
            <w:shd w:val="clear" w:color="auto" w:fill="EEECE1"/>
            <w:vAlign w:val="center"/>
          </w:tcPr>
          <w:p>
            <w:pPr>
              <w:adjustRightInd w:val="0"/>
              <w:snapToGrid w:val="0"/>
              <w:ind w:left="-84" w:leftChars="-40" w:right="-107" w:rightChars="-5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tcBorders>
              <w:top w:val="double" w:color="auto" w:sz="4" w:space="0"/>
            </w:tcBorders>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60" w:type="dxa"/>
            <w:tcBorders>
              <w:top w:val="double" w:color="auto" w:sz="4" w:space="0"/>
            </w:tcBorders>
            <w:vAlign w:val="center"/>
          </w:tcPr>
          <w:p>
            <w:pPr>
              <w:spacing w:line="400" w:lineRule="exact"/>
              <w:jc w:val="center"/>
              <w:rPr>
                <w:rFonts w:hint="eastAsia" w:ascii="宋体" w:hAnsi="宋体" w:eastAsia="宋体" w:cs="宋体"/>
                <w:color w:val="auto"/>
                <w:sz w:val="21"/>
                <w:szCs w:val="21"/>
                <w:highlight w:val="none"/>
              </w:rPr>
            </w:pPr>
          </w:p>
        </w:tc>
        <w:tc>
          <w:tcPr>
            <w:tcW w:w="1136" w:type="dxa"/>
            <w:tcBorders>
              <w:top w:val="double" w:color="auto" w:sz="4" w:space="0"/>
            </w:tcBorders>
            <w:vAlign w:val="center"/>
          </w:tcPr>
          <w:p>
            <w:pPr>
              <w:spacing w:line="400" w:lineRule="exact"/>
              <w:jc w:val="center"/>
              <w:rPr>
                <w:rFonts w:hint="eastAsia" w:ascii="宋体" w:hAnsi="宋体" w:eastAsia="宋体" w:cs="宋体"/>
                <w:color w:val="auto"/>
                <w:sz w:val="21"/>
                <w:szCs w:val="21"/>
                <w:highlight w:val="none"/>
              </w:rPr>
            </w:pPr>
          </w:p>
        </w:tc>
        <w:tc>
          <w:tcPr>
            <w:tcW w:w="1155" w:type="dxa"/>
            <w:tcBorders>
              <w:top w:val="double" w:color="auto" w:sz="4" w:space="0"/>
            </w:tcBorders>
            <w:vAlign w:val="center"/>
          </w:tcPr>
          <w:p>
            <w:pPr>
              <w:spacing w:line="400" w:lineRule="exact"/>
              <w:jc w:val="center"/>
              <w:rPr>
                <w:rFonts w:hint="eastAsia" w:ascii="宋体" w:hAnsi="宋体" w:eastAsia="宋体" w:cs="宋体"/>
                <w:color w:val="auto"/>
                <w:sz w:val="21"/>
                <w:szCs w:val="21"/>
                <w:highlight w:val="none"/>
              </w:rPr>
            </w:pPr>
          </w:p>
        </w:tc>
        <w:tc>
          <w:tcPr>
            <w:tcW w:w="1095" w:type="dxa"/>
            <w:tcBorders>
              <w:top w:val="double" w:color="auto" w:sz="4" w:space="0"/>
            </w:tcBorders>
            <w:vAlign w:val="center"/>
          </w:tcPr>
          <w:p>
            <w:pPr>
              <w:spacing w:line="400" w:lineRule="exact"/>
              <w:jc w:val="center"/>
              <w:rPr>
                <w:rFonts w:hint="eastAsia" w:ascii="宋体" w:hAnsi="宋体" w:eastAsia="宋体" w:cs="宋体"/>
                <w:color w:val="auto"/>
                <w:sz w:val="21"/>
                <w:szCs w:val="21"/>
                <w:highlight w:val="none"/>
              </w:rPr>
            </w:pPr>
          </w:p>
        </w:tc>
        <w:tc>
          <w:tcPr>
            <w:tcW w:w="1275" w:type="dxa"/>
            <w:tcBorders>
              <w:top w:val="double" w:color="auto" w:sz="4" w:space="0"/>
            </w:tcBorders>
            <w:vAlign w:val="center"/>
          </w:tcPr>
          <w:p>
            <w:pPr>
              <w:spacing w:line="400" w:lineRule="exact"/>
              <w:jc w:val="center"/>
              <w:rPr>
                <w:rFonts w:hint="eastAsia" w:ascii="宋体" w:hAnsi="宋体" w:eastAsia="宋体" w:cs="宋体"/>
                <w:color w:val="auto"/>
                <w:sz w:val="21"/>
                <w:szCs w:val="21"/>
                <w:highlight w:val="none"/>
              </w:rPr>
            </w:pPr>
          </w:p>
        </w:tc>
        <w:tc>
          <w:tcPr>
            <w:tcW w:w="1365" w:type="dxa"/>
            <w:tcBorders>
              <w:top w:val="double" w:color="auto" w:sz="4" w:space="0"/>
            </w:tcBorders>
            <w:vAlign w:val="center"/>
          </w:tcPr>
          <w:p>
            <w:pPr>
              <w:spacing w:line="400" w:lineRule="exact"/>
              <w:jc w:val="center"/>
              <w:rPr>
                <w:rFonts w:hint="eastAsia" w:ascii="宋体" w:hAnsi="宋体" w:eastAsia="宋体" w:cs="宋体"/>
                <w:color w:val="auto"/>
                <w:sz w:val="21"/>
                <w:szCs w:val="21"/>
                <w:highlight w:val="none"/>
              </w:rPr>
            </w:pPr>
          </w:p>
        </w:tc>
        <w:tc>
          <w:tcPr>
            <w:tcW w:w="1879" w:type="dxa"/>
            <w:tcBorders>
              <w:top w:val="double" w:color="auto" w:sz="4" w:space="0"/>
            </w:tcBorders>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60" w:type="dxa"/>
            <w:vAlign w:val="center"/>
          </w:tcPr>
          <w:p>
            <w:pPr>
              <w:spacing w:line="400" w:lineRule="exact"/>
              <w:jc w:val="center"/>
              <w:rPr>
                <w:rFonts w:hint="eastAsia" w:ascii="宋体" w:hAnsi="宋体" w:eastAsia="宋体" w:cs="宋体"/>
                <w:color w:val="auto"/>
                <w:sz w:val="21"/>
                <w:szCs w:val="21"/>
                <w:highlight w:val="none"/>
              </w:rPr>
            </w:pPr>
          </w:p>
        </w:tc>
        <w:tc>
          <w:tcPr>
            <w:tcW w:w="1136" w:type="dxa"/>
            <w:vAlign w:val="center"/>
          </w:tcPr>
          <w:p>
            <w:pPr>
              <w:spacing w:line="400" w:lineRule="exact"/>
              <w:jc w:val="center"/>
              <w:rPr>
                <w:rFonts w:hint="eastAsia" w:ascii="宋体" w:hAnsi="宋体" w:eastAsia="宋体" w:cs="宋体"/>
                <w:color w:val="auto"/>
                <w:sz w:val="21"/>
                <w:szCs w:val="21"/>
                <w:highlight w:val="none"/>
              </w:rPr>
            </w:pPr>
          </w:p>
        </w:tc>
        <w:tc>
          <w:tcPr>
            <w:tcW w:w="1155" w:type="dxa"/>
            <w:vAlign w:val="center"/>
          </w:tcPr>
          <w:p>
            <w:pPr>
              <w:spacing w:line="400" w:lineRule="exact"/>
              <w:jc w:val="center"/>
              <w:rPr>
                <w:rFonts w:hint="eastAsia" w:ascii="宋体" w:hAnsi="宋体" w:eastAsia="宋体" w:cs="宋体"/>
                <w:color w:val="auto"/>
                <w:sz w:val="21"/>
                <w:szCs w:val="21"/>
                <w:highlight w:val="none"/>
              </w:rPr>
            </w:pPr>
          </w:p>
        </w:tc>
        <w:tc>
          <w:tcPr>
            <w:tcW w:w="1095" w:type="dxa"/>
            <w:vAlign w:val="center"/>
          </w:tcPr>
          <w:p>
            <w:pPr>
              <w:spacing w:line="400" w:lineRule="exact"/>
              <w:jc w:val="center"/>
              <w:rPr>
                <w:rFonts w:hint="eastAsia" w:ascii="宋体" w:hAnsi="宋体" w:eastAsia="宋体" w:cs="宋体"/>
                <w:color w:val="auto"/>
                <w:sz w:val="21"/>
                <w:szCs w:val="21"/>
                <w:highlight w:val="none"/>
              </w:rPr>
            </w:pPr>
          </w:p>
        </w:tc>
        <w:tc>
          <w:tcPr>
            <w:tcW w:w="1275" w:type="dxa"/>
            <w:vAlign w:val="center"/>
          </w:tcPr>
          <w:p>
            <w:pPr>
              <w:spacing w:line="400" w:lineRule="exact"/>
              <w:jc w:val="center"/>
              <w:rPr>
                <w:rFonts w:hint="eastAsia" w:ascii="宋体" w:hAnsi="宋体" w:eastAsia="宋体" w:cs="宋体"/>
                <w:color w:val="auto"/>
                <w:sz w:val="21"/>
                <w:szCs w:val="21"/>
                <w:highlight w:val="none"/>
              </w:rPr>
            </w:pPr>
          </w:p>
        </w:tc>
        <w:tc>
          <w:tcPr>
            <w:tcW w:w="1365" w:type="dxa"/>
            <w:vAlign w:val="center"/>
          </w:tcPr>
          <w:p>
            <w:pPr>
              <w:spacing w:line="400" w:lineRule="exact"/>
              <w:jc w:val="center"/>
              <w:rPr>
                <w:rFonts w:hint="eastAsia" w:ascii="宋体" w:hAnsi="宋体" w:eastAsia="宋体" w:cs="宋体"/>
                <w:color w:val="auto"/>
                <w:sz w:val="21"/>
                <w:szCs w:val="21"/>
                <w:highlight w:val="none"/>
              </w:rPr>
            </w:pPr>
          </w:p>
        </w:tc>
        <w:tc>
          <w:tcPr>
            <w:tcW w:w="1879"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60" w:type="dxa"/>
            <w:vAlign w:val="center"/>
          </w:tcPr>
          <w:p>
            <w:pPr>
              <w:spacing w:line="400" w:lineRule="exact"/>
              <w:jc w:val="center"/>
              <w:rPr>
                <w:rFonts w:hint="eastAsia" w:ascii="宋体" w:hAnsi="宋体" w:eastAsia="宋体" w:cs="宋体"/>
                <w:color w:val="auto"/>
                <w:sz w:val="21"/>
                <w:szCs w:val="21"/>
                <w:highlight w:val="none"/>
              </w:rPr>
            </w:pPr>
          </w:p>
        </w:tc>
        <w:tc>
          <w:tcPr>
            <w:tcW w:w="1136" w:type="dxa"/>
            <w:vAlign w:val="center"/>
          </w:tcPr>
          <w:p>
            <w:pPr>
              <w:spacing w:line="400" w:lineRule="exact"/>
              <w:jc w:val="center"/>
              <w:rPr>
                <w:rFonts w:hint="eastAsia" w:ascii="宋体" w:hAnsi="宋体" w:eastAsia="宋体" w:cs="宋体"/>
                <w:color w:val="auto"/>
                <w:sz w:val="21"/>
                <w:szCs w:val="21"/>
                <w:highlight w:val="none"/>
              </w:rPr>
            </w:pPr>
          </w:p>
        </w:tc>
        <w:tc>
          <w:tcPr>
            <w:tcW w:w="1155" w:type="dxa"/>
            <w:vAlign w:val="center"/>
          </w:tcPr>
          <w:p>
            <w:pPr>
              <w:spacing w:line="400" w:lineRule="exact"/>
              <w:jc w:val="center"/>
              <w:rPr>
                <w:rFonts w:hint="eastAsia" w:ascii="宋体" w:hAnsi="宋体" w:eastAsia="宋体" w:cs="宋体"/>
                <w:color w:val="auto"/>
                <w:sz w:val="21"/>
                <w:szCs w:val="21"/>
                <w:highlight w:val="none"/>
              </w:rPr>
            </w:pPr>
          </w:p>
        </w:tc>
        <w:tc>
          <w:tcPr>
            <w:tcW w:w="1095" w:type="dxa"/>
            <w:vAlign w:val="center"/>
          </w:tcPr>
          <w:p>
            <w:pPr>
              <w:spacing w:line="400" w:lineRule="exact"/>
              <w:jc w:val="center"/>
              <w:rPr>
                <w:rFonts w:hint="eastAsia" w:ascii="宋体" w:hAnsi="宋体" w:eastAsia="宋体" w:cs="宋体"/>
                <w:color w:val="auto"/>
                <w:sz w:val="21"/>
                <w:szCs w:val="21"/>
                <w:highlight w:val="none"/>
              </w:rPr>
            </w:pPr>
          </w:p>
        </w:tc>
        <w:tc>
          <w:tcPr>
            <w:tcW w:w="1275" w:type="dxa"/>
            <w:vAlign w:val="center"/>
          </w:tcPr>
          <w:p>
            <w:pPr>
              <w:spacing w:line="400" w:lineRule="exact"/>
              <w:jc w:val="center"/>
              <w:rPr>
                <w:rFonts w:hint="eastAsia" w:ascii="宋体" w:hAnsi="宋体" w:eastAsia="宋体" w:cs="宋体"/>
                <w:color w:val="auto"/>
                <w:sz w:val="21"/>
                <w:szCs w:val="21"/>
                <w:highlight w:val="none"/>
              </w:rPr>
            </w:pPr>
          </w:p>
        </w:tc>
        <w:tc>
          <w:tcPr>
            <w:tcW w:w="1365" w:type="dxa"/>
            <w:vAlign w:val="center"/>
          </w:tcPr>
          <w:p>
            <w:pPr>
              <w:spacing w:line="400" w:lineRule="exact"/>
              <w:jc w:val="center"/>
              <w:rPr>
                <w:rFonts w:hint="eastAsia" w:ascii="宋体" w:hAnsi="宋体" w:eastAsia="宋体" w:cs="宋体"/>
                <w:color w:val="auto"/>
                <w:sz w:val="21"/>
                <w:szCs w:val="21"/>
                <w:highlight w:val="none"/>
              </w:rPr>
            </w:pPr>
          </w:p>
        </w:tc>
        <w:tc>
          <w:tcPr>
            <w:tcW w:w="1879"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260" w:type="dxa"/>
            <w:vAlign w:val="center"/>
          </w:tcPr>
          <w:p>
            <w:pPr>
              <w:spacing w:line="400" w:lineRule="exact"/>
              <w:jc w:val="center"/>
              <w:rPr>
                <w:rFonts w:hint="eastAsia" w:ascii="宋体" w:hAnsi="宋体" w:eastAsia="宋体" w:cs="宋体"/>
                <w:color w:val="auto"/>
                <w:sz w:val="21"/>
                <w:szCs w:val="21"/>
                <w:highlight w:val="none"/>
              </w:rPr>
            </w:pPr>
          </w:p>
        </w:tc>
        <w:tc>
          <w:tcPr>
            <w:tcW w:w="1136" w:type="dxa"/>
            <w:vAlign w:val="center"/>
          </w:tcPr>
          <w:p>
            <w:pPr>
              <w:spacing w:line="400" w:lineRule="exact"/>
              <w:jc w:val="center"/>
              <w:rPr>
                <w:rFonts w:hint="eastAsia" w:ascii="宋体" w:hAnsi="宋体" w:eastAsia="宋体" w:cs="宋体"/>
                <w:color w:val="auto"/>
                <w:sz w:val="21"/>
                <w:szCs w:val="21"/>
                <w:highlight w:val="none"/>
              </w:rPr>
            </w:pPr>
          </w:p>
        </w:tc>
        <w:tc>
          <w:tcPr>
            <w:tcW w:w="1155" w:type="dxa"/>
            <w:vAlign w:val="center"/>
          </w:tcPr>
          <w:p>
            <w:pPr>
              <w:spacing w:line="400" w:lineRule="exact"/>
              <w:jc w:val="center"/>
              <w:rPr>
                <w:rFonts w:hint="eastAsia" w:ascii="宋体" w:hAnsi="宋体" w:eastAsia="宋体" w:cs="宋体"/>
                <w:color w:val="auto"/>
                <w:sz w:val="21"/>
                <w:szCs w:val="21"/>
                <w:highlight w:val="none"/>
              </w:rPr>
            </w:pPr>
          </w:p>
        </w:tc>
        <w:tc>
          <w:tcPr>
            <w:tcW w:w="1095" w:type="dxa"/>
            <w:vAlign w:val="center"/>
          </w:tcPr>
          <w:p>
            <w:pPr>
              <w:spacing w:line="400" w:lineRule="exact"/>
              <w:jc w:val="center"/>
              <w:rPr>
                <w:rFonts w:hint="eastAsia" w:ascii="宋体" w:hAnsi="宋体" w:eastAsia="宋体" w:cs="宋体"/>
                <w:color w:val="auto"/>
                <w:sz w:val="21"/>
                <w:szCs w:val="21"/>
                <w:highlight w:val="none"/>
              </w:rPr>
            </w:pPr>
          </w:p>
        </w:tc>
        <w:tc>
          <w:tcPr>
            <w:tcW w:w="1275" w:type="dxa"/>
            <w:vAlign w:val="center"/>
          </w:tcPr>
          <w:p>
            <w:pPr>
              <w:spacing w:line="400" w:lineRule="exact"/>
              <w:jc w:val="center"/>
              <w:rPr>
                <w:rFonts w:hint="eastAsia" w:ascii="宋体" w:hAnsi="宋体" w:eastAsia="宋体" w:cs="宋体"/>
                <w:color w:val="auto"/>
                <w:sz w:val="21"/>
                <w:szCs w:val="21"/>
                <w:highlight w:val="none"/>
              </w:rPr>
            </w:pPr>
          </w:p>
        </w:tc>
        <w:tc>
          <w:tcPr>
            <w:tcW w:w="1365" w:type="dxa"/>
            <w:vAlign w:val="center"/>
          </w:tcPr>
          <w:p>
            <w:pPr>
              <w:spacing w:line="400" w:lineRule="exact"/>
              <w:jc w:val="center"/>
              <w:rPr>
                <w:rFonts w:hint="eastAsia" w:ascii="宋体" w:hAnsi="宋体" w:eastAsia="宋体" w:cs="宋体"/>
                <w:color w:val="auto"/>
                <w:sz w:val="21"/>
                <w:szCs w:val="21"/>
                <w:highlight w:val="none"/>
              </w:rPr>
            </w:pPr>
          </w:p>
        </w:tc>
        <w:tc>
          <w:tcPr>
            <w:tcW w:w="1879"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260" w:type="dxa"/>
            <w:vAlign w:val="center"/>
          </w:tcPr>
          <w:p>
            <w:pPr>
              <w:spacing w:line="400" w:lineRule="exact"/>
              <w:jc w:val="center"/>
              <w:rPr>
                <w:rFonts w:hint="eastAsia" w:ascii="宋体" w:hAnsi="宋体" w:eastAsia="宋体" w:cs="宋体"/>
                <w:color w:val="auto"/>
                <w:sz w:val="21"/>
                <w:szCs w:val="21"/>
                <w:highlight w:val="none"/>
              </w:rPr>
            </w:pPr>
          </w:p>
        </w:tc>
        <w:tc>
          <w:tcPr>
            <w:tcW w:w="1136" w:type="dxa"/>
            <w:vAlign w:val="center"/>
          </w:tcPr>
          <w:p>
            <w:pPr>
              <w:spacing w:line="400" w:lineRule="exact"/>
              <w:jc w:val="center"/>
              <w:rPr>
                <w:rFonts w:hint="eastAsia" w:ascii="宋体" w:hAnsi="宋体" w:eastAsia="宋体" w:cs="宋体"/>
                <w:color w:val="auto"/>
                <w:sz w:val="21"/>
                <w:szCs w:val="21"/>
                <w:highlight w:val="none"/>
              </w:rPr>
            </w:pPr>
          </w:p>
        </w:tc>
        <w:tc>
          <w:tcPr>
            <w:tcW w:w="1155" w:type="dxa"/>
            <w:vAlign w:val="center"/>
          </w:tcPr>
          <w:p>
            <w:pPr>
              <w:spacing w:line="400" w:lineRule="exact"/>
              <w:jc w:val="center"/>
              <w:rPr>
                <w:rFonts w:hint="eastAsia" w:ascii="宋体" w:hAnsi="宋体" w:eastAsia="宋体" w:cs="宋体"/>
                <w:color w:val="auto"/>
                <w:sz w:val="21"/>
                <w:szCs w:val="21"/>
                <w:highlight w:val="none"/>
              </w:rPr>
            </w:pPr>
          </w:p>
        </w:tc>
        <w:tc>
          <w:tcPr>
            <w:tcW w:w="1095" w:type="dxa"/>
            <w:vAlign w:val="center"/>
          </w:tcPr>
          <w:p>
            <w:pPr>
              <w:spacing w:line="400" w:lineRule="exact"/>
              <w:jc w:val="center"/>
              <w:rPr>
                <w:rFonts w:hint="eastAsia" w:ascii="宋体" w:hAnsi="宋体" w:eastAsia="宋体" w:cs="宋体"/>
                <w:color w:val="auto"/>
                <w:sz w:val="21"/>
                <w:szCs w:val="21"/>
                <w:highlight w:val="none"/>
              </w:rPr>
            </w:pPr>
          </w:p>
        </w:tc>
        <w:tc>
          <w:tcPr>
            <w:tcW w:w="1275" w:type="dxa"/>
            <w:vAlign w:val="center"/>
          </w:tcPr>
          <w:p>
            <w:pPr>
              <w:spacing w:line="400" w:lineRule="exact"/>
              <w:jc w:val="center"/>
              <w:rPr>
                <w:rFonts w:hint="eastAsia" w:ascii="宋体" w:hAnsi="宋体" w:eastAsia="宋体" w:cs="宋体"/>
                <w:color w:val="auto"/>
                <w:sz w:val="21"/>
                <w:szCs w:val="21"/>
                <w:highlight w:val="none"/>
              </w:rPr>
            </w:pPr>
          </w:p>
        </w:tc>
        <w:tc>
          <w:tcPr>
            <w:tcW w:w="1365" w:type="dxa"/>
            <w:vAlign w:val="center"/>
          </w:tcPr>
          <w:p>
            <w:pPr>
              <w:spacing w:line="400" w:lineRule="exact"/>
              <w:jc w:val="center"/>
              <w:rPr>
                <w:rFonts w:hint="eastAsia" w:ascii="宋体" w:hAnsi="宋体" w:eastAsia="宋体" w:cs="宋体"/>
                <w:color w:val="auto"/>
                <w:sz w:val="21"/>
                <w:szCs w:val="21"/>
                <w:highlight w:val="none"/>
              </w:rPr>
            </w:pPr>
          </w:p>
        </w:tc>
        <w:tc>
          <w:tcPr>
            <w:tcW w:w="1879"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260" w:type="dxa"/>
            <w:vAlign w:val="center"/>
          </w:tcPr>
          <w:p>
            <w:pPr>
              <w:spacing w:line="400" w:lineRule="exact"/>
              <w:jc w:val="center"/>
              <w:rPr>
                <w:rFonts w:hint="eastAsia" w:ascii="宋体" w:hAnsi="宋体" w:eastAsia="宋体" w:cs="宋体"/>
                <w:color w:val="auto"/>
                <w:sz w:val="21"/>
                <w:szCs w:val="21"/>
                <w:highlight w:val="none"/>
              </w:rPr>
            </w:pPr>
          </w:p>
        </w:tc>
        <w:tc>
          <w:tcPr>
            <w:tcW w:w="1136" w:type="dxa"/>
            <w:vAlign w:val="center"/>
          </w:tcPr>
          <w:p>
            <w:pPr>
              <w:spacing w:line="400" w:lineRule="exact"/>
              <w:jc w:val="center"/>
              <w:rPr>
                <w:rFonts w:hint="eastAsia" w:ascii="宋体" w:hAnsi="宋体" w:eastAsia="宋体" w:cs="宋体"/>
                <w:color w:val="auto"/>
                <w:sz w:val="21"/>
                <w:szCs w:val="21"/>
                <w:highlight w:val="none"/>
              </w:rPr>
            </w:pPr>
          </w:p>
        </w:tc>
        <w:tc>
          <w:tcPr>
            <w:tcW w:w="1155" w:type="dxa"/>
            <w:vAlign w:val="center"/>
          </w:tcPr>
          <w:p>
            <w:pPr>
              <w:spacing w:line="400" w:lineRule="exact"/>
              <w:jc w:val="center"/>
              <w:rPr>
                <w:rFonts w:hint="eastAsia" w:ascii="宋体" w:hAnsi="宋体" w:eastAsia="宋体" w:cs="宋体"/>
                <w:color w:val="auto"/>
                <w:sz w:val="21"/>
                <w:szCs w:val="21"/>
                <w:highlight w:val="none"/>
              </w:rPr>
            </w:pPr>
          </w:p>
        </w:tc>
        <w:tc>
          <w:tcPr>
            <w:tcW w:w="1095" w:type="dxa"/>
            <w:vAlign w:val="center"/>
          </w:tcPr>
          <w:p>
            <w:pPr>
              <w:spacing w:line="400" w:lineRule="exact"/>
              <w:jc w:val="center"/>
              <w:rPr>
                <w:rFonts w:hint="eastAsia" w:ascii="宋体" w:hAnsi="宋体" w:eastAsia="宋体" w:cs="宋体"/>
                <w:color w:val="auto"/>
                <w:sz w:val="21"/>
                <w:szCs w:val="21"/>
                <w:highlight w:val="none"/>
              </w:rPr>
            </w:pPr>
          </w:p>
        </w:tc>
        <w:tc>
          <w:tcPr>
            <w:tcW w:w="1275" w:type="dxa"/>
            <w:vAlign w:val="center"/>
          </w:tcPr>
          <w:p>
            <w:pPr>
              <w:spacing w:line="400" w:lineRule="exact"/>
              <w:jc w:val="center"/>
              <w:rPr>
                <w:rFonts w:hint="eastAsia" w:ascii="宋体" w:hAnsi="宋体" w:eastAsia="宋体" w:cs="宋体"/>
                <w:color w:val="auto"/>
                <w:sz w:val="21"/>
                <w:szCs w:val="21"/>
                <w:highlight w:val="none"/>
              </w:rPr>
            </w:pPr>
          </w:p>
        </w:tc>
        <w:tc>
          <w:tcPr>
            <w:tcW w:w="1365" w:type="dxa"/>
            <w:vAlign w:val="center"/>
          </w:tcPr>
          <w:p>
            <w:pPr>
              <w:spacing w:line="400" w:lineRule="exact"/>
              <w:jc w:val="center"/>
              <w:rPr>
                <w:rFonts w:hint="eastAsia" w:ascii="宋体" w:hAnsi="宋体" w:eastAsia="宋体" w:cs="宋体"/>
                <w:color w:val="auto"/>
                <w:sz w:val="21"/>
                <w:szCs w:val="21"/>
                <w:highlight w:val="none"/>
              </w:rPr>
            </w:pPr>
          </w:p>
        </w:tc>
        <w:tc>
          <w:tcPr>
            <w:tcW w:w="1879"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260" w:type="dxa"/>
            <w:vAlign w:val="center"/>
          </w:tcPr>
          <w:p>
            <w:pPr>
              <w:spacing w:line="400" w:lineRule="exact"/>
              <w:jc w:val="center"/>
              <w:rPr>
                <w:rFonts w:hint="eastAsia" w:ascii="宋体" w:hAnsi="宋体" w:eastAsia="宋体" w:cs="宋体"/>
                <w:color w:val="auto"/>
                <w:sz w:val="21"/>
                <w:szCs w:val="21"/>
                <w:highlight w:val="none"/>
              </w:rPr>
            </w:pPr>
          </w:p>
        </w:tc>
        <w:tc>
          <w:tcPr>
            <w:tcW w:w="1136" w:type="dxa"/>
            <w:vAlign w:val="center"/>
          </w:tcPr>
          <w:p>
            <w:pPr>
              <w:spacing w:line="400" w:lineRule="exact"/>
              <w:jc w:val="center"/>
              <w:rPr>
                <w:rFonts w:hint="eastAsia" w:ascii="宋体" w:hAnsi="宋体" w:eastAsia="宋体" w:cs="宋体"/>
                <w:color w:val="auto"/>
                <w:sz w:val="21"/>
                <w:szCs w:val="21"/>
                <w:highlight w:val="none"/>
              </w:rPr>
            </w:pPr>
          </w:p>
        </w:tc>
        <w:tc>
          <w:tcPr>
            <w:tcW w:w="1155" w:type="dxa"/>
            <w:vAlign w:val="center"/>
          </w:tcPr>
          <w:p>
            <w:pPr>
              <w:spacing w:line="400" w:lineRule="exact"/>
              <w:jc w:val="center"/>
              <w:rPr>
                <w:rFonts w:hint="eastAsia" w:ascii="宋体" w:hAnsi="宋体" w:eastAsia="宋体" w:cs="宋体"/>
                <w:color w:val="auto"/>
                <w:sz w:val="21"/>
                <w:szCs w:val="21"/>
                <w:highlight w:val="none"/>
              </w:rPr>
            </w:pPr>
          </w:p>
        </w:tc>
        <w:tc>
          <w:tcPr>
            <w:tcW w:w="1095" w:type="dxa"/>
            <w:vAlign w:val="center"/>
          </w:tcPr>
          <w:p>
            <w:pPr>
              <w:spacing w:line="400" w:lineRule="exact"/>
              <w:jc w:val="center"/>
              <w:rPr>
                <w:rFonts w:hint="eastAsia" w:ascii="宋体" w:hAnsi="宋体" w:eastAsia="宋体" w:cs="宋体"/>
                <w:color w:val="auto"/>
                <w:sz w:val="21"/>
                <w:szCs w:val="21"/>
                <w:highlight w:val="none"/>
              </w:rPr>
            </w:pPr>
          </w:p>
        </w:tc>
        <w:tc>
          <w:tcPr>
            <w:tcW w:w="1275" w:type="dxa"/>
            <w:vAlign w:val="center"/>
          </w:tcPr>
          <w:p>
            <w:pPr>
              <w:spacing w:line="400" w:lineRule="exact"/>
              <w:jc w:val="center"/>
              <w:rPr>
                <w:rFonts w:hint="eastAsia" w:ascii="宋体" w:hAnsi="宋体" w:eastAsia="宋体" w:cs="宋体"/>
                <w:color w:val="auto"/>
                <w:sz w:val="21"/>
                <w:szCs w:val="21"/>
                <w:highlight w:val="none"/>
              </w:rPr>
            </w:pPr>
          </w:p>
        </w:tc>
        <w:tc>
          <w:tcPr>
            <w:tcW w:w="1365" w:type="dxa"/>
            <w:vAlign w:val="center"/>
          </w:tcPr>
          <w:p>
            <w:pPr>
              <w:spacing w:line="400" w:lineRule="exact"/>
              <w:jc w:val="center"/>
              <w:rPr>
                <w:rFonts w:hint="eastAsia" w:ascii="宋体" w:hAnsi="宋体" w:eastAsia="宋体" w:cs="宋体"/>
                <w:color w:val="auto"/>
                <w:sz w:val="21"/>
                <w:szCs w:val="21"/>
                <w:highlight w:val="none"/>
              </w:rPr>
            </w:pPr>
          </w:p>
        </w:tc>
        <w:tc>
          <w:tcPr>
            <w:tcW w:w="1879"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260" w:type="dxa"/>
            <w:vAlign w:val="center"/>
          </w:tcPr>
          <w:p>
            <w:pPr>
              <w:spacing w:line="400" w:lineRule="exact"/>
              <w:jc w:val="center"/>
              <w:rPr>
                <w:rFonts w:hint="eastAsia" w:ascii="宋体" w:hAnsi="宋体" w:eastAsia="宋体" w:cs="宋体"/>
                <w:color w:val="auto"/>
                <w:sz w:val="21"/>
                <w:szCs w:val="21"/>
                <w:highlight w:val="none"/>
              </w:rPr>
            </w:pPr>
          </w:p>
        </w:tc>
        <w:tc>
          <w:tcPr>
            <w:tcW w:w="1136" w:type="dxa"/>
            <w:vAlign w:val="center"/>
          </w:tcPr>
          <w:p>
            <w:pPr>
              <w:spacing w:line="400" w:lineRule="exact"/>
              <w:jc w:val="center"/>
              <w:rPr>
                <w:rFonts w:hint="eastAsia" w:ascii="宋体" w:hAnsi="宋体" w:eastAsia="宋体" w:cs="宋体"/>
                <w:color w:val="auto"/>
                <w:sz w:val="21"/>
                <w:szCs w:val="21"/>
                <w:highlight w:val="none"/>
              </w:rPr>
            </w:pPr>
          </w:p>
        </w:tc>
        <w:tc>
          <w:tcPr>
            <w:tcW w:w="1155" w:type="dxa"/>
            <w:vAlign w:val="center"/>
          </w:tcPr>
          <w:p>
            <w:pPr>
              <w:spacing w:line="400" w:lineRule="exact"/>
              <w:jc w:val="center"/>
              <w:rPr>
                <w:rFonts w:hint="eastAsia" w:ascii="宋体" w:hAnsi="宋体" w:eastAsia="宋体" w:cs="宋体"/>
                <w:color w:val="auto"/>
                <w:sz w:val="21"/>
                <w:szCs w:val="21"/>
                <w:highlight w:val="none"/>
              </w:rPr>
            </w:pPr>
          </w:p>
        </w:tc>
        <w:tc>
          <w:tcPr>
            <w:tcW w:w="1095" w:type="dxa"/>
            <w:vAlign w:val="center"/>
          </w:tcPr>
          <w:p>
            <w:pPr>
              <w:spacing w:line="400" w:lineRule="exact"/>
              <w:jc w:val="center"/>
              <w:rPr>
                <w:rFonts w:hint="eastAsia" w:ascii="宋体" w:hAnsi="宋体" w:eastAsia="宋体" w:cs="宋体"/>
                <w:color w:val="auto"/>
                <w:sz w:val="21"/>
                <w:szCs w:val="21"/>
                <w:highlight w:val="none"/>
              </w:rPr>
            </w:pPr>
          </w:p>
        </w:tc>
        <w:tc>
          <w:tcPr>
            <w:tcW w:w="1275" w:type="dxa"/>
            <w:vAlign w:val="center"/>
          </w:tcPr>
          <w:p>
            <w:pPr>
              <w:spacing w:line="400" w:lineRule="exact"/>
              <w:jc w:val="center"/>
              <w:rPr>
                <w:rFonts w:hint="eastAsia" w:ascii="宋体" w:hAnsi="宋体" w:eastAsia="宋体" w:cs="宋体"/>
                <w:color w:val="auto"/>
                <w:sz w:val="21"/>
                <w:szCs w:val="21"/>
                <w:highlight w:val="none"/>
              </w:rPr>
            </w:pPr>
          </w:p>
        </w:tc>
        <w:tc>
          <w:tcPr>
            <w:tcW w:w="1365" w:type="dxa"/>
            <w:vAlign w:val="center"/>
          </w:tcPr>
          <w:p>
            <w:pPr>
              <w:spacing w:line="400" w:lineRule="exact"/>
              <w:jc w:val="center"/>
              <w:rPr>
                <w:rFonts w:hint="eastAsia" w:ascii="宋体" w:hAnsi="宋体" w:eastAsia="宋体" w:cs="宋体"/>
                <w:color w:val="auto"/>
                <w:sz w:val="21"/>
                <w:szCs w:val="21"/>
                <w:highlight w:val="none"/>
              </w:rPr>
            </w:pPr>
          </w:p>
        </w:tc>
        <w:tc>
          <w:tcPr>
            <w:tcW w:w="1879" w:type="dxa"/>
            <w:vAlign w:val="center"/>
          </w:tcPr>
          <w:p>
            <w:pPr>
              <w:adjustRightInd w:val="0"/>
              <w:snapToGrid w:val="0"/>
              <w:ind w:left="-84" w:leftChars="-40" w:right="-107" w:righ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bl>
    <w:p>
      <w:pPr>
        <w:adjustRightInd w:val="0"/>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备注：</w:t>
      </w:r>
    </w:p>
    <w:p>
      <w:pPr>
        <w:numPr>
          <w:ilvl w:val="0"/>
          <w:numId w:val="158"/>
        </w:numPr>
        <w:adjustRightInd w:val="0"/>
        <w:snapToGrid w:val="0"/>
        <w:spacing w:line="360" w:lineRule="auto"/>
        <w:ind w:left="425" w:leftChars="0" w:hanging="425" w:firstLineChars="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根据评分表的要求提交相应资料</w:t>
      </w:r>
      <w:r>
        <w:rPr>
          <w:rFonts w:hint="eastAsia" w:ascii="宋体" w:hAnsi="宋体" w:eastAsia="宋体" w:cs="宋体"/>
          <w:bCs/>
          <w:color w:val="auto"/>
          <w:sz w:val="21"/>
          <w:szCs w:val="21"/>
          <w:highlight w:val="none"/>
        </w:rPr>
        <w:t>。</w:t>
      </w:r>
    </w:p>
    <w:p>
      <w:pPr>
        <w:numPr>
          <w:ilvl w:val="0"/>
          <w:numId w:val="158"/>
        </w:numPr>
        <w:adjustRightInd w:val="0"/>
        <w:snapToGrid w:val="0"/>
        <w:spacing w:line="360" w:lineRule="auto"/>
        <w:ind w:left="425" w:leftChars="0" w:hanging="425" w:firstLineChars="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如本表格式内容不能满足需要，投标人可根据本表格式自行扩展填写，但必须体现以上内容</w:t>
      </w:r>
      <w:r>
        <w:rPr>
          <w:rFonts w:hint="eastAsia" w:ascii="宋体" w:hAnsi="宋体" w:eastAsia="宋体" w:cs="宋体"/>
          <w:bCs/>
          <w:color w:val="auto"/>
          <w:sz w:val="21"/>
          <w:szCs w:val="21"/>
          <w:highlight w:val="none"/>
          <w:lang w:eastAsia="zh-CN"/>
        </w:rPr>
        <w:t>。</w:t>
      </w:r>
    </w:p>
    <w:p>
      <w:pPr>
        <w:spacing w:line="500" w:lineRule="exact"/>
        <w:rPr>
          <w:rFonts w:hint="eastAsia" w:ascii="宋体" w:hAnsi="宋体" w:eastAsia="宋体" w:cs="宋体"/>
          <w:color w:val="auto"/>
          <w:sz w:val="21"/>
          <w:szCs w:val="21"/>
          <w:highlight w:val="none"/>
        </w:rPr>
      </w:pPr>
    </w:p>
    <w:p>
      <w:pPr>
        <w:spacing w:line="500" w:lineRule="exact"/>
        <w:rPr>
          <w:rFonts w:hint="eastAsia" w:ascii="宋体" w:hAnsi="宋体" w:eastAsia="宋体" w:cs="宋体"/>
          <w:color w:val="auto"/>
          <w:sz w:val="21"/>
          <w:szCs w:val="21"/>
          <w:highlight w:val="none"/>
        </w:rPr>
      </w:pPr>
    </w:p>
    <w:p>
      <w:pPr>
        <w:spacing w:line="5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pacing w:val="4"/>
          <w:sz w:val="21"/>
          <w:szCs w:val="21"/>
          <w:highlight w:val="none"/>
        </w:rPr>
        <w:t>投标人名称（加盖公章）：</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5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spacing w:line="500" w:lineRule="exact"/>
        <w:rPr>
          <w:rFonts w:hint="eastAsia" w:ascii="宋体" w:hAnsi="宋体" w:eastAsia="宋体" w:cs="宋体"/>
          <w:color w:val="auto"/>
          <w:sz w:val="21"/>
          <w:szCs w:val="21"/>
          <w:highlight w:val="none"/>
        </w:rPr>
      </w:pPr>
    </w:p>
    <w:p>
      <w:pPr>
        <w:numPr>
          <w:ilvl w:val="0"/>
          <w:numId w:val="143"/>
        </w:numPr>
        <w:spacing w:line="44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br w:type="page"/>
      </w:r>
      <w:bookmarkEnd w:id="128"/>
      <w:bookmarkEnd w:id="129"/>
      <w:r>
        <w:rPr>
          <w:rFonts w:hint="eastAsia" w:ascii="宋体" w:hAnsi="宋体" w:eastAsia="宋体" w:cs="宋体"/>
          <w:bCs/>
          <w:color w:val="auto"/>
          <w:sz w:val="21"/>
          <w:szCs w:val="21"/>
          <w:highlight w:val="none"/>
        </w:rPr>
        <w:t xml:space="preserve"> </w:t>
      </w:r>
      <w:bookmarkStart w:id="146" w:name="_Toc259022219"/>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r>
        <w:rPr>
          <w:rFonts w:hint="eastAsia" w:ascii="Arial" w:hAnsi="Arial" w:eastAsia="黑体" w:cs="Times New Roman"/>
          <w:b w:val="0"/>
          <w:bCs w:val="0"/>
          <w:color w:val="auto"/>
          <w:kern w:val="2"/>
          <w:sz w:val="32"/>
          <w:szCs w:val="32"/>
          <w:highlight w:val="none"/>
          <w:lang w:val="en-US" w:eastAsia="zh-CN" w:bidi="ar-SA"/>
        </w:rPr>
        <w:t>企业信用信息管理</w:t>
      </w:r>
    </w:p>
    <w:p>
      <w:pPr>
        <w:rPr>
          <w:rFonts w:hint="eastAsia" w:ascii="宋体" w:hAnsi="宋体" w:eastAsia="宋体" w:cs="宋体"/>
          <w:color w:val="auto"/>
          <w:sz w:val="21"/>
          <w:szCs w:val="21"/>
          <w:highlight w:val="none"/>
          <w:lang w:val="en-US" w:eastAsia="zh-CN"/>
        </w:rPr>
      </w:pPr>
    </w:p>
    <w:p>
      <w:pPr>
        <w:rPr>
          <w:rFonts w:hint="eastAsia" w:ascii="宋体" w:hAnsi="宋体" w:eastAsia="宋体" w:cs="宋体"/>
          <w:color w:val="auto"/>
          <w:sz w:val="21"/>
          <w:szCs w:val="21"/>
          <w:highlight w:val="none"/>
          <w:lang w:val="en-US" w:eastAsia="zh-CN"/>
        </w:rPr>
      </w:pPr>
    </w:p>
    <w:p>
      <w:pPr>
        <w:rPr>
          <w:rFonts w:hint="eastAsia"/>
          <w:color w:val="auto"/>
          <w:highlight w:val="none"/>
          <w:lang w:val="en-US"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提</w:t>
      </w:r>
      <w:r>
        <w:rPr>
          <w:rFonts w:hint="eastAsia" w:asciiTheme="minorEastAsia" w:hAnsiTheme="minorEastAsia" w:eastAsiaTheme="minorEastAsia" w:cstheme="minorEastAsia"/>
          <w:b w:val="0"/>
          <w:bCs w:val="0"/>
          <w:color w:val="auto"/>
          <w:kern w:val="0"/>
          <w:sz w:val="21"/>
          <w:szCs w:val="21"/>
          <w:highlight w:val="none"/>
        </w:rPr>
        <w:t>供</w:t>
      </w:r>
      <w:r>
        <w:rPr>
          <w:rFonts w:hint="eastAsia" w:asciiTheme="minorEastAsia" w:hAnsiTheme="minorEastAsia" w:eastAsiaTheme="minorEastAsia" w:cstheme="minorEastAsia"/>
          <w:b w:val="0"/>
          <w:bCs w:val="0"/>
          <w:color w:val="auto"/>
          <w:kern w:val="0"/>
          <w:sz w:val="21"/>
          <w:szCs w:val="21"/>
          <w:highlight w:val="none"/>
          <w:lang w:val="en-US" w:eastAsia="zh-CN"/>
        </w:rPr>
        <w:t>官方</w:t>
      </w:r>
      <w:r>
        <w:rPr>
          <w:rFonts w:hint="eastAsia" w:asciiTheme="minorEastAsia" w:hAnsiTheme="minorEastAsia" w:eastAsiaTheme="minorEastAsia" w:cstheme="minorEastAsia"/>
          <w:b w:val="0"/>
          <w:bCs w:val="0"/>
          <w:color w:val="auto"/>
          <w:kern w:val="0"/>
          <w:sz w:val="21"/>
          <w:szCs w:val="21"/>
          <w:highlight w:val="none"/>
        </w:rPr>
        <w:t>网页</w:t>
      </w:r>
      <w:r>
        <w:rPr>
          <w:rFonts w:hint="eastAsia" w:asciiTheme="minorEastAsia" w:hAnsiTheme="minorEastAsia" w:eastAsiaTheme="minorEastAsia" w:cstheme="minorEastAsia"/>
          <w:b w:val="0"/>
          <w:bCs w:val="0"/>
          <w:color w:val="auto"/>
          <w:kern w:val="0"/>
          <w:sz w:val="21"/>
          <w:szCs w:val="21"/>
          <w:highlight w:val="none"/>
          <w:lang w:eastAsia="zh-CN"/>
        </w:rPr>
        <w:t>（https://fwjy.fszj.foshan.gov.cn/foshan/home/#/）</w:t>
      </w:r>
      <w:r>
        <w:rPr>
          <w:rFonts w:hint="eastAsia" w:asciiTheme="minorEastAsia" w:hAnsiTheme="minorEastAsia" w:eastAsiaTheme="minorEastAsia" w:cstheme="minorEastAsia"/>
          <w:b w:val="0"/>
          <w:bCs w:val="0"/>
          <w:color w:val="auto"/>
          <w:kern w:val="0"/>
          <w:sz w:val="21"/>
          <w:szCs w:val="21"/>
          <w:highlight w:val="none"/>
        </w:rPr>
        <w:t>查询结果</w:t>
      </w:r>
      <w:r>
        <w:rPr>
          <w:rFonts w:hint="eastAsia" w:asciiTheme="minorEastAsia" w:hAnsiTheme="minorEastAsia" w:eastAsiaTheme="minorEastAsia" w:cstheme="minorEastAsia"/>
          <w:b w:val="0"/>
          <w:bCs w:val="0"/>
          <w:color w:val="auto"/>
          <w:kern w:val="0"/>
          <w:sz w:val="21"/>
          <w:szCs w:val="21"/>
          <w:highlight w:val="none"/>
          <w:lang w:val="en-US" w:eastAsia="zh-CN"/>
        </w:rPr>
        <w:t>截图作为证明材料</w:t>
      </w:r>
      <w:r>
        <w:rPr>
          <w:rFonts w:hint="eastAsia" w:asciiTheme="minorEastAsia" w:hAnsiTheme="minorEastAsia" w:eastAsiaTheme="minorEastAsia" w:cstheme="minorEastAsia"/>
          <w:b w:val="0"/>
          <w:bCs w:val="0"/>
          <w:color w:val="auto"/>
          <w:kern w:val="0"/>
          <w:sz w:val="21"/>
          <w:szCs w:val="21"/>
          <w:highlight w:val="none"/>
        </w:rPr>
        <w:t>，</w:t>
      </w:r>
      <w:r>
        <w:rPr>
          <w:rFonts w:hint="eastAsia" w:ascii="宋体" w:hAnsi="宋体" w:eastAsia="宋体" w:cs="宋体"/>
          <w:color w:val="auto"/>
          <w:sz w:val="21"/>
          <w:szCs w:val="21"/>
          <w:highlight w:val="none"/>
        </w:rPr>
        <w:t>最终以代理机构投标截止日当天通过相关系统核查的结论为准</w:t>
      </w: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default" w:ascii="Arial" w:hAnsi="Arial" w:eastAsia="黑体" w:cs="Times New Roman"/>
          <w:b w:val="0"/>
          <w:bCs w:val="0"/>
          <w:color w:val="auto"/>
          <w:kern w:val="2"/>
          <w:sz w:val="32"/>
          <w:szCs w:val="32"/>
          <w:highlight w:val="none"/>
          <w:lang w:val="en-US" w:eastAsia="zh-CN" w:bidi="ar-SA"/>
        </w:rPr>
      </w:pPr>
    </w:p>
    <w:p>
      <w:pPr>
        <w:rPr>
          <w:rFonts w:hint="default" w:ascii="Arial" w:hAnsi="Arial" w:eastAsia="黑体" w:cs="Times New Roman"/>
          <w:b w:val="0"/>
          <w:bCs w:val="0"/>
          <w:color w:val="auto"/>
          <w:kern w:val="2"/>
          <w:sz w:val="32"/>
          <w:szCs w:val="32"/>
          <w:highlight w:val="none"/>
          <w:lang w:val="en-US" w:eastAsia="zh-CN" w:bidi="ar-SA"/>
        </w:rPr>
      </w:pPr>
    </w:p>
    <w:p>
      <w:pPr>
        <w:pStyle w:val="2"/>
        <w:rPr>
          <w:rFonts w:hint="default" w:ascii="Arial" w:hAnsi="Arial" w:eastAsia="黑体" w:cs="Times New Roman"/>
          <w:b w:val="0"/>
          <w:bCs w:val="0"/>
          <w:color w:val="auto"/>
          <w:kern w:val="2"/>
          <w:sz w:val="32"/>
          <w:szCs w:val="32"/>
          <w:highlight w:val="none"/>
          <w:lang w:val="en-US" w:eastAsia="zh-CN" w:bidi="ar-SA"/>
        </w:rPr>
      </w:pPr>
    </w:p>
    <w:p>
      <w:pPr>
        <w:pStyle w:val="2"/>
        <w:rPr>
          <w:rFonts w:hint="default" w:ascii="Arial" w:hAnsi="Arial" w:eastAsia="黑体" w:cs="Times New Roman"/>
          <w:b w:val="0"/>
          <w:bCs w:val="0"/>
          <w:color w:val="auto"/>
          <w:kern w:val="2"/>
          <w:sz w:val="32"/>
          <w:szCs w:val="32"/>
          <w:highlight w:val="none"/>
          <w:lang w:val="en-US" w:eastAsia="zh-CN" w:bidi="ar-SA"/>
        </w:rPr>
      </w:pPr>
    </w:p>
    <w:p>
      <w:pPr>
        <w:pStyle w:val="2"/>
        <w:rPr>
          <w:rFonts w:hint="default" w:ascii="Arial" w:hAnsi="Arial" w:eastAsia="黑体" w:cs="Times New Roman"/>
          <w:b w:val="0"/>
          <w:bCs w:val="0"/>
          <w:color w:val="auto"/>
          <w:kern w:val="2"/>
          <w:sz w:val="32"/>
          <w:szCs w:val="32"/>
          <w:highlight w:val="none"/>
          <w:lang w:val="en-US" w:eastAsia="zh-CN" w:bidi="ar-SA"/>
        </w:rPr>
      </w:pPr>
    </w:p>
    <w:p>
      <w:pPr>
        <w:numPr>
          <w:ilvl w:val="0"/>
          <w:numId w:val="143"/>
        </w:numPr>
        <w:spacing w:line="440" w:lineRule="exact"/>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r>
        <w:rPr>
          <w:rFonts w:hint="eastAsia" w:ascii="Arial" w:hAnsi="Arial" w:eastAsia="黑体" w:cs="Times New Roman"/>
          <w:b w:val="0"/>
          <w:bCs w:val="0"/>
          <w:color w:val="auto"/>
          <w:kern w:val="2"/>
          <w:sz w:val="32"/>
          <w:szCs w:val="32"/>
          <w:highlight w:val="none"/>
          <w:lang w:val="en-US" w:eastAsia="zh-CN" w:bidi="ar-SA"/>
        </w:rPr>
        <w:t>管理体系</w:t>
      </w:r>
      <w:r>
        <w:rPr>
          <w:rFonts w:hint="eastAsia" w:cs="Times New Roman"/>
          <w:b w:val="0"/>
          <w:bCs w:val="0"/>
          <w:color w:val="auto"/>
          <w:kern w:val="2"/>
          <w:sz w:val="32"/>
          <w:szCs w:val="32"/>
          <w:highlight w:val="none"/>
          <w:lang w:val="en-US" w:eastAsia="zh-CN" w:bidi="ar-SA"/>
        </w:rPr>
        <w:t>及</w:t>
      </w:r>
      <w:r>
        <w:rPr>
          <w:rFonts w:hint="eastAsia" w:ascii="Arial" w:hAnsi="Arial" w:eastAsia="黑体" w:cs="Times New Roman"/>
          <w:b w:val="0"/>
          <w:bCs w:val="0"/>
          <w:color w:val="auto"/>
          <w:kern w:val="2"/>
          <w:sz w:val="32"/>
          <w:szCs w:val="32"/>
          <w:highlight w:val="none"/>
          <w:lang w:val="en-US" w:eastAsia="zh-CN" w:bidi="ar-SA"/>
        </w:rPr>
        <w:t>企业荣誉一览表</w:t>
      </w:r>
    </w:p>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jc w:val="left"/>
        <w:rPr>
          <w:rFonts w:hint="eastAsia" w:ascii="宋体" w:hAnsi="宋体" w:eastAsia="宋体" w:cs="宋体"/>
          <w:color w:val="auto"/>
          <w:spacing w:val="4"/>
          <w:sz w:val="21"/>
          <w:szCs w:val="21"/>
          <w:highlight w:val="none"/>
          <w:lang w:val="en-US"/>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kern w:val="0"/>
          <w:sz w:val="21"/>
          <w:szCs w:val="21"/>
          <w:highlight w:val="none"/>
          <w:lang w:val="en-US" w:eastAsia="zh-CN" w:bidi="ar"/>
        </w:rPr>
        <w:t>：                                             项目编号：GDZC-21GZ198</w:t>
      </w:r>
    </w:p>
    <w:tbl>
      <w:tblPr>
        <w:tblStyle w:val="22"/>
        <w:tblW w:w="90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2264"/>
        <w:gridCol w:w="1881"/>
        <w:gridCol w:w="26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264" w:type="dxa"/>
            <w:tcBorders>
              <w:tl2br w:val="nil"/>
              <w:tr2bl w:val="nil"/>
            </w:tcBorders>
            <w:vAlign w:val="top"/>
          </w:tcPr>
          <w:p>
            <w:pPr>
              <w:keepNext w:val="0"/>
              <w:keepLines w:val="0"/>
              <w:widowControl/>
              <w:numPr>
                <w:ilvl w:val="0"/>
                <w:numId w:val="0"/>
              </w:numPr>
              <w:suppressLineNumbers w:val="0"/>
              <w:spacing w:line="440" w:lineRule="exact"/>
              <w:jc w:val="center"/>
              <w:rPr>
                <w:rFonts w:hint="eastAsia" w:ascii="宋体" w:hAnsi="宋体" w:eastAsia="宋体" w:cs="宋体"/>
                <w:b/>
                <w:bCs w:val="0"/>
                <w:color w:val="auto"/>
                <w:spacing w:val="4"/>
                <w:sz w:val="21"/>
                <w:szCs w:val="21"/>
                <w:highlight w:val="none"/>
                <w:vertAlign w:val="baseline"/>
              </w:rPr>
            </w:pPr>
            <w:r>
              <w:rPr>
                <w:rFonts w:hint="eastAsia" w:ascii="宋体" w:hAnsi="宋体" w:eastAsia="宋体" w:cs="宋体"/>
                <w:b/>
                <w:bCs w:val="0"/>
                <w:color w:val="auto"/>
                <w:kern w:val="0"/>
                <w:sz w:val="21"/>
                <w:szCs w:val="21"/>
                <w:highlight w:val="none"/>
                <w:lang w:val="en-US" w:eastAsia="zh-CN" w:bidi="ar"/>
              </w:rPr>
              <w:t>证书名称</w:t>
            </w:r>
          </w:p>
        </w:tc>
        <w:tc>
          <w:tcPr>
            <w:tcW w:w="2264" w:type="dxa"/>
            <w:tcBorders>
              <w:tl2br w:val="nil"/>
              <w:tr2bl w:val="nil"/>
            </w:tcBorders>
            <w:vAlign w:val="top"/>
          </w:tcPr>
          <w:p>
            <w:pPr>
              <w:keepNext w:val="0"/>
              <w:keepLines w:val="0"/>
              <w:widowControl/>
              <w:numPr>
                <w:ilvl w:val="0"/>
                <w:numId w:val="0"/>
              </w:numPr>
              <w:suppressLineNumbers w:val="0"/>
              <w:spacing w:line="440" w:lineRule="exact"/>
              <w:jc w:val="center"/>
              <w:rPr>
                <w:rFonts w:hint="eastAsia" w:ascii="宋体" w:hAnsi="宋体" w:eastAsia="宋体" w:cs="宋体"/>
                <w:b/>
                <w:bCs w:val="0"/>
                <w:color w:val="auto"/>
                <w:spacing w:val="4"/>
                <w:sz w:val="21"/>
                <w:szCs w:val="21"/>
                <w:highlight w:val="none"/>
                <w:vertAlign w:val="baseline"/>
                <w:lang w:val="en-US" w:eastAsia="zh-CN"/>
              </w:rPr>
            </w:pPr>
            <w:r>
              <w:rPr>
                <w:rFonts w:hint="eastAsia" w:ascii="宋体" w:hAnsi="宋体" w:eastAsia="宋体" w:cs="宋体"/>
                <w:b/>
                <w:bCs w:val="0"/>
                <w:color w:val="auto"/>
                <w:spacing w:val="4"/>
                <w:sz w:val="21"/>
                <w:szCs w:val="21"/>
                <w:highlight w:val="none"/>
                <w:vertAlign w:val="baseline"/>
                <w:lang w:val="en-US" w:eastAsia="zh-CN"/>
              </w:rPr>
              <w:t>发证机构</w:t>
            </w:r>
          </w:p>
        </w:tc>
        <w:tc>
          <w:tcPr>
            <w:tcW w:w="1881" w:type="dxa"/>
            <w:tcBorders>
              <w:tl2br w:val="nil"/>
              <w:tr2bl w:val="nil"/>
            </w:tcBorders>
            <w:vAlign w:val="top"/>
          </w:tcPr>
          <w:p>
            <w:pPr>
              <w:keepNext w:val="0"/>
              <w:keepLines w:val="0"/>
              <w:widowControl/>
              <w:numPr>
                <w:ilvl w:val="0"/>
                <w:numId w:val="0"/>
              </w:numPr>
              <w:suppressLineNumbers w:val="0"/>
              <w:spacing w:line="440" w:lineRule="exact"/>
              <w:jc w:val="center"/>
              <w:rPr>
                <w:rFonts w:hint="eastAsia" w:ascii="宋体" w:hAnsi="宋体" w:eastAsia="宋体" w:cs="宋体"/>
                <w:b/>
                <w:bCs w:val="0"/>
                <w:color w:val="auto"/>
                <w:spacing w:val="4"/>
                <w:sz w:val="21"/>
                <w:szCs w:val="21"/>
                <w:highlight w:val="none"/>
                <w:vertAlign w:val="baseline"/>
              </w:rPr>
            </w:pPr>
            <w:r>
              <w:rPr>
                <w:rFonts w:hint="eastAsia" w:ascii="宋体" w:hAnsi="宋体" w:eastAsia="宋体" w:cs="宋体"/>
                <w:b/>
                <w:bCs w:val="0"/>
                <w:color w:val="auto"/>
                <w:kern w:val="0"/>
                <w:sz w:val="21"/>
                <w:szCs w:val="21"/>
                <w:highlight w:val="none"/>
                <w:lang w:val="en-US" w:eastAsia="zh-CN" w:bidi="ar"/>
              </w:rPr>
              <w:t>证书有限期</w:t>
            </w:r>
          </w:p>
        </w:tc>
        <w:tc>
          <w:tcPr>
            <w:tcW w:w="2649" w:type="dxa"/>
            <w:tcBorders>
              <w:tl2br w:val="nil"/>
              <w:tr2bl w:val="nil"/>
            </w:tcBorders>
            <w:vAlign w:val="top"/>
          </w:tcPr>
          <w:p>
            <w:pPr>
              <w:keepNext w:val="0"/>
              <w:keepLines w:val="0"/>
              <w:widowControl/>
              <w:numPr>
                <w:ilvl w:val="0"/>
                <w:numId w:val="0"/>
              </w:numPr>
              <w:suppressLineNumbers w:val="0"/>
              <w:spacing w:line="440" w:lineRule="exact"/>
              <w:jc w:val="center"/>
              <w:rPr>
                <w:rFonts w:hint="eastAsia" w:ascii="宋体" w:hAnsi="宋体" w:eastAsia="宋体" w:cs="宋体"/>
                <w:b/>
                <w:bCs w:val="0"/>
                <w:color w:val="auto"/>
                <w:spacing w:val="4"/>
                <w:sz w:val="21"/>
                <w:szCs w:val="21"/>
                <w:highlight w:val="none"/>
                <w:vertAlign w:val="baseline"/>
              </w:rPr>
            </w:pPr>
            <w:r>
              <w:rPr>
                <w:rFonts w:hint="eastAsia" w:ascii="宋体" w:hAnsi="宋体" w:eastAsia="宋体" w:cs="宋体"/>
                <w:b/>
                <w:bCs w:val="0"/>
                <w:color w:val="auto"/>
                <w:spacing w:val="4"/>
                <w:sz w:val="21"/>
                <w:szCs w:val="21"/>
                <w:highlight w:val="none"/>
                <w:vertAlign w:val="baseline"/>
                <w:lang w:val="en-US" w:eastAsia="zh-CN"/>
              </w:rPr>
              <w:t>查</w:t>
            </w:r>
            <w:r>
              <w:rPr>
                <w:rFonts w:hint="eastAsia" w:ascii="宋体" w:hAnsi="宋体" w:eastAsia="宋体" w:cs="宋体"/>
                <w:b/>
                <w:bCs w:val="0"/>
                <w:color w:val="auto"/>
                <w:spacing w:val="4"/>
                <w:sz w:val="21"/>
                <w:szCs w:val="21"/>
                <w:highlight w:val="none"/>
                <w:vertAlign w:val="baseline"/>
              </w:rPr>
              <w:t>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264"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2264"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1881"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2649" w:type="dxa"/>
            <w:tcBorders>
              <w:tl2br w:val="nil"/>
              <w:tr2bl w:val="nil"/>
            </w:tcBorders>
            <w:vAlign w:val="center"/>
          </w:tcPr>
          <w:p>
            <w:pPr>
              <w:adjustRightInd w:val="0"/>
              <w:snapToGrid w:val="0"/>
              <w:ind w:left="-84" w:leftChars="-40" w:right="-107" w:rightChars="-51"/>
              <w:jc w:val="center"/>
              <w:rPr>
                <w:rFonts w:hint="eastAsia" w:ascii="宋体" w:hAnsi="宋体" w:eastAsia="宋体" w:cs="宋体"/>
                <w:color w:val="auto"/>
                <w:spacing w:val="4"/>
                <w:sz w:val="21"/>
                <w:szCs w:val="21"/>
                <w:highlight w:val="none"/>
                <w:vertAlign w:val="baseli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264"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2264"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1881"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2649" w:type="dxa"/>
            <w:tcBorders>
              <w:tl2br w:val="nil"/>
              <w:tr2bl w:val="nil"/>
            </w:tcBorders>
            <w:vAlign w:val="center"/>
          </w:tcPr>
          <w:p>
            <w:pPr>
              <w:adjustRightInd w:val="0"/>
              <w:snapToGrid w:val="0"/>
              <w:ind w:left="-84" w:leftChars="-40" w:right="-107" w:rightChars="-51"/>
              <w:jc w:val="center"/>
              <w:rPr>
                <w:rFonts w:hint="eastAsia" w:ascii="宋体" w:hAnsi="宋体" w:eastAsia="宋体" w:cs="宋体"/>
                <w:color w:val="auto"/>
                <w:spacing w:val="4"/>
                <w:sz w:val="21"/>
                <w:szCs w:val="21"/>
                <w:highlight w:val="none"/>
                <w:vertAlign w:val="baseli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264"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2264"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1881"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2649" w:type="dxa"/>
            <w:tcBorders>
              <w:tl2br w:val="nil"/>
              <w:tr2bl w:val="nil"/>
            </w:tcBorders>
            <w:vAlign w:val="center"/>
          </w:tcPr>
          <w:p>
            <w:pPr>
              <w:adjustRightInd w:val="0"/>
              <w:snapToGrid w:val="0"/>
              <w:ind w:left="-84" w:leftChars="-40" w:right="-107" w:rightChars="-51"/>
              <w:jc w:val="center"/>
              <w:rPr>
                <w:rFonts w:hint="eastAsia" w:ascii="宋体" w:hAnsi="宋体" w:eastAsia="宋体" w:cs="宋体"/>
                <w:color w:val="auto"/>
                <w:spacing w:val="4"/>
                <w:sz w:val="21"/>
                <w:szCs w:val="21"/>
                <w:highlight w:val="none"/>
                <w:vertAlign w:val="baseli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264"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2264"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1881" w:type="dxa"/>
            <w:tcBorders>
              <w:tl2br w:val="nil"/>
              <w:tr2bl w:val="nil"/>
            </w:tcBorders>
            <w:vAlign w:val="top"/>
          </w:tcPr>
          <w:p>
            <w:pPr>
              <w:numPr>
                <w:ilvl w:val="0"/>
                <w:numId w:val="0"/>
              </w:numPr>
              <w:spacing w:line="440" w:lineRule="exact"/>
              <w:rPr>
                <w:rFonts w:hint="eastAsia" w:ascii="宋体" w:hAnsi="宋体" w:eastAsia="宋体" w:cs="宋体"/>
                <w:color w:val="auto"/>
                <w:spacing w:val="4"/>
                <w:sz w:val="21"/>
                <w:szCs w:val="21"/>
                <w:highlight w:val="none"/>
                <w:vertAlign w:val="baseline"/>
              </w:rPr>
            </w:pPr>
          </w:p>
        </w:tc>
        <w:tc>
          <w:tcPr>
            <w:tcW w:w="2649" w:type="dxa"/>
            <w:tcBorders>
              <w:tl2br w:val="nil"/>
              <w:tr2bl w:val="nil"/>
            </w:tcBorders>
            <w:vAlign w:val="center"/>
          </w:tcPr>
          <w:p>
            <w:pPr>
              <w:adjustRightInd w:val="0"/>
              <w:snapToGrid w:val="0"/>
              <w:ind w:left="-84" w:leftChars="-40" w:right="-107" w:rightChars="-51"/>
              <w:jc w:val="center"/>
              <w:rPr>
                <w:rFonts w:hint="eastAsia" w:ascii="宋体" w:hAnsi="宋体" w:eastAsia="宋体" w:cs="宋体"/>
                <w:color w:val="auto"/>
                <w:spacing w:val="4"/>
                <w:sz w:val="21"/>
                <w:szCs w:val="21"/>
                <w:highlight w:val="none"/>
                <w:vertAlign w:val="baseline"/>
              </w:rPr>
            </w:pPr>
            <w:r>
              <w:rPr>
                <w:rFonts w:hint="eastAsia" w:ascii="宋体" w:hAnsi="宋体" w:eastAsia="宋体" w:cs="宋体"/>
                <w:color w:val="auto"/>
                <w:sz w:val="21"/>
                <w:szCs w:val="21"/>
                <w:highlight w:val="none"/>
              </w:rPr>
              <w:t>见第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页</w:t>
            </w:r>
          </w:p>
        </w:tc>
      </w:tr>
    </w:tbl>
    <w:p>
      <w:pPr>
        <w:numPr>
          <w:ilvl w:val="0"/>
          <w:numId w:val="0"/>
        </w:numPr>
        <w:spacing w:line="440" w:lineRule="exact"/>
        <w:ind w:leftChars="0"/>
        <w:rPr>
          <w:rFonts w:hint="eastAsia" w:ascii="宋体" w:hAnsi="宋体" w:eastAsia="宋体" w:cs="宋体"/>
          <w:color w:val="auto"/>
          <w:spacing w:val="4"/>
          <w:sz w:val="21"/>
          <w:szCs w:val="21"/>
          <w:highlight w:val="none"/>
          <w:lang w:val="en-US" w:eastAsia="zh-CN"/>
        </w:rPr>
      </w:pPr>
      <w:r>
        <w:rPr>
          <w:rFonts w:hint="eastAsia" w:ascii="宋体" w:hAnsi="宋体" w:eastAsia="宋体" w:cs="宋体"/>
          <w:color w:val="auto"/>
          <w:spacing w:val="4"/>
          <w:sz w:val="21"/>
          <w:szCs w:val="21"/>
          <w:highlight w:val="none"/>
          <w:lang w:val="en-US" w:eastAsia="zh-CN"/>
        </w:rPr>
        <w:t>备注：</w:t>
      </w:r>
    </w:p>
    <w:p>
      <w:pPr>
        <w:numPr>
          <w:ilvl w:val="0"/>
          <w:numId w:val="159"/>
        </w:numPr>
        <w:spacing w:line="440" w:lineRule="exact"/>
        <w:ind w:left="425" w:leftChars="0" w:hanging="425" w:firstLineChars="0"/>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 xml:space="preserve">根据评分表的要求提交相应资料。 </w:t>
      </w:r>
    </w:p>
    <w:p>
      <w:pPr>
        <w:numPr>
          <w:ilvl w:val="0"/>
          <w:numId w:val="159"/>
        </w:numPr>
        <w:spacing w:line="440" w:lineRule="exact"/>
        <w:ind w:left="425" w:leftChars="0" w:hanging="425" w:firstLineChars="0"/>
        <w:rPr>
          <w:rFonts w:hint="eastAsia" w:ascii="宋体" w:hAnsi="宋体" w:eastAsia="宋体" w:cs="宋体"/>
          <w:color w:val="auto"/>
          <w:spacing w:val="4"/>
          <w:sz w:val="21"/>
          <w:szCs w:val="21"/>
          <w:highlight w:val="none"/>
        </w:rPr>
      </w:pPr>
      <w:r>
        <w:rPr>
          <w:rFonts w:hint="eastAsia" w:ascii="宋体" w:hAnsi="宋体" w:eastAsia="宋体" w:cs="宋体"/>
          <w:color w:val="auto"/>
          <w:spacing w:val="4"/>
          <w:sz w:val="21"/>
          <w:szCs w:val="21"/>
          <w:highlight w:val="none"/>
        </w:rPr>
        <w:t>如本表格式内容不能满足需要，投标人可根据本表格式自行扩展填写，但必须体现以上内容。</w:t>
      </w:r>
    </w:p>
    <w:p>
      <w:pPr>
        <w:numPr>
          <w:ilvl w:val="0"/>
          <w:numId w:val="0"/>
        </w:numPr>
        <w:spacing w:line="440" w:lineRule="exact"/>
        <w:ind w:leftChars="0"/>
        <w:rPr>
          <w:rFonts w:hint="eastAsia" w:ascii="宋体" w:hAnsi="宋体" w:eastAsia="宋体" w:cs="宋体"/>
          <w:color w:val="auto"/>
          <w:spacing w:val="4"/>
          <w:sz w:val="21"/>
          <w:szCs w:val="21"/>
          <w:highlight w:val="none"/>
        </w:rPr>
      </w:pPr>
    </w:p>
    <w:p>
      <w:pPr>
        <w:spacing w:line="5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pacing w:val="4"/>
          <w:sz w:val="21"/>
          <w:szCs w:val="21"/>
          <w:highlight w:val="none"/>
        </w:rPr>
        <w:t>投标人名称（加盖公章）：</w:t>
      </w:r>
      <w:r>
        <w:rPr>
          <w:rFonts w:hint="eastAsia" w:ascii="宋体" w:hAnsi="宋体" w:eastAsia="宋体" w:cs="宋体"/>
          <w:color w:val="auto"/>
          <w:spacing w:val="4"/>
          <w:sz w:val="21"/>
          <w:szCs w:val="21"/>
          <w:highlight w:val="none"/>
          <w:u w:val="single"/>
        </w:rPr>
        <w:t xml:space="preserve">                             </w:t>
      </w:r>
    </w:p>
    <w:p>
      <w:pPr>
        <w:rPr>
          <w:rFonts w:hint="eastAsia" w:ascii="宋体" w:hAnsi="宋体" w:eastAsia="宋体" w:cs="宋体"/>
          <w:color w:val="auto"/>
          <w:spacing w:val="4"/>
          <w:sz w:val="21"/>
          <w:szCs w:val="21"/>
          <w:highlight w:val="none"/>
        </w:rPr>
      </w:pPr>
    </w:p>
    <w:p>
      <w:pPr>
        <w:spacing w:line="520" w:lineRule="exact"/>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法定代表人或投标人授权代表（签名或盖章）：</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职务：</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日期</w:t>
      </w:r>
      <w:r>
        <w:rPr>
          <w:rFonts w:hint="eastAsia" w:ascii="宋体" w:hAnsi="宋体" w:eastAsia="宋体" w:cs="宋体"/>
          <w:color w:val="auto"/>
          <w:spacing w:val="4"/>
          <w:sz w:val="21"/>
          <w:szCs w:val="21"/>
          <w:highlight w:val="none"/>
          <w:u w:val="single"/>
        </w:rPr>
        <w:t xml:space="preserve">         </w:t>
      </w: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0"/>
        </w:numPr>
        <w:spacing w:line="440" w:lineRule="exact"/>
        <w:ind w:leftChars="0"/>
        <w:rPr>
          <w:rFonts w:hint="eastAsia" w:ascii="宋体" w:hAnsi="宋体" w:eastAsia="宋体" w:cs="宋体"/>
          <w:color w:val="auto"/>
          <w:spacing w:val="4"/>
          <w:sz w:val="21"/>
          <w:szCs w:val="21"/>
          <w:highlight w:val="none"/>
        </w:rPr>
      </w:pPr>
    </w:p>
    <w:p>
      <w:pPr>
        <w:numPr>
          <w:ilvl w:val="0"/>
          <w:numId w:val="143"/>
        </w:numPr>
        <w:spacing w:line="440" w:lineRule="exact"/>
        <w:rPr>
          <w:rFonts w:hint="eastAsia" w:ascii="宋体" w:hAnsi="宋体" w:eastAsia="宋体" w:cs="宋体"/>
          <w:color w:val="auto"/>
          <w:spacing w:val="4"/>
          <w:sz w:val="21"/>
          <w:szCs w:val="21"/>
          <w:highlight w:val="none"/>
        </w:rPr>
      </w:pPr>
    </w:p>
    <w:bookmarkEnd w:id="130"/>
    <w:bookmarkEnd w:id="146"/>
    <w:p>
      <w:pPr>
        <w:pStyle w:val="4"/>
        <w:adjustRightInd w:val="0"/>
        <w:snapToGrid w:val="0"/>
        <w:spacing w:before="20" w:after="20" w:line="415" w:lineRule="auto"/>
        <w:jc w:val="center"/>
        <w:rPr>
          <w:rFonts w:hint="eastAsia" w:ascii="宋体" w:hAnsi="宋体"/>
          <w:color w:val="auto"/>
          <w:highlight w:val="none"/>
        </w:rPr>
      </w:pPr>
      <w:bookmarkStart w:id="147" w:name="_Toc275865624"/>
      <w:r>
        <w:rPr>
          <w:rFonts w:hint="eastAsia" w:ascii="宋体" w:hAnsi="宋体"/>
          <w:b w:val="0"/>
          <w:color w:val="auto"/>
          <w:sz w:val="36"/>
          <w:szCs w:val="36"/>
          <w:highlight w:val="none"/>
        </w:rPr>
        <w:t>资料原件提交清单</w:t>
      </w:r>
      <w:r>
        <w:rPr>
          <w:rFonts w:hint="eastAsia" w:ascii="宋体" w:hAnsi="宋体"/>
          <w:color w:val="auto"/>
          <w:highlight w:val="none"/>
        </w:rPr>
        <w:t xml:space="preserve"> </w:t>
      </w:r>
    </w:p>
    <w:p>
      <w:pPr>
        <w:spacing w:after="156" w:afterLines="50"/>
        <w:jc w:val="center"/>
        <w:outlineLvl w:val="2"/>
        <w:rPr>
          <w:rFonts w:hint="eastAsia" w:ascii="宋体" w:hAnsi="宋体"/>
          <w:color w:val="auto"/>
          <w:highlight w:val="none"/>
        </w:rPr>
      </w:pPr>
      <w:r>
        <w:rPr>
          <w:rFonts w:hint="eastAsia" w:ascii="宋体" w:hAnsi="宋体"/>
          <w:color w:val="auto"/>
          <w:highlight w:val="none"/>
        </w:rPr>
        <w:t xml:space="preserve">投标人名称：                             </w:t>
      </w:r>
      <w:r>
        <w:rPr>
          <w:rFonts w:hint="eastAsia" w:ascii="宋体" w:hAnsi="宋体"/>
          <w:color w:val="auto"/>
          <w:highlight w:val="none"/>
          <w:lang w:val="en-US" w:eastAsia="zh-CN"/>
        </w:rPr>
        <w:t xml:space="preserve">                </w:t>
      </w:r>
      <w:r>
        <w:rPr>
          <w:rFonts w:hint="eastAsia" w:ascii="宋体" w:hAnsi="宋体"/>
          <w:color w:val="auto"/>
          <w:highlight w:val="none"/>
        </w:rPr>
        <w:t xml:space="preserve"> 项目编号：</w:t>
      </w:r>
      <w:r>
        <w:rPr>
          <w:rFonts w:hint="eastAsia" w:ascii="宋体" w:hAnsi="宋体"/>
          <w:color w:val="auto"/>
          <w:highlight w:val="none"/>
          <w:lang w:eastAsia="zh-CN"/>
        </w:rPr>
        <w:t>GDZC-21GZ198</w:t>
      </w:r>
      <w:r>
        <w:rPr>
          <w:rFonts w:hint="eastAsia" w:ascii="宋体" w:hAnsi="宋体"/>
          <w:color w:val="auto"/>
          <w:highlight w:val="none"/>
        </w:rPr>
        <w:t xml:space="preserve">       </w:t>
      </w:r>
    </w:p>
    <w:tbl>
      <w:tblPr>
        <w:tblStyle w:val="21"/>
        <w:tblW w:w="9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296"/>
        <w:gridCol w:w="1200"/>
        <w:gridCol w:w="2294"/>
        <w:gridCol w:w="701"/>
        <w:gridCol w:w="701"/>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90" w:type="dxa"/>
            <w:vMerge w:val="restart"/>
            <w:tcBorders>
              <w:top w:val="single" w:color="auto" w:sz="12" w:space="0"/>
              <w:left w:val="single" w:color="auto" w:sz="12" w:space="0"/>
            </w:tcBorders>
            <w:vAlign w:val="center"/>
          </w:tcPr>
          <w:p>
            <w:pPr>
              <w:spacing w:line="360" w:lineRule="auto"/>
              <w:jc w:val="center"/>
              <w:rPr>
                <w:rFonts w:hint="eastAsia" w:ascii="宋体" w:hAnsi="宋体"/>
                <w:b/>
                <w:color w:val="auto"/>
                <w:highlight w:val="none"/>
              </w:rPr>
            </w:pPr>
            <w:r>
              <w:rPr>
                <w:rFonts w:hint="eastAsia" w:ascii="宋体" w:hAnsi="宋体"/>
                <w:b/>
                <w:color w:val="auto"/>
                <w:highlight w:val="none"/>
              </w:rPr>
              <w:t>序号</w:t>
            </w:r>
          </w:p>
        </w:tc>
        <w:tc>
          <w:tcPr>
            <w:tcW w:w="2296" w:type="dxa"/>
            <w:vMerge w:val="restart"/>
            <w:tcBorders>
              <w:top w:val="single" w:color="auto" w:sz="12" w:space="0"/>
            </w:tcBorders>
            <w:vAlign w:val="center"/>
          </w:tcPr>
          <w:p>
            <w:pPr>
              <w:spacing w:line="360" w:lineRule="auto"/>
              <w:jc w:val="center"/>
              <w:rPr>
                <w:rFonts w:hint="eastAsia"/>
                <w:b/>
                <w:color w:val="auto"/>
                <w:highlight w:val="none"/>
              </w:rPr>
            </w:pPr>
            <w:r>
              <w:rPr>
                <w:rFonts w:hint="eastAsia"/>
                <w:b/>
                <w:color w:val="auto"/>
                <w:highlight w:val="none"/>
              </w:rPr>
              <w:t>资料名称</w:t>
            </w:r>
          </w:p>
        </w:tc>
        <w:tc>
          <w:tcPr>
            <w:tcW w:w="1200" w:type="dxa"/>
            <w:vMerge w:val="restart"/>
            <w:tcBorders>
              <w:top w:val="single" w:color="auto" w:sz="12" w:space="0"/>
            </w:tcBorders>
            <w:vAlign w:val="center"/>
          </w:tcPr>
          <w:p>
            <w:pPr>
              <w:spacing w:line="360" w:lineRule="auto"/>
              <w:jc w:val="center"/>
              <w:rPr>
                <w:rFonts w:hint="eastAsia"/>
                <w:b/>
                <w:color w:val="auto"/>
                <w:highlight w:val="none"/>
              </w:rPr>
            </w:pPr>
            <w:r>
              <w:rPr>
                <w:rFonts w:hint="eastAsia"/>
                <w:b/>
                <w:color w:val="auto"/>
                <w:highlight w:val="none"/>
              </w:rPr>
              <w:t>页数</w:t>
            </w:r>
          </w:p>
        </w:tc>
        <w:tc>
          <w:tcPr>
            <w:tcW w:w="2294" w:type="dxa"/>
            <w:vMerge w:val="restart"/>
            <w:tcBorders>
              <w:top w:val="single" w:color="auto" w:sz="12" w:space="0"/>
            </w:tcBorders>
            <w:vAlign w:val="center"/>
          </w:tcPr>
          <w:p>
            <w:pPr>
              <w:spacing w:line="360" w:lineRule="auto"/>
              <w:jc w:val="center"/>
              <w:rPr>
                <w:rFonts w:hint="eastAsia"/>
                <w:b/>
                <w:color w:val="auto"/>
                <w:highlight w:val="none"/>
              </w:rPr>
            </w:pPr>
            <w:r>
              <w:rPr>
                <w:rFonts w:hint="eastAsia"/>
                <w:b/>
                <w:color w:val="auto"/>
                <w:highlight w:val="none"/>
              </w:rPr>
              <w:t>对应投标文件页码</w:t>
            </w:r>
          </w:p>
        </w:tc>
        <w:tc>
          <w:tcPr>
            <w:tcW w:w="1402" w:type="dxa"/>
            <w:gridSpan w:val="2"/>
            <w:tcBorders>
              <w:top w:val="single" w:color="auto" w:sz="12" w:space="0"/>
            </w:tcBorders>
            <w:vAlign w:val="top"/>
          </w:tcPr>
          <w:p>
            <w:pPr>
              <w:spacing w:line="360" w:lineRule="auto"/>
              <w:jc w:val="center"/>
              <w:rPr>
                <w:rFonts w:hint="eastAsia"/>
                <w:b/>
                <w:color w:val="auto"/>
                <w:highlight w:val="none"/>
              </w:rPr>
            </w:pPr>
            <w:r>
              <w:rPr>
                <w:rFonts w:hint="eastAsia" w:ascii="宋体" w:hAnsi="宋体"/>
                <w:b/>
                <w:color w:val="auto"/>
                <w:highlight w:val="none"/>
              </w:rPr>
              <w:t>提交情况</w:t>
            </w:r>
          </w:p>
        </w:tc>
        <w:tc>
          <w:tcPr>
            <w:tcW w:w="1786" w:type="dxa"/>
            <w:vMerge w:val="restart"/>
            <w:tcBorders>
              <w:top w:val="single" w:color="auto" w:sz="12" w:space="0"/>
              <w:right w:val="single" w:color="auto" w:sz="12" w:space="0"/>
            </w:tcBorders>
            <w:vAlign w:val="center"/>
          </w:tcPr>
          <w:p>
            <w:pPr>
              <w:spacing w:line="360" w:lineRule="auto"/>
              <w:jc w:val="center"/>
              <w:rPr>
                <w:rFonts w:hint="eastAsia"/>
                <w:b/>
                <w:color w:val="auto"/>
                <w:highlight w:val="none"/>
              </w:rPr>
            </w:pPr>
            <w:r>
              <w:rPr>
                <w:rFonts w:hint="eastAsia"/>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0" w:type="dxa"/>
            <w:vMerge w:val="continue"/>
            <w:tcBorders>
              <w:left w:val="single" w:color="auto" w:sz="12" w:space="0"/>
            </w:tcBorders>
            <w:vAlign w:val="center"/>
          </w:tcPr>
          <w:p>
            <w:pPr>
              <w:spacing w:line="360" w:lineRule="auto"/>
              <w:jc w:val="center"/>
              <w:rPr>
                <w:rFonts w:hint="eastAsia" w:ascii="宋体" w:hAnsi="宋体"/>
                <w:b/>
                <w:color w:val="auto"/>
                <w:highlight w:val="none"/>
              </w:rPr>
            </w:pPr>
          </w:p>
        </w:tc>
        <w:tc>
          <w:tcPr>
            <w:tcW w:w="2296" w:type="dxa"/>
            <w:vMerge w:val="continue"/>
            <w:vAlign w:val="center"/>
          </w:tcPr>
          <w:p>
            <w:pPr>
              <w:spacing w:line="360" w:lineRule="auto"/>
              <w:jc w:val="center"/>
              <w:rPr>
                <w:rFonts w:hint="eastAsia"/>
                <w:b/>
                <w:color w:val="auto"/>
                <w:highlight w:val="none"/>
              </w:rPr>
            </w:pPr>
          </w:p>
        </w:tc>
        <w:tc>
          <w:tcPr>
            <w:tcW w:w="1200" w:type="dxa"/>
            <w:vMerge w:val="continue"/>
            <w:vAlign w:val="center"/>
          </w:tcPr>
          <w:p>
            <w:pPr>
              <w:spacing w:line="360" w:lineRule="auto"/>
              <w:jc w:val="center"/>
              <w:rPr>
                <w:rFonts w:hint="eastAsia"/>
                <w:b/>
                <w:color w:val="auto"/>
                <w:highlight w:val="none"/>
              </w:rPr>
            </w:pPr>
          </w:p>
        </w:tc>
        <w:tc>
          <w:tcPr>
            <w:tcW w:w="2294" w:type="dxa"/>
            <w:vMerge w:val="continue"/>
            <w:vAlign w:val="center"/>
          </w:tcPr>
          <w:p>
            <w:pPr>
              <w:spacing w:line="360" w:lineRule="auto"/>
              <w:jc w:val="center"/>
              <w:rPr>
                <w:rFonts w:hint="eastAsia"/>
                <w:b/>
                <w:color w:val="auto"/>
                <w:highlight w:val="none"/>
              </w:rPr>
            </w:pPr>
          </w:p>
        </w:tc>
        <w:tc>
          <w:tcPr>
            <w:tcW w:w="701" w:type="dxa"/>
            <w:tcBorders>
              <w:top w:val="single" w:color="auto" w:sz="4" w:space="0"/>
            </w:tcBorders>
            <w:vAlign w:val="center"/>
          </w:tcPr>
          <w:p>
            <w:pPr>
              <w:jc w:val="center"/>
              <w:rPr>
                <w:rFonts w:hint="eastAsia" w:ascii="宋体" w:hAnsi="宋体"/>
                <w:b/>
                <w:color w:val="auto"/>
                <w:highlight w:val="none"/>
              </w:rPr>
            </w:pPr>
            <w:r>
              <w:rPr>
                <w:rFonts w:hint="eastAsia" w:ascii="宋体" w:hAnsi="宋体"/>
                <w:b/>
                <w:color w:val="auto"/>
                <w:highlight w:val="none"/>
              </w:rPr>
              <w:t>有</w:t>
            </w:r>
          </w:p>
        </w:tc>
        <w:tc>
          <w:tcPr>
            <w:tcW w:w="701" w:type="dxa"/>
            <w:tcBorders>
              <w:top w:val="single" w:color="auto" w:sz="4" w:space="0"/>
            </w:tcBorders>
            <w:vAlign w:val="center"/>
          </w:tcPr>
          <w:p>
            <w:pPr>
              <w:jc w:val="center"/>
              <w:rPr>
                <w:rFonts w:hint="eastAsia" w:ascii="宋体" w:hAnsi="宋体"/>
                <w:b/>
                <w:color w:val="auto"/>
                <w:highlight w:val="none"/>
              </w:rPr>
            </w:pPr>
            <w:r>
              <w:rPr>
                <w:rFonts w:hint="eastAsia" w:ascii="宋体" w:hAnsi="宋体"/>
                <w:b/>
                <w:color w:val="auto"/>
                <w:highlight w:val="none"/>
              </w:rPr>
              <w:t>无</w:t>
            </w:r>
          </w:p>
        </w:tc>
        <w:tc>
          <w:tcPr>
            <w:tcW w:w="1786" w:type="dxa"/>
            <w:vMerge w:val="continue"/>
            <w:tcBorders>
              <w:right w:val="single" w:color="auto" w:sz="12" w:space="0"/>
            </w:tcBorders>
            <w:vAlign w:val="center"/>
          </w:tcPr>
          <w:p>
            <w:pPr>
              <w:spacing w:line="360" w:lineRule="auto"/>
              <w:jc w:val="center"/>
              <w:rPr>
                <w:rFonts w:hint="eastAsia"/>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vAlign w:val="center"/>
          </w:tcPr>
          <w:p>
            <w:pPr>
              <w:spacing w:line="360" w:lineRule="auto"/>
              <w:jc w:val="center"/>
              <w:rPr>
                <w:rFonts w:hint="eastAsia"/>
                <w:color w:val="auto"/>
                <w:highlight w:val="none"/>
              </w:rPr>
            </w:pPr>
          </w:p>
        </w:tc>
        <w:tc>
          <w:tcPr>
            <w:tcW w:w="1200" w:type="dxa"/>
            <w:vAlign w:val="center"/>
          </w:tcPr>
          <w:p>
            <w:pPr>
              <w:spacing w:line="360" w:lineRule="auto"/>
              <w:jc w:val="center"/>
              <w:rPr>
                <w:rFonts w:hint="eastAsia"/>
                <w:color w:val="auto"/>
                <w:highlight w:val="none"/>
              </w:rPr>
            </w:pPr>
          </w:p>
        </w:tc>
        <w:tc>
          <w:tcPr>
            <w:tcW w:w="2294" w:type="dxa"/>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vAlign w:val="top"/>
          </w:tcPr>
          <w:p>
            <w:pPr>
              <w:spacing w:line="360" w:lineRule="auto"/>
              <w:jc w:val="center"/>
              <w:rPr>
                <w:rFonts w:hint="eastAsia"/>
                <w:color w:val="auto"/>
                <w:highlight w:val="none"/>
              </w:rPr>
            </w:pPr>
          </w:p>
        </w:tc>
        <w:tc>
          <w:tcPr>
            <w:tcW w:w="701" w:type="dxa"/>
            <w:vAlign w:val="top"/>
          </w:tcPr>
          <w:p>
            <w:pPr>
              <w:spacing w:line="360" w:lineRule="auto"/>
              <w:jc w:val="center"/>
              <w:rPr>
                <w:rFonts w:hint="eastAsia"/>
                <w:color w:val="auto"/>
                <w:highlight w:val="none"/>
              </w:rPr>
            </w:pPr>
          </w:p>
        </w:tc>
        <w:tc>
          <w:tcPr>
            <w:tcW w:w="1786" w:type="dxa"/>
            <w:tcBorders>
              <w:right w:val="single" w:color="auto" w:sz="12" w:space="0"/>
            </w:tcBorders>
            <w:vAlign w:val="center"/>
          </w:tcPr>
          <w:p>
            <w:pPr>
              <w:spacing w:line="360" w:lineRule="auto"/>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690" w:type="dxa"/>
            <w:tcBorders>
              <w:left w:val="single" w:color="auto" w:sz="12" w:space="0"/>
              <w:bottom w:val="single" w:color="auto" w:sz="12" w:space="0"/>
            </w:tcBorders>
            <w:vAlign w:val="center"/>
          </w:tcPr>
          <w:p>
            <w:pPr>
              <w:numPr>
                <w:ilvl w:val="0"/>
                <w:numId w:val="160"/>
              </w:numPr>
              <w:spacing w:line="360" w:lineRule="auto"/>
              <w:jc w:val="center"/>
              <w:rPr>
                <w:rFonts w:hint="eastAsia" w:ascii="宋体" w:hAnsi="宋体"/>
                <w:color w:val="auto"/>
                <w:highlight w:val="none"/>
              </w:rPr>
            </w:pPr>
          </w:p>
        </w:tc>
        <w:tc>
          <w:tcPr>
            <w:tcW w:w="2296" w:type="dxa"/>
            <w:tcBorders>
              <w:bottom w:val="single" w:color="auto" w:sz="12" w:space="0"/>
            </w:tcBorders>
            <w:vAlign w:val="center"/>
          </w:tcPr>
          <w:p>
            <w:pPr>
              <w:spacing w:line="360" w:lineRule="auto"/>
              <w:jc w:val="center"/>
              <w:rPr>
                <w:rFonts w:hint="eastAsia"/>
                <w:color w:val="auto"/>
                <w:highlight w:val="none"/>
              </w:rPr>
            </w:pPr>
          </w:p>
        </w:tc>
        <w:tc>
          <w:tcPr>
            <w:tcW w:w="1200" w:type="dxa"/>
            <w:tcBorders>
              <w:bottom w:val="single" w:color="auto" w:sz="12" w:space="0"/>
            </w:tcBorders>
            <w:vAlign w:val="center"/>
          </w:tcPr>
          <w:p>
            <w:pPr>
              <w:spacing w:line="360" w:lineRule="auto"/>
              <w:jc w:val="center"/>
              <w:rPr>
                <w:rFonts w:hint="eastAsia"/>
                <w:color w:val="auto"/>
                <w:highlight w:val="none"/>
              </w:rPr>
            </w:pPr>
          </w:p>
        </w:tc>
        <w:tc>
          <w:tcPr>
            <w:tcW w:w="2294" w:type="dxa"/>
            <w:tcBorders>
              <w:bottom w:val="single" w:color="auto" w:sz="12" w:space="0"/>
            </w:tcBorders>
            <w:vAlign w:val="center"/>
          </w:tcPr>
          <w:p>
            <w:pPr>
              <w:adjustRightInd w:val="0"/>
              <w:snapToGrid w:val="0"/>
              <w:jc w:val="center"/>
              <w:rPr>
                <w:rFonts w:hint="eastAsia"/>
                <w:color w:val="auto"/>
                <w:highlight w:val="none"/>
              </w:rPr>
            </w:pPr>
            <w:r>
              <w:rPr>
                <w:rFonts w:hint="eastAsia" w:ascii="宋体" w:hAnsi="宋体" w:cs="宋体"/>
                <w:color w:val="auto"/>
                <w:szCs w:val="21"/>
                <w:highlight w:val="none"/>
              </w:rPr>
              <w:t>见《投标文件》第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页至</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w:t>
            </w:r>
          </w:p>
        </w:tc>
        <w:tc>
          <w:tcPr>
            <w:tcW w:w="701" w:type="dxa"/>
            <w:tcBorders>
              <w:bottom w:val="single" w:color="auto" w:sz="12" w:space="0"/>
            </w:tcBorders>
            <w:vAlign w:val="top"/>
          </w:tcPr>
          <w:p>
            <w:pPr>
              <w:spacing w:line="360" w:lineRule="auto"/>
              <w:jc w:val="center"/>
              <w:rPr>
                <w:rFonts w:hint="eastAsia"/>
                <w:color w:val="auto"/>
                <w:highlight w:val="none"/>
              </w:rPr>
            </w:pPr>
          </w:p>
        </w:tc>
        <w:tc>
          <w:tcPr>
            <w:tcW w:w="701" w:type="dxa"/>
            <w:tcBorders>
              <w:bottom w:val="single" w:color="auto" w:sz="12" w:space="0"/>
            </w:tcBorders>
            <w:vAlign w:val="top"/>
          </w:tcPr>
          <w:p>
            <w:pPr>
              <w:spacing w:line="360" w:lineRule="auto"/>
              <w:jc w:val="center"/>
              <w:rPr>
                <w:rFonts w:hint="eastAsia"/>
                <w:color w:val="auto"/>
                <w:highlight w:val="none"/>
              </w:rPr>
            </w:pPr>
          </w:p>
        </w:tc>
        <w:tc>
          <w:tcPr>
            <w:tcW w:w="1786" w:type="dxa"/>
            <w:tcBorders>
              <w:bottom w:val="single" w:color="auto" w:sz="12" w:space="0"/>
              <w:right w:val="single" w:color="auto" w:sz="12" w:space="0"/>
            </w:tcBorders>
            <w:vAlign w:val="center"/>
          </w:tcPr>
          <w:p>
            <w:pPr>
              <w:spacing w:line="360" w:lineRule="auto"/>
              <w:jc w:val="center"/>
              <w:rPr>
                <w:rFonts w:hint="eastAsia"/>
                <w:color w:val="auto"/>
                <w:highlight w:val="none"/>
              </w:rPr>
            </w:pPr>
          </w:p>
        </w:tc>
      </w:tr>
    </w:tbl>
    <w:p>
      <w:pPr>
        <w:spacing w:line="360" w:lineRule="auto"/>
        <w:ind w:left="420"/>
        <w:rPr>
          <w:rFonts w:hint="eastAsia"/>
          <w:b/>
          <w:color w:val="auto"/>
          <w:highlight w:val="none"/>
        </w:rPr>
      </w:pPr>
      <w:r>
        <w:rPr>
          <w:rFonts w:hint="eastAsia"/>
          <w:b/>
          <w:color w:val="auto"/>
          <w:highlight w:val="none"/>
        </w:rPr>
        <w:t>备注：</w:t>
      </w:r>
    </w:p>
    <w:p>
      <w:pPr>
        <w:numPr>
          <w:ilvl w:val="0"/>
          <w:numId w:val="161"/>
        </w:numPr>
        <w:spacing w:line="360" w:lineRule="auto"/>
        <w:ind w:left="425" w:leftChars="0" w:hanging="425" w:firstLineChars="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本表中的“对应投标文件页码”栏填写相应的复印件所在投标文件中的页码范围，以便评审时核对。</w:t>
      </w:r>
    </w:p>
    <w:p>
      <w:pPr>
        <w:numPr>
          <w:ilvl w:val="0"/>
          <w:numId w:val="161"/>
        </w:numPr>
        <w:spacing w:line="360" w:lineRule="auto"/>
        <w:ind w:left="425" w:leftChars="0" w:hanging="425" w:firstLineChars="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所有拟提交备查的原件应装在一个带锁扣或绳扣的文件袋（牛皮纸质或塑料材质均可）内并附列清单明细一式两份，以便交接时核对。</w:t>
      </w:r>
    </w:p>
    <w:p>
      <w:pPr>
        <w:numPr>
          <w:ilvl w:val="0"/>
          <w:numId w:val="161"/>
        </w:numPr>
        <w:spacing w:line="360" w:lineRule="auto"/>
        <w:ind w:left="425" w:leftChars="0" w:hanging="425" w:firstLineChars="0"/>
        <w:rPr>
          <w:rFonts w:hint="eastAsia" w:ascii="宋体" w:hAnsi="宋体" w:eastAsia="宋体" w:cs="宋体"/>
          <w:b/>
          <w:bCs w:val="0"/>
          <w:color w:val="auto"/>
          <w:highlight w:val="none"/>
        </w:rPr>
      </w:pPr>
      <w:r>
        <w:rPr>
          <w:rFonts w:hint="eastAsia" w:ascii="宋体" w:hAnsi="宋体" w:eastAsia="宋体" w:cs="宋体"/>
          <w:b/>
          <w:bCs w:val="0"/>
          <w:color w:val="auto"/>
          <w:highlight w:val="none"/>
          <w:u w:val="double"/>
        </w:rPr>
        <w:t>评审内容中所要求提交“原件”的应独立封装，并内附“资料原件提交清单”（详见第七章投标文件格式），评标结束当日退回，如未提供原件的，该项评分为0分。“资料原件提交清单”请按要求提交，如因未提交产生的不利影响，由投标人自行承担。</w:t>
      </w:r>
    </w:p>
    <w:p>
      <w:pPr>
        <w:spacing w:line="360" w:lineRule="auto"/>
        <w:ind w:left="420"/>
        <w:rPr>
          <w:rFonts w:hint="eastAsia"/>
          <w:b/>
          <w:color w:val="auto"/>
          <w:highlight w:val="none"/>
        </w:rPr>
      </w:pPr>
    </w:p>
    <w:p>
      <w:pPr>
        <w:spacing w:line="500" w:lineRule="exact"/>
        <w:rPr>
          <w:rFonts w:hint="eastAsia" w:ascii="宋体" w:hAnsi="宋体"/>
          <w:color w:val="auto"/>
          <w:highlight w:val="none"/>
          <w:u w:val="single"/>
        </w:rPr>
      </w:pPr>
      <w:r>
        <w:rPr>
          <w:rFonts w:hint="eastAsia"/>
          <w:color w:val="auto"/>
          <w:spacing w:val="4"/>
          <w:highlight w:val="none"/>
        </w:rPr>
        <w:t>投标人名称（盖公章）：</w:t>
      </w:r>
      <w:r>
        <w:rPr>
          <w:rFonts w:hint="eastAsia"/>
          <w:color w:val="auto"/>
          <w:spacing w:val="4"/>
          <w:highlight w:val="none"/>
          <w:u w:val="single"/>
        </w:rPr>
        <w:t xml:space="preserve">                             </w:t>
      </w:r>
    </w:p>
    <w:p>
      <w:pPr>
        <w:rPr>
          <w:rFonts w:hint="eastAsia"/>
          <w:color w:val="auto"/>
          <w:spacing w:val="4"/>
          <w:highlight w:val="none"/>
        </w:rPr>
      </w:pPr>
    </w:p>
    <w:p>
      <w:pPr>
        <w:spacing w:line="440" w:lineRule="exact"/>
        <w:rPr>
          <w:rFonts w:hint="eastAsia" w:ascii="仿宋_GB2312" w:eastAsia="仿宋_GB2312" w:cs="仿宋_GB2312"/>
          <w:color w:val="auto"/>
          <w:spacing w:val="6"/>
          <w:sz w:val="30"/>
          <w:szCs w:val="30"/>
          <w:highlight w:val="none"/>
        </w:rPr>
      </w:pPr>
      <w:r>
        <w:rPr>
          <w:rFonts w:hint="eastAsia" w:ascii="宋体"/>
          <w:color w:val="auto"/>
          <w:highlight w:val="none"/>
        </w:rPr>
        <w:t>法定代表人或</w:t>
      </w:r>
      <w:r>
        <w:rPr>
          <w:rFonts w:hint="eastAsia" w:ascii="宋体" w:hAnsi="宋体"/>
          <w:color w:val="auto"/>
          <w:highlight w:val="none"/>
        </w:rPr>
        <w:t>投标人授权代表（签名或盖章）：</w:t>
      </w:r>
      <w:r>
        <w:rPr>
          <w:color w:val="auto"/>
          <w:spacing w:val="4"/>
          <w:highlight w:val="none"/>
          <w:u w:val="single"/>
        </w:rPr>
        <w:t xml:space="preserve">             </w:t>
      </w:r>
      <w:r>
        <w:rPr>
          <w:color w:val="auto"/>
          <w:spacing w:val="4"/>
          <w:highlight w:val="none"/>
        </w:rPr>
        <w:t xml:space="preserve"> </w:t>
      </w:r>
      <w:r>
        <w:rPr>
          <w:rFonts w:hint="eastAsia"/>
          <w:color w:val="auto"/>
          <w:spacing w:val="4"/>
          <w:highlight w:val="none"/>
        </w:rPr>
        <w:t xml:space="preserve">    日期</w:t>
      </w:r>
      <w:r>
        <w:rPr>
          <w:color w:val="auto"/>
          <w:spacing w:val="4"/>
          <w:highlight w:val="none"/>
          <w:u w:val="single"/>
        </w:rPr>
        <w:t xml:space="preserve">         </w:t>
      </w:r>
    </w:p>
    <w:p>
      <w:pPr>
        <w:numPr>
          <w:ilvl w:val="0"/>
          <w:numId w:val="143"/>
        </w:numPr>
        <w:spacing w:line="440" w:lineRule="exact"/>
        <w:rPr>
          <w:rFonts w:hint="eastAsia" w:ascii="Arial" w:hAnsi="Arial" w:eastAsia="黑体" w:cs="Times New Roman"/>
          <w:b w:val="0"/>
          <w:bCs w:val="0"/>
          <w:color w:val="auto"/>
          <w:kern w:val="2"/>
          <w:sz w:val="32"/>
          <w:szCs w:val="32"/>
          <w:highlight w:val="none"/>
          <w:lang w:val="en-US" w:eastAsia="zh-CN" w:bidi="ar-SA"/>
        </w:rPr>
      </w:pPr>
    </w:p>
    <w:p>
      <w:pPr>
        <w:pStyle w:val="4"/>
        <w:adjustRightInd w:val="0"/>
        <w:snapToGrid w:val="0"/>
        <w:spacing w:before="156" w:beforeLines="50" w:after="156" w:afterLines="50" w:line="360" w:lineRule="auto"/>
        <w:jc w:val="center"/>
        <w:rPr>
          <w:rFonts w:hint="eastAsia" w:ascii="Arial" w:hAnsi="Arial" w:eastAsia="黑体" w:cs="Times New Roman"/>
          <w:b w:val="0"/>
          <w:bCs w:val="0"/>
          <w:color w:val="auto"/>
          <w:kern w:val="2"/>
          <w:sz w:val="32"/>
          <w:szCs w:val="32"/>
          <w:highlight w:val="none"/>
          <w:lang w:val="en-US" w:eastAsia="zh-CN" w:bidi="ar-SA"/>
        </w:rPr>
      </w:pPr>
      <w:r>
        <w:rPr>
          <w:rFonts w:hint="eastAsia" w:ascii="Arial" w:hAnsi="Arial" w:eastAsia="黑体" w:cs="Times New Roman"/>
          <w:b w:val="0"/>
          <w:bCs w:val="0"/>
          <w:color w:val="auto"/>
          <w:kern w:val="2"/>
          <w:sz w:val="32"/>
          <w:szCs w:val="32"/>
          <w:highlight w:val="none"/>
          <w:lang w:val="en-US" w:eastAsia="zh-CN" w:bidi="ar-SA"/>
        </w:rPr>
        <w:t>招标代理服务费承诺书</w:t>
      </w:r>
      <w:bookmarkEnd w:id="147"/>
    </w:p>
    <w:p>
      <w:pPr>
        <w:spacing w:line="520" w:lineRule="exact"/>
        <w:ind w:left="315"/>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广东中采招标有限公司:</w:t>
      </w:r>
    </w:p>
    <w:p>
      <w:pPr>
        <w:spacing w:line="360" w:lineRule="auto"/>
        <w:ind w:left="315" w:leftChars="15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本公司</w:t>
      </w:r>
      <w:r>
        <w:rPr>
          <w:rFonts w:hint="eastAsia" w:ascii="宋体" w:hAnsi="宋体" w:eastAsia="宋体" w:cs="宋体"/>
          <w:color w:val="auto"/>
          <w:sz w:val="21"/>
          <w:szCs w:val="21"/>
          <w:highlight w:val="none"/>
          <w:u w:val="single"/>
        </w:rPr>
        <w:t xml:space="preserve">       (投标人名称)      </w:t>
      </w:r>
      <w:r>
        <w:rPr>
          <w:rFonts w:hint="eastAsia" w:ascii="宋体" w:hAnsi="宋体" w:eastAsia="宋体" w:cs="宋体"/>
          <w:color w:val="auto"/>
          <w:sz w:val="21"/>
          <w:szCs w:val="21"/>
          <w:highlight w:val="none"/>
        </w:rPr>
        <w:t>在参加在贵公司举行的</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lang w:eastAsia="zh-CN"/>
        </w:rPr>
        <w:t>GDZC-21GZ198</w:t>
      </w:r>
      <w:r>
        <w:rPr>
          <w:rFonts w:hint="eastAsia" w:ascii="宋体" w:hAnsi="宋体" w:eastAsia="宋体" w:cs="宋体"/>
          <w:color w:val="auto"/>
          <w:sz w:val="21"/>
          <w:szCs w:val="21"/>
          <w:highlight w:val="none"/>
        </w:rPr>
        <w:t>)的招标中如获中标，我公司保证按照招标文件规定缴纳“招标代理服务费”后，凭领取人身份证复印件并加盖公章领取《中标通知书》。</w:t>
      </w:r>
    </w:p>
    <w:p>
      <w:pPr>
        <w:spacing w:line="360" w:lineRule="auto"/>
        <w:ind w:left="315" w:leftChars="15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如我方违反上款承诺，愿凭贵公司开出的相关通知，同意广东中采招标有限公司办理支付手续，扣除我司提交的全部投标保证金，并愿承担全部由此引起的法律责任。</w:t>
      </w:r>
    </w:p>
    <w:p>
      <w:pPr>
        <w:spacing w:line="360" w:lineRule="auto"/>
        <w:ind w:left="150" w:firstLine="200"/>
        <w:rPr>
          <w:rFonts w:hint="eastAsia" w:ascii="宋体" w:hAnsi="宋体" w:eastAsia="宋体" w:cs="宋体"/>
          <w:color w:val="auto"/>
          <w:sz w:val="21"/>
          <w:szCs w:val="21"/>
          <w:highlight w:val="none"/>
        </w:rPr>
      </w:pPr>
    </w:p>
    <w:p>
      <w:pPr>
        <w:spacing w:line="52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p>
    <w:p>
      <w:pPr>
        <w:spacing w:line="520" w:lineRule="exact"/>
        <w:ind w:left="315"/>
        <w:rPr>
          <w:rFonts w:hint="eastAsia" w:ascii="宋体" w:hAnsi="宋体" w:eastAsia="宋体" w:cs="宋体"/>
          <w:color w:val="auto"/>
          <w:sz w:val="21"/>
          <w:szCs w:val="21"/>
          <w:highlight w:val="none"/>
        </w:rPr>
      </w:pPr>
    </w:p>
    <w:p>
      <w:pPr>
        <w:spacing w:line="520" w:lineRule="exact"/>
        <w:ind w:left="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spacing w:line="520" w:lineRule="exact"/>
        <w:ind w:left="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投标人地址:</w:t>
      </w:r>
    </w:p>
    <w:p>
      <w:pPr>
        <w:spacing w:line="520" w:lineRule="exact"/>
        <w:ind w:left="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w:t>
      </w:r>
    </w:p>
    <w:p>
      <w:pPr>
        <w:spacing w:line="520" w:lineRule="exact"/>
        <w:ind w:left="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p>
    <w:p>
      <w:pPr>
        <w:spacing w:line="520" w:lineRule="exact"/>
        <w:ind w:left="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法定代表人或投标人授权代表（签名或盖章）：</w:t>
      </w:r>
    </w:p>
    <w:p>
      <w:pPr>
        <w:spacing w:line="520" w:lineRule="exact"/>
        <w:ind w:left="31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签署日期:</w:t>
      </w:r>
    </w:p>
    <w:p>
      <w:pPr>
        <w:spacing w:line="520" w:lineRule="exact"/>
        <w:ind w:left="315"/>
        <w:rPr>
          <w:rFonts w:hint="eastAsia" w:ascii="宋体" w:hAnsi="宋体" w:eastAsia="宋体" w:cs="宋体"/>
          <w:color w:val="auto"/>
          <w:sz w:val="21"/>
          <w:szCs w:val="21"/>
          <w:highlight w:val="none"/>
        </w:rPr>
      </w:pPr>
    </w:p>
    <w:p>
      <w:pPr>
        <w:spacing w:line="520" w:lineRule="exact"/>
        <w:rPr>
          <w:rFonts w:hint="eastAsia" w:ascii="宋体" w:hAnsi="宋体" w:eastAsia="宋体" w:cs="宋体"/>
          <w:color w:val="auto"/>
          <w:sz w:val="21"/>
          <w:szCs w:val="21"/>
          <w:highlight w:val="none"/>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numPr>
          <w:ilvl w:val="0"/>
          <w:numId w:val="143"/>
        </w:numPr>
        <w:spacing w:line="440" w:lineRule="exact"/>
        <w:rPr>
          <w:rFonts w:hint="eastAsia" w:ascii="宋体" w:hAnsi="宋体" w:eastAsia="宋体" w:cs="宋体"/>
          <w:color w:val="auto"/>
          <w:sz w:val="21"/>
          <w:szCs w:val="21"/>
          <w:highlight w:val="none"/>
        </w:rPr>
      </w:pPr>
    </w:p>
    <w:p>
      <w:pPr>
        <w:jc w:val="center"/>
        <w:rPr>
          <w:rFonts w:hint="eastAsia" w:ascii="Arial" w:hAnsi="Arial" w:eastAsia="黑体" w:cs="Times New Roman"/>
          <w:b w:val="0"/>
          <w:bCs w:val="0"/>
          <w:color w:val="auto"/>
          <w:kern w:val="2"/>
          <w:sz w:val="32"/>
          <w:szCs w:val="32"/>
          <w:highlight w:val="none"/>
          <w:lang w:val="en-US" w:eastAsia="zh-CN" w:bidi="ar-SA"/>
        </w:rPr>
      </w:pPr>
      <w:r>
        <w:rPr>
          <w:rFonts w:hint="eastAsia" w:ascii="Arial" w:hAnsi="Arial" w:eastAsia="黑体" w:cs="Times New Roman"/>
          <w:b w:val="0"/>
          <w:bCs w:val="0"/>
          <w:color w:val="auto"/>
          <w:kern w:val="2"/>
          <w:sz w:val="32"/>
          <w:szCs w:val="32"/>
          <w:highlight w:val="none"/>
          <w:lang w:val="en-US" w:eastAsia="zh-CN" w:bidi="ar-SA"/>
        </w:rPr>
        <w:t>企业采购保证金退付委托书</w:t>
      </w:r>
    </w:p>
    <w:p>
      <w:pPr>
        <w:jc w:val="both"/>
        <w:rPr>
          <w:rFonts w:ascii="宋体" w:hAnsi="宋体" w:eastAsia="宋体"/>
          <w:b/>
          <w:color w:val="auto"/>
          <w:sz w:val="36"/>
          <w:szCs w:val="36"/>
          <w:highlight w:val="none"/>
        </w:rPr>
      </w:pPr>
    </w:p>
    <w:p>
      <w:pPr>
        <w:rPr>
          <w:rFonts w:ascii="宋体" w:hAnsi="宋体" w:eastAsia="宋体"/>
          <w:color w:val="auto"/>
          <w:sz w:val="28"/>
          <w:szCs w:val="28"/>
          <w:highlight w:val="none"/>
        </w:rPr>
      </w:pPr>
      <w:r>
        <w:rPr>
          <w:rFonts w:hint="eastAsia" w:ascii="宋体" w:hAnsi="宋体" w:eastAsia="宋体"/>
          <w:color w:val="auto"/>
          <w:sz w:val="28"/>
          <w:szCs w:val="28"/>
          <w:highlight w:val="none"/>
        </w:rPr>
        <w:t>佛山市南海公有资产流转服务有限公司：</w:t>
      </w:r>
    </w:p>
    <w:p>
      <w:pPr>
        <w:ind w:firstLine="560" w:firstLineChars="200"/>
        <w:rPr>
          <w:rFonts w:ascii="宋体" w:hAnsi="宋体" w:eastAsia="宋体"/>
          <w:color w:val="auto"/>
          <w:sz w:val="28"/>
          <w:szCs w:val="28"/>
          <w:highlight w:val="none"/>
        </w:rPr>
      </w:pPr>
      <w:r>
        <w:rPr>
          <w:rFonts w:hint="eastAsia" w:ascii="宋体" w:hAnsi="宋体" w:eastAsia="宋体"/>
          <w:color w:val="auto"/>
          <w:sz w:val="28"/>
          <w:szCs w:val="28"/>
          <w:highlight w:val="none"/>
        </w:rPr>
        <w:t>兹委托贵司将</w:t>
      </w:r>
      <w:r>
        <w:rPr>
          <w:rFonts w:hint="eastAsia" w:ascii="宋体" w:hAnsi="宋体" w:eastAsia="宋体"/>
          <w:color w:val="auto"/>
          <w:sz w:val="28"/>
          <w:szCs w:val="28"/>
          <w:highlight w:val="none"/>
          <w:lang w:eastAsia="zh-CN"/>
        </w:rPr>
        <w:t>招标人</w:t>
      </w:r>
      <w:r>
        <w:rPr>
          <w:rFonts w:hint="eastAsia" w:ascii="宋体" w:hAnsi="宋体" w:eastAsia="宋体"/>
          <w:color w:val="auto"/>
          <w:sz w:val="28"/>
          <w:szCs w:val="28"/>
          <w:highlight w:val="none"/>
        </w:rPr>
        <w:t>：</w:t>
      </w:r>
      <w:r>
        <w:rPr>
          <w:rFonts w:hint="eastAsia" w:ascii="宋体" w:hAnsi="宋体" w:eastAsia="宋体"/>
          <w:color w:val="auto"/>
          <w:sz w:val="28"/>
          <w:szCs w:val="28"/>
          <w:highlight w:val="none"/>
          <w:u w:val="single"/>
        </w:rPr>
        <w:t>佛山市千灯湖创投小镇投资开发有限公司</w:t>
      </w:r>
      <w:r>
        <w:rPr>
          <w:rFonts w:hint="eastAsia" w:ascii="宋体" w:hAnsi="宋体" w:eastAsia="宋体"/>
          <w:color w:val="auto"/>
          <w:sz w:val="28"/>
          <w:szCs w:val="28"/>
          <w:highlight w:val="none"/>
        </w:rPr>
        <w:t>的企业采购项目“</w:t>
      </w:r>
      <w:r>
        <w:rPr>
          <w:rFonts w:hint="eastAsia" w:ascii="宋体" w:hAnsi="宋体" w:eastAsia="宋体"/>
          <w:color w:val="auto"/>
          <w:sz w:val="28"/>
          <w:szCs w:val="28"/>
          <w:highlight w:val="none"/>
          <w:u w:val="single"/>
        </w:rPr>
        <w:t>千灯湖创投小镇核心区物业管理服务</w:t>
      </w:r>
      <w:r>
        <w:rPr>
          <w:rFonts w:hint="eastAsia" w:ascii="宋体" w:hAnsi="宋体" w:eastAsia="宋体"/>
          <w:color w:val="auto"/>
          <w:sz w:val="28"/>
          <w:szCs w:val="28"/>
          <w:highlight w:val="none"/>
        </w:rPr>
        <w:t>”（项目编号：</w:t>
      </w:r>
      <w:r>
        <w:rPr>
          <w:rFonts w:hint="eastAsia" w:ascii="宋体" w:hAnsi="宋体" w:eastAsia="宋体"/>
          <w:color w:val="auto"/>
          <w:sz w:val="28"/>
          <w:szCs w:val="28"/>
          <w:highlight w:val="none"/>
          <w:u w:val="single"/>
        </w:rPr>
        <w:t>GDZC-21GZ198）</w:t>
      </w:r>
    </w:p>
    <w:p>
      <w:pPr>
        <w:ind w:firstLine="560" w:firstLineChars="200"/>
        <w:rPr>
          <w:rFonts w:ascii="宋体" w:hAnsi="宋体" w:eastAsia="宋体"/>
          <w:color w:val="auto"/>
          <w:sz w:val="28"/>
          <w:szCs w:val="28"/>
          <w:highlight w:val="none"/>
        </w:rPr>
      </w:pPr>
      <w:r>
        <w:rPr>
          <w:rFonts w:hint="eastAsia" w:ascii="宋体" w:hAnsi="宋体" w:eastAsia="宋体"/>
          <w:color w:val="auto"/>
          <w:sz w:val="28"/>
          <w:szCs w:val="28"/>
          <w:highlight w:val="none"/>
        </w:rPr>
        <w:t>项目</w:t>
      </w:r>
      <w:r>
        <w:rPr>
          <w:rFonts w:hint="eastAsia" w:ascii="宋体" w:hAnsi="宋体" w:eastAsia="宋体"/>
          <w:color w:val="auto"/>
          <w:sz w:val="28"/>
          <w:szCs w:val="28"/>
          <w:highlight w:val="none"/>
          <w:u w:val="single"/>
        </w:rPr>
        <w:t>保证金</w:t>
      </w:r>
      <w:r>
        <w:rPr>
          <w:rFonts w:hint="eastAsia" w:ascii="宋体" w:hAnsi="宋体" w:eastAsia="宋体"/>
          <w:color w:val="auto"/>
          <w:sz w:val="28"/>
          <w:szCs w:val="28"/>
          <w:highlight w:val="none"/>
        </w:rPr>
        <w:t>：人民币大写:</w:t>
      </w:r>
      <w:r>
        <w:rPr>
          <w:rFonts w:hint="eastAsia" w:ascii="宋体" w:hAnsi="宋体" w:eastAsia="宋体"/>
          <w:color w:val="auto"/>
          <w:sz w:val="28"/>
          <w:szCs w:val="28"/>
          <w:highlight w:val="none"/>
          <w:u w:val="single"/>
        </w:rPr>
        <w:t xml:space="preserve">                  </w:t>
      </w:r>
      <w:r>
        <w:rPr>
          <w:rFonts w:hint="eastAsia" w:ascii="宋体" w:hAnsi="宋体" w:eastAsia="宋体"/>
          <w:color w:val="auto"/>
          <w:sz w:val="28"/>
          <w:szCs w:val="28"/>
          <w:highlight w:val="none"/>
        </w:rPr>
        <w:t>（小写：￥</w:t>
      </w:r>
      <w:r>
        <w:rPr>
          <w:rFonts w:hint="eastAsia" w:ascii="宋体" w:hAnsi="宋体" w:eastAsia="宋体"/>
          <w:color w:val="auto"/>
          <w:sz w:val="28"/>
          <w:szCs w:val="28"/>
          <w:highlight w:val="none"/>
          <w:u w:val="single"/>
        </w:rPr>
        <w:t xml:space="preserve">          </w:t>
      </w:r>
      <w:r>
        <w:rPr>
          <w:rFonts w:hint="eastAsia" w:ascii="宋体" w:hAnsi="宋体" w:eastAsia="宋体"/>
          <w:color w:val="auto"/>
          <w:sz w:val="28"/>
          <w:szCs w:val="28"/>
          <w:highlight w:val="none"/>
        </w:rPr>
        <w:t>）退回以下帐户：</w:t>
      </w:r>
    </w:p>
    <w:p>
      <w:pPr>
        <w:rPr>
          <w:rFonts w:ascii="宋体" w:hAnsi="宋体" w:eastAsia="宋体"/>
          <w:color w:val="auto"/>
          <w:sz w:val="28"/>
          <w:szCs w:val="28"/>
          <w:highlight w:val="none"/>
          <w:u w:val="single"/>
        </w:rPr>
      </w:pPr>
      <w:r>
        <w:rPr>
          <w:rFonts w:hint="eastAsia" w:ascii="宋体" w:hAnsi="宋体" w:eastAsia="宋体"/>
          <w:color w:val="auto"/>
          <w:sz w:val="28"/>
          <w:szCs w:val="28"/>
          <w:highlight w:val="none"/>
        </w:rPr>
        <w:t xml:space="preserve">户名： </w:t>
      </w:r>
      <w:r>
        <w:rPr>
          <w:rFonts w:hint="eastAsia" w:ascii="宋体" w:hAnsi="宋体" w:eastAsia="宋体"/>
          <w:color w:val="auto"/>
          <w:sz w:val="28"/>
          <w:szCs w:val="28"/>
          <w:highlight w:val="none"/>
          <w:u w:val="single"/>
        </w:rPr>
        <w:t xml:space="preserve">                     （与缴款人或者单位一致）</w:t>
      </w:r>
    </w:p>
    <w:p>
      <w:pPr>
        <w:rPr>
          <w:rFonts w:ascii="宋体" w:hAnsi="宋体" w:eastAsia="宋体"/>
          <w:color w:val="auto"/>
          <w:sz w:val="28"/>
          <w:szCs w:val="28"/>
          <w:highlight w:val="none"/>
          <w:u w:val="single"/>
        </w:rPr>
      </w:pPr>
      <w:r>
        <w:rPr>
          <w:rFonts w:hint="eastAsia" w:ascii="宋体" w:hAnsi="宋体" w:eastAsia="宋体"/>
          <w:color w:val="auto"/>
          <w:sz w:val="28"/>
          <w:szCs w:val="28"/>
          <w:highlight w:val="none"/>
        </w:rPr>
        <w:t xml:space="preserve">账号： </w:t>
      </w:r>
      <w:r>
        <w:rPr>
          <w:rFonts w:hint="eastAsia" w:ascii="宋体" w:hAnsi="宋体" w:eastAsia="宋体"/>
          <w:color w:val="auto"/>
          <w:sz w:val="28"/>
          <w:szCs w:val="28"/>
          <w:highlight w:val="none"/>
          <w:u w:val="single"/>
        </w:rPr>
        <w:t xml:space="preserve">                                             </w:t>
      </w:r>
    </w:p>
    <w:p>
      <w:pPr>
        <w:rPr>
          <w:rFonts w:ascii="宋体" w:hAnsi="宋体" w:eastAsia="宋体"/>
          <w:color w:val="auto"/>
          <w:sz w:val="28"/>
          <w:szCs w:val="28"/>
          <w:highlight w:val="none"/>
          <w:u w:val="single"/>
        </w:rPr>
      </w:pPr>
      <w:r>
        <w:rPr>
          <w:rFonts w:hint="eastAsia" w:ascii="宋体" w:hAnsi="宋体" w:eastAsia="宋体"/>
          <w:color w:val="auto"/>
          <w:sz w:val="28"/>
          <w:szCs w:val="28"/>
          <w:highlight w:val="none"/>
        </w:rPr>
        <w:t>开户银行：</w:t>
      </w:r>
      <w:r>
        <w:rPr>
          <w:rFonts w:hint="eastAsia" w:ascii="宋体" w:hAnsi="宋体" w:eastAsia="宋体"/>
          <w:color w:val="auto"/>
          <w:sz w:val="28"/>
          <w:szCs w:val="28"/>
          <w:highlight w:val="none"/>
          <w:u w:val="single"/>
        </w:rPr>
        <w:t xml:space="preserve">                                          </w:t>
      </w:r>
    </w:p>
    <w:p>
      <w:pPr>
        <w:rPr>
          <w:rFonts w:ascii="宋体" w:hAnsi="宋体" w:eastAsia="宋体"/>
          <w:color w:val="auto"/>
          <w:sz w:val="28"/>
          <w:szCs w:val="28"/>
          <w:highlight w:val="none"/>
          <w:u w:val="single"/>
        </w:rPr>
      </w:pPr>
      <w:r>
        <w:rPr>
          <w:rFonts w:hint="eastAsia" w:ascii="宋体" w:hAnsi="宋体" w:eastAsia="宋体"/>
          <w:color w:val="auto"/>
          <w:sz w:val="28"/>
          <w:szCs w:val="28"/>
          <w:highlight w:val="none"/>
        </w:rPr>
        <w:t>联系方式：</w:t>
      </w:r>
      <w:r>
        <w:rPr>
          <w:rFonts w:hint="eastAsia" w:ascii="宋体" w:hAnsi="宋体" w:eastAsia="宋体"/>
          <w:color w:val="auto"/>
          <w:sz w:val="28"/>
          <w:szCs w:val="28"/>
          <w:highlight w:val="none"/>
          <w:u w:val="single"/>
        </w:rPr>
        <w:t xml:space="preserve">                                          </w:t>
      </w:r>
    </w:p>
    <w:p>
      <w:pPr>
        <w:ind w:firstLine="560" w:firstLineChars="200"/>
        <w:rPr>
          <w:rFonts w:ascii="宋体" w:hAnsi="宋体" w:eastAsia="宋体"/>
          <w:color w:val="auto"/>
          <w:sz w:val="28"/>
          <w:szCs w:val="28"/>
          <w:highlight w:val="none"/>
        </w:rPr>
      </w:pPr>
      <w:r>
        <w:rPr>
          <w:rFonts w:hint="eastAsia" w:ascii="宋体" w:hAnsi="宋体" w:eastAsia="宋体"/>
          <w:color w:val="auto"/>
          <w:sz w:val="28"/>
          <w:szCs w:val="28"/>
          <w:highlight w:val="none"/>
        </w:rPr>
        <w:t>此委托退款账号及户名经本人（单位）核对无误，如有差异导致款项错退，本（单位）人承担其经济责任。</w:t>
      </w:r>
    </w:p>
    <w:p>
      <w:pPr>
        <w:ind w:firstLine="560" w:firstLineChars="200"/>
        <w:rPr>
          <w:rFonts w:ascii="宋体" w:hAnsi="宋体" w:eastAsia="宋体"/>
          <w:color w:val="auto"/>
          <w:sz w:val="28"/>
          <w:szCs w:val="28"/>
          <w:highlight w:val="none"/>
        </w:rPr>
      </w:pPr>
      <w:r>
        <w:rPr>
          <w:rFonts w:hint="eastAsia" w:ascii="宋体" w:hAnsi="宋体" w:eastAsia="宋体"/>
          <w:color w:val="auto"/>
          <w:sz w:val="28"/>
          <w:szCs w:val="28"/>
          <w:highlight w:val="none"/>
        </w:rPr>
        <w:t>特此委托</w:t>
      </w:r>
    </w:p>
    <w:p>
      <w:pPr>
        <w:rPr>
          <w:rFonts w:ascii="宋体" w:hAnsi="宋体" w:eastAsia="宋体"/>
          <w:color w:val="auto"/>
          <w:sz w:val="28"/>
          <w:szCs w:val="28"/>
          <w:highlight w:val="none"/>
        </w:rPr>
      </w:pPr>
      <w:r>
        <w:rPr>
          <w:rFonts w:hint="eastAsia" w:ascii="宋体" w:hAnsi="宋体" w:eastAsia="宋体"/>
          <w:color w:val="auto"/>
          <w:sz w:val="28"/>
          <w:szCs w:val="28"/>
          <w:highlight w:val="none"/>
        </w:rPr>
        <w:t xml:space="preserve">                                        </w:t>
      </w:r>
    </w:p>
    <w:p>
      <w:pPr>
        <w:ind w:right="560" w:firstLine="3500" w:firstLineChars="1250"/>
        <w:rPr>
          <w:rFonts w:ascii="宋体" w:hAnsi="宋体" w:eastAsia="宋体"/>
          <w:color w:val="auto"/>
          <w:sz w:val="28"/>
          <w:szCs w:val="28"/>
          <w:highlight w:val="none"/>
        </w:rPr>
      </w:pPr>
      <w:r>
        <w:rPr>
          <w:rFonts w:hint="eastAsia" w:ascii="宋体" w:hAnsi="宋体" w:eastAsia="宋体"/>
          <w:color w:val="auto"/>
          <w:sz w:val="28"/>
          <w:szCs w:val="28"/>
          <w:highlight w:val="none"/>
        </w:rPr>
        <w:t>单位（单位盖章）：</w:t>
      </w:r>
    </w:p>
    <w:p>
      <w:pPr>
        <w:ind w:right="560" w:firstLine="3640" w:firstLineChars="1300"/>
        <w:rPr>
          <w:rFonts w:ascii="宋体" w:hAnsi="宋体" w:eastAsia="宋体"/>
          <w:color w:val="auto"/>
          <w:sz w:val="28"/>
          <w:szCs w:val="28"/>
          <w:highlight w:val="none"/>
        </w:rPr>
      </w:pPr>
      <w:r>
        <w:rPr>
          <w:rFonts w:hint="eastAsia" w:ascii="宋体" w:hAnsi="宋体" w:eastAsia="宋体"/>
          <w:color w:val="auto"/>
          <w:sz w:val="28"/>
          <w:szCs w:val="28"/>
          <w:highlight w:val="none"/>
        </w:rPr>
        <w:t xml:space="preserve">   </w:t>
      </w:r>
    </w:p>
    <w:p>
      <w:pP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 xml:space="preserve">                                年     月     日</w:t>
      </w:r>
    </w:p>
    <w:p>
      <w:pPr>
        <w:rPr>
          <w:rFonts w:hint="eastAsia" w:ascii="宋体" w:hAnsi="宋体" w:eastAsia="宋体" w:cs="宋体"/>
          <w:color w:val="auto"/>
          <w:sz w:val="21"/>
          <w:szCs w:val="21"/>
          <w:highlight w:val="none"/>
        </w:rPr>
      </w:pPr>
    </w:p>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5"/>
      </w:rPr>
    </w:pPr>
    <w:r>
      <w:fldChar w:fldCharType="begin"/>
    </w:r>
    <w:r>
      <w:rPr>
        <w:rStyle w:val="25"/>
      </w:rPr>
      <w:instrText xml:space="preserve">PAGE  </w:instrText>
    </w:r>
    <w:r>
      <w:fldChar w:fldCharType="separate"/>
    </w:r>
    <w:r>
      <w:rPr>
        <w:rStyle w:val="25"/>
      </w:rPr>
      <w:t>2</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070" w:firstLineChars="115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sfMsoBAACc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vaHEcYsDv/z4fvn5+/LrG1lW&#10;q9dZoT5AjYn3AVPT8NYPuDezH9CZiQ8q2vxFSgTjqO/5qq8cEhH50Xq1XlcYEhibL4jPHp6HCOmd&#10;9JZko6ERB1h05acPkMbUOSVXc/5OG1OGaNxfDsTMHpZ7H3vMVhr2w0Ro79sz8ulx9g11uOqUmPcO&#10;pc1rMhtxNvazcQxRH7qyR7kehDfHhE2U3nKFEXYqjEMr7KYFy1vx+F6yHn6q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u+sfMsoBAACcAwAADgAAAAAAAAABACAAAAAeAQAAZHJzL2Uyb0Rv&#10;Yy54bWxQSwUGAAAAAAYABgBZAQAAWgUAAAAA&#10;">
              <v:fill on="f" focussize="0,0"/>
              <v:stroke on="f"/>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430" w:firstLineChars="135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1D1BcsBAACcAwAADgAAAGRycy9lMm9Eb2MueG1srVNLbtswEN0XyB0I&#10;7mPKXrSC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2JVJoV6DxUmPnlMjcOdG3BvZj+gMxEf2mDSFykRjKO+p4u+cohEpEflqiwLDAmMzRfEZ8/PfYD4&#10;XjpDklHTgAPMuvLjI8QxdU5J1ay7V1rnIWr7lwMxk4el3scekxWH3TAR2rnmhHx6nH1NLa46JfrB&#10;orRpTWYjzMZuNg4+qH2X9yjVA397iNhE7i1VGGGnwji0zG5asLQVf95z1vNPtf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9Q9QXLAQAAnAMAAA4AAAAAAAAAAQAgAAAAHgEAAGRycy9lMm9E&#10;b2MueG1sUEsFBgAAAAAGAAYAWQEAAFsFAAAAAA==&#10;">
              <v:fill on="f" focussize="0,0"/>
              <v:stroke on="f"/>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jc w:val="both"/>
      <w:rPr>
        <w:rFonts w:hint="eastAsia" w:ascii="楷体_GB2312" w:eastAsia="楷体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pPr>
    <w:r>
      <w:rPr>
        <w:rFonts w:ascii="宋体" w:hAnsi="宋体" w:cs="宋体"/>
        <w:sz w:val="24"/>
      </w:rPr>
      <w:drawing>
        <wp:inline distT="0" distB="0" distL="114300" distR="114300">
          <wp:extent cx="457835" cy="411480"/>
          <wp:effectExtent l="0" t="0" r="12065" b="7620"/>
          <wp:docPr id="9" name="图片 2" descr="{9KYQQ}GOZ1{]~8T6VE]_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9KYQQ}GOZ1{]~8T6VE]_3Y"/>
                  <pic:cNvPicPr>
                    <a:picLocks noChangeAspect="1"/>
                  </pic:cNvPicPr>
                </pic:nvPicPr>
                <pic:blipFill>
                  <a:blip r:embed="rId1"/>
                  <a:stretch>
                    <a:fillRect/>
                  </a:stretch>
                </pic:blipFill>
                <pic:spPr>
                  <a:xfrm>
                    <a:off x="0" y="0"/>
                    <a:ext cx="457835" cy="411480"/>
                  </a:xfrm>
                  <a:prstGeom prst="rect">
                    <a:avLst/>
                  </a:prstGeom>
                  <a:noFill/>
                  <a:ln>
                    <a:noFill/>
                  </a:ln>
                </pic:spPr>
              </pic:pic>
            </a:graphicData>
          </a:graphic>
        </wp:inline>
      </w:drawing>
    </w:r>
    <w:r>
      <w:rPr>
        <w:rFonts w:hint="eastAsia" w:ascii="宋体" w:hAnsi="宋体" w:cs="宋体"/>
        <w:sz w:val="24"/>
      </w:rPr>
      <w:t xml:space="preserve"> </w:t>
    </w:r>
    <w:r>
      <w:rPr>
        <w:rFonts w:hint="eastAsia" w:ascii="宋体" w:hAnsi="宋体" w:cs="宋体"/>
      </w:rPr>
      <w:t>广东中采招标有限公司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left"/>
      <w:rPr>
        <w:rFonts w:hint="eastAsia"/>
      </w:rPr>
    </w:pPr>
    <w:r>
      <w:rPr>
        <w:rFonts w:ascii="宋体" w:hAnsi="宋体" w:cs="宋体"/>
        <w:sz w:val="24"/>
      </w:rPr>
      <w:drawing>
        <wp:inline distT="0" distB="0" distL="114300" distR="114300">
          <wp:extent cx="457835" cy="411480"/>
          <wp:effectExtent l="0" t="0" r="12065" b="7620"/>
          <wp:docPr id="10" name="图片 4" descr="{9KYQQ}GOZ1{]~8T6VE]_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9KYQQ}GOZ1{]~8T6VE]_3Y"/>
                  <pic:cNvPicPr>
                    <a:picLocks noChangeAspect="1"/>
                  </pic:cNvPicPr>
                </pic:nvPicPr>
                <pic:blipFill>
                  <a:blip r:embed="rId1"/>
                  <a:stretch>
                    <a:fillRect/>
                  </a:stretch>
                </pic:blipFill>
                <pic:spPr>
                  <a:xfrm>
                    <a:off x="0" y="0"/>
                    <a:ext cx="457835" cy="411480"/>
                  </a:xfrm>
                  <a:prstGeom prst="rect">
                    <a:avLst/>
                  </a:prstGeom>
                  <a:noFill/>
                  <a:ln>
                    <a:noFill/>
                  </a:ln>
                </pic:spPr>
              </pic:pic>
            </a:graphicData>
          </a:graphic>
        </wp:inline>
      </w:drawing>
    </w:r>
    <w:r>
      <w:rPr>
        <w:rFonts w:hint="eastAsia" w:ascii="宋体" w:hAnsi="宋体" w:cs="宋体"/>
      </w:rPr>
      <w:t>广东中采招标有限公司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92FEE"/>
    <w:multiLevelType w:val="singleLevel"/>
    <w:tmpl w:val="81D92FEE"/>
    <w:lvl w:ilvl="0" w:tentative="0">
      <w:start w:val="1"/>
      <w:numFmt w:val="decimal"/>
      <w:lvlText w:val="%1."/>
      <w:lvlJc w:val="left"/>
      <w:pPr>
        <w:ind w:left="425" w:hanging="425"/>
      </w:pPr>
      <w:rPr>
        <w:rFonts w:hint="default"/>
      </w:rPr>
    </w:lvl>
  </w:abstractNum>
  <w:abstractNum w:abstractNumId="1">
    <w:nsid w:val="832382CB"/>
    <w:multiLevelType w:val="singleLevel"/>
    <w:tmpl w:val="832382CB"/>
    <w:lvl w:ilvl="0" w:tentative="0">
      <w:start w:val="1"/>
      <w:numFmt w:val="chineseCounting"/>
      <w:suff w:val="nothing"/>
      <w:lvlText w:val="（%1）"/>
      <w:lvlJc w:val="left"/>
      <w:pPr>
        <w:ind w:left="0" w:firstLine="420"/>
      </w:pPr>
      <w:rPr>
        <w:rFonts w:hint="eastAsia"/>
      </w:rPr>
    </w:lvl>
  </w:abstractNum>
  <w:abstractNum w:abstractNumId="2">
    <w:nsid w:val="84638044"/>
    <w:multiLevelType w:val="singleLevel"/>
    <w:tmpl w:val="84638044"/>
    <w:lvl w:ilvl="0" w:tentative="0">
      <w:start w:val="1"/>
      <w:numFmt w:val="decimal"/>
      <w:lvlText w:val="(%1)"/>
      <w:lvlJc w:val="left"/>
      <w:pPr>
        <w:ind w:left="425" w:hanging="425"/>
      </w:pPr>
      <w:rPr>
        <w:rFonts w:hint="default"/>
      </w:rPr>
    </w:lvl>
  </w:abstractNum>
  <w:abstractNum w:abstractNumId="3">
    <w:nsid w:val="84B736CF"/>
    <w:multiLevelType w:val="singleLevel"/>
    <w:tmpl w:val="84B736CF"/>
    <w:lvl w:ilvl="0" w:tentative="0">
      <w:start w:val="1"/>
      <w:numFmt w:val="decimal"/>
      <w:lvlText w:val="%1."/>
      <w:lvlJc w:val="left"/>
      <w:pPr>
        <w:ind w:left="425" w:hanging="425"/>
      </w:pPr>
      <w:rPr>
        <w:rFonts w:hint="default"/>
      </w:rPr>
    </w:lvl>
  </w:abstractNum>
  <w:abstractNum w:abstractNumId="4">
    <w:nsid w:val="861A93CD"/>
    <w:multiLevelType w:val="singleLevel"/>
    <w:tmpl w:val="861A93CD"/>
    <w:lvl w:ilvl="0" w:tentative="0">
      <w:start w:val="1"/>
      <w:numFmt w:val="decimal"/>
      <w:lvlText w:val="%1."/>
      <w:lvlJc w:val="left"/>
      <w:pPr>
        <w:ind w:left="425" w:hanging="425"/>
      </w:pPr>
      <w:rPr>
        <w:rFonts w:hint="default"/>
      </w:rPr>
    </w:lvl>
  </w:abstractNum>
  <w:abstractNum w:abstractNumId="5">
    <w:nsid w:val="880EDFDC"/>
    <w:multiLevelType w:val="singleLevel"/>
    <w:tmpl w:val="880EDFDC"/>
    <w:lvl w:ilvl="0" w:tentative="0">
      <w:start w:val="1"/>
      <w:numFmt w:val="chineseCounting"/>
      <w:suff w:val="nothing"/>
      <w:lvlText w:val="（%1）"/>
      <w:lvlJc w:val="left"/>
      <w:pPr>
        <w:ind w:left="0" w:firstLine="420"/>
      </w:pPr>
      <w:rPr>
        <w:rFonts w:hint="eastAsia"/>
      </w:rPr>
    </w:lvl>
  </w:abstractNum>
  <w:abstractNum w:abstractNumId="6">
    <w:nsid w:val="8879493B"/>
    <w:multiLevelType w:val="singleLevel"/>
    <w:tmpl w:val="8879493B"/>
    <w:lvl w:ilvl="0" w:tentative="0">
      <w:start w:val="1"/>
      <w:numFmt w:val="decimal"/>
      <w:lvlText w:val="(%1)"/>
      <w:lvlJc w:val="left"/>
      <w:pPr>
        <w:ind w:left="425" w:hanging="425"/>
      </w:pPr>
      <w:rPr>
        <w:rFonts w:hint="default"/>
      </w:rPr>
    </w:lvl>
  </w:abstractNum>
  <w:abstractNum w:abstractNumId="7">
    <w:nsid w:val="88DD96C6"/>
    <w:multiLevelType w:val="singleLevel"/>
    <w:tmpl w:val="88DD96C6"/>
    <w:lvl w:ilvl="0" w:tentative="0">
      <w:start w:val="1"/>
      <w:numFmt w:val="decimal"/>
      <w:lvlText w:val="%1."/>
      <w:lvlJc w:val="left"/>
      <w:pPr>
        <w:ind w:left="425" w:hanging="425"/>
      </w:pPr>
      <w:rPr>
        <w:rFonts w:hint="default"/>
      </w:rPr>
    </w:lvl>
  </w:abstractNum>
  <w:abstractNum w:abstractNumId="8">
    <w:nsid w:val="8A1F803F"/>
    <w:multiLevelType w:val="singleLevel"/>
    <w:tmpl w:val="8A1F803F"/>
    <w:lvl w:ilvl="0" w:tentative="0">
      <w:start w:val="1"/>
      <w:numFmt w:val="decimal"/>
      <w:lvlText w:val="(%1)"/>
      <w:lvlJc w:val="left"/>
      <w:pPr>
        <w:ind w:left="425" w:hanging="425"/>
      </w:pPr>
      <w:rPr>
        <w:rFonts w:hint="default"/>
      </w:rPr>
    </w:lvl>
  </w:abstractNum>
  <w:abstractNum w:abstractNumId="9">
    <w:nsid w:val="9061DB4A"/>
    <w:multiLevelType w:val="singleLevel"/>
    <w:tmpl w:val="9061DB4A"/>
    <w:lvl w:ilvl="0" w:tentative="0">
      <w:start w:val="1"/>
      <w:numFmt w:val="decimal"/>
      <w:lvlText w:val="%1."/>
      <w:lvlJc w:val="left"/>
      <w:pPr>
        <w:ind w:left="425" w:hanging="425"/>
      </w:pPr>
      <w:rPr>
        <w:rFonts w:hint="default"/>
      </w:rPr>
    </w:lvl>
  </w:abstractNum>
  <w:abstractNum w:abstractNumId="10">
    <w:nsid w:val="94E08D13"/>
    <w:multiLevelType w:val="singleLevel"/>
    <w:tmpl w:val="94E08D13"/>
    <w:lvl w:ilvl="0" w:tentative="0">
      <w:start w:val="1"/>
      <w:numFmt w:val="chineseCounting"/>
      <w:suff w:val="nothing"/>
      <w:lvlText w:val="（%1）"/>
      <w:lvlJc w:val="left"/>
      <w:pPr>
        <w:ind w:left="0" w:firstLine="420"/>
      </w:pPr>
      <w:rPr>
        <w:rFonts w:hint="eastAsia"/>
      </w:rPr>
    </w:lvl>
  </w:abstractNum>
  <w:abstractNum w:abstractNumId="11">
    <w:nsid w:val="9567B924"/>
    <w:multiLevelType w:val="singleLevel"/>
    <w:tmpl w:val="9567B924"/>
    <w:lvl w:ilvl="0" w:tentative="0">
      <w:start w:val="1"/>
      <w:numFmt w:val="chineseCounting"/>
      <w:suff w:val="nothing"/>
      <w:lvlText w:val="（%1）"/>
      <w:lvlJc w:val="left"/>
      <w:pPr>
        <w:ind w:left="0" w:firstLine="420"/>
      </w:pPr>
      <w:rPr>
        <w:rFonts w:hint="eastAsia"/>
      </w:rPr>
    </w:lvl>
  </w:abstractNum>
  <w:abstractNum w:abstractNumId="12">
    <w:nsid w:val="959FB3E2"/>
    <w:multiLevelType w:val="singleLevel"/>
    <w:tmpl w:val="959FB3E2"/>
    <w:lvl w:ilvl="0" w:tentative="0">
      <w:start w:val="1"/>
      <w:numFmt w:val="decimal"/>
      <w:lvlText w:val="(%1)"/>
      <w:lvlJc w:val="left"/>
      <w:pPr>
        <w:ind w:left="425" w:hanging="425"/>
      </w:pPr>
      <w:rPr>
        <w:rFonts w:hint="default"/>
      </w:rPr>
    </w:lvl>
  </w:abstractNum>
  <w:abstractNum w:abstractNumId="13">
    <w:nsid w:val="9870080C"/>
    <w:multiLevelType w:val="singleLevel"/>
    <w:tmpl w:val="9870080C"/>
    <w:lvl w:ilvl="0" w:tentative="0">
      <w:start w:val="1"/>
      <w:numFmt w:val="decimal"/>
      <w:lvlText w:val="%1."/>
      <w:lvlJc w:val="left"/>
      <w:pPr>
        <w:ind w:left="425" w:hanging="425"/>
      </w:pPr>
      <w:rPr>
        <w:rFonts w:hint="default"/>
      </w:rPr>
    </w:lvl>
  </w:abstractNum>
  <w:abstractNum w:abstractNumId="14">
    <w:nsid w:val="A040C747"/>
    <w:multiLevelType w:val="singleLevel"/>
    <w:tmpl w:val="A040C747"/>
    <w:lvl w:ilvl="0" w:tentative="0">
      <w:start w:val="1"/>
      <w:numFmt w:val="chineseCounting"/>
      <w:suff w:val="nothing"/>
      <w:lvlText w:val="（%1）"/>
      <w:lvlJc w:val="left"/>
      <w:pPr>
        <w:ind w:left="0" w:firstLine="420"/>
      </w:pPr>
      <w:rPr>
        <w:rFonts w:hint="eastAsia"/>
      </w:rPr>
    </w:lvl>
  </w:abstractNum>
  <w:abstractNum w:abstractNumId="15">
    <w:nsid w:val="A37EC3EE"/>
    <w:multiLevelType w:val="singleLevel"/>
    <w:tmpl w:val="A37EC3EE"/>
    <w:lvl w:ilvl="0" w:tentative="0">
      <w:start w:val="11"/>
      <w:numFmt w:val="chineseCounting"/>
      <w:suff w:val="nothing"/>
      <w:lvlText w:val="（%1）"/>
      <w:lvlJc w:val="left"/>
      <w:pPr>
        <w:ind w:left="0" w:firstLine="420"/>
      </w:pPr>
      <w:rPr>
        <w:rFonts w:hint="eastAsia"/>
      </w:rPr>
    </w:lvl>
  </w:abstractNum>
  <w:abstractNum w:abstractNumId="16">
    <w:nsid w:val="A3C92242"/>
    <w:multiLevelType w:val="singleLevel"/>
    <w:tmpl w:val="A3C92242"/>
    <w:lvl w:ilvl="0" w:tentative="0">
      <w:start w:val="1"/>
      <w:numFmt w:val="decimal"/>
      <w:lvlText w:val="%1."/>
      <w:lvlJc w:val="left"/>
      <w:pPr>
        <w:ind w:left="425" w:hanging="425"/>
      </w:pPr>
      <w:rPr>
        <w:rFonts w:hint="default"/>
      </w:rPr>
    </w:lvl>
  </w:abstractNum>
  <w:abstractNum w:abstractNumId="17">
    <w:nsid w:val="A4E52907"/>
    <w:multiLevelType w:val="singleLevel"/>
    <w:tmpl w:val="A4E52907"/>
    <w:lvl w:ilvl="0" w:tentative="0">
      <w:start w:val="1"/>
      <w:numFmt w:val="chineseCounting"/>
      <w:suff w:val="nothing"/>
      <w:lvlText w:val="（%1）"/>
      <w:lvlJc w:val="left"/>
      <w:pPr>
        <w:ind w:left="0" w:firstLine="420"/>
      </w:pPr>
      <w:rPr>
        <w:rFonts w:hint="eastAsia"/>
      </w:rPr>
    </w:lvl>
  </w:abstractNum>
  <w:abstractNum w:abstractNumId="18">
    <w:nsid w:val="A5A3059A"/>
    <w:multiLevelType w:val="singleLevel"/>
    <w:tmpl w:val="A5A3059A"/>
    <w:lvl w:ilvl="0" w:tentative="0">
      <w:start w:val="1"/>
      <w:numFmt w:val="decimal"/>
      <w:lvlText w:val="%1."/>
      <w:lvlJc w:val="left"/>
      <w:pPr>
        <w:ind w:left="425" w:hanging="425"/>
      </w:pPr>
      <w:rPr>
        <w:rFonts w:hint="default"/>
      </w:rPr>
    </w:lvl>
  </w:abstractNum>
  <w:abstractNum w:abstractNumId="19">
    <w:nsid w:val="A602D260"/>
    <w:multiLevelType w:val="singleLevel"/>
    <w:tmpl w:val="A602D260"/>
    <w:lvl w:ilvl="0" w:tentative="0">
      <w:start w:val="1"/>
      <w:numFmt w:val="decimal"/>
      <w:lvlText w:val="%1."/>
      <w:lvlJc w:val="left"/>
      <w:pPr>
        <w:ind w:left="425" w:hanging="425"/>
      </w:pPr>
      <w:rPr>
        <w:rFonts w:hint="default"/>
      </w:rPr>
    </w:lvl>
  </w:abstractNum>
  <w:abstractNum w:abstractNumId="20">
    <w:nsid w:val="A6865578"/>
    <w:multiLevelType w:val="singleLevel"/>
    <w:tmpl w:val="A6865578"/>
    <w:lvl w:ilvl="0" w:tentative="0">
      <w:start w:val="1"/>
      <w:numFmt w:val="decimal"/>
      <w:lvlText w:val="(%1)"/>
      <w:lvlJc w:val="left"/>
      <w:pPr>
        <w:ind w:left="425" w:hanging="425"/>
      </w:pPr>
      <w:rPr>
        <w:rFonts w:hint="default"/>
      </w:rPr>
    </w:lvl>
  </w:abstractNum>
  <w:abstractNum w:abstractNumId="21">
    <w:nsid w:val="A7C9F970"/>
    <w:multiLevelType w:val="singleLevel"/>
    <w:tmpl w:val="A7C9F970"/>
    <w:lvl w:ilvl="0" w:tentative="0">
      <w:start w:val="1"/>
      <w:numFmt w:val="decimal"/>
      <w:lvlText w:val="%1."/>
      <w:lvlJc w:val="left"/>
      <w:pPr>
        <w:ind w:left="425" w:hanging="425"/>
      </w:pPr>
      <w:rPr>
        <w:rFonts w:hint="default"/>
      </w:rPr>
    </w:lvl>
  </w:abstractNum>
  <w:abstractNum w:abstractNumId="22">
    <w:nsid w:val="AB801DA0"/>
    <w:multiLevelType w:val="singleLevel"/>
    <w:tmpl w:val="AB801DA0"/>
    <w:lvl w:ilvl="0" w:tentative="0">
      <w:start w:val="1"/>
      <w:numFmt w:val="decimal"/>
      <w:lvlText w:val="(%1)"/>
      <w:lvlJc w:val="left"/>
      <w:pPr>
        <w:ind w:left="425" w:hanging="425"/>
      </w:pPr>
      <w:rPr>
        <w:rFonts w:hint="default"/>
      </w:rPr>
    </w:lvl>
  </w:abstractNum>
  <w:abstractNum w:abstractNumId="23">
    <w:nsid w:val="ADFA6CC3"/>
    <w:multiLevelType w:val="singleLevel"/>
    <w:tmpl w:val="ADFA6CC3"/>
    <w:lvl w:ilvl="0" w:tentative="0">
      <w:start w:val="1"/>
      <w:numFmt w:val="decimal"/>
      <w:lvlText w:val="%1."/>
      <w:lvlJc w:val="left"/>
      <w:pPr>
        <w:ind w:left="425" w:hanging="425"/>
      </w:pPr>
      <w:rPr>
        <w:rFonts w:hint="default"/>
      </w:rPr>
    </w:lvl>
  </w:abstractNum>
  <w:abstractNum w:abstractNumId="24">
    <w:nsid w:val="B0AB1B8D"/>
    <w:multiLevelType w:val="singleLevel"/>
    <w:tmpl w:val="B0AB1B8D"/>
    <w:lvl w:ilvl="0" w:tentative="0">
      <w:start w:val="1"/>
      <w:numFmt w:val="chineseCounting"/>
      <w:suff w:val="nothing"/>
      <w:lvlText w:val="（%1）"/>
      <w:lvlJc w:val="left"/>
      <w:pPr>
        <w:ind w:left="197" w:firstLine="420"/>
      </w:pPr>
      <w:rPr>
        <w:rFonts w:hint="eastAsia"/>
      </w:rPr>
    </w:lvl>
  </w:abstractNum>
  <w:abstractNum w:abstractNumId="25">
    <w:nsid w:val="B3752756"/>
    <w:multiLevelType w:val="singleLevel"/>
    <w:tmpl w:val="B3752756"/>
    <w:lvl w:ilvl="0" w:tentative="0">
      <w:start w:val="1"/>
      <w:numFmt w:val="decimal"/>
      <w:lvlText w:val="%1."/>
      <w:lvlJc w:val="left"/>
      <w:pPr>
        <w:ind w:left="425" w:hanging="425"/>
      </w:pPr>
      <w:rPr>
        <w:rFonts w:hint="default"/>
      </w:rPr>
    </w:lvl>
  </w:abstractNum>
  <w:abstractNum w:abstractNumId="26">
    <w:nsid w:val="B4BF1D34"/>
    <w:multiLevelType w:val="singleLevel"/>
    <w:tmpl w:val="B4BF1D34"/>
    <w:lvl w:ilvl="0" w:tentative="0">
      <w:start w:val="1"/>
      <w:numFmt w:val="decimal"/>
      <w:lvlText w:val="%1."/>
      <w:lvlJc w:val="left"/>
      <w:pPr>
        <w:ind w:left="425" w:hanging="425"/>
      </w:pPr>
      <w:rPr>
        <w:rFonts w:hint="default"/>
      </w:rPr>
    </w:lvl>
  </w:abstractNum>
  <w:abstractNum w:abstractNumId="27">
    <w:nsid w:val="B4D02B4C"/>
    <w:multiLevelType w:val="singleLevel"/>
    <w:tmpl w:val="B4D02B4C"/>
    <w:lvl w:ilvl="0" w:tentative="0">
      <w:start w:val="1"/>
      <w:numFmt w:val="chineseCounting"/>
      <w:suff w:val="nothing"/>
      <w:lvlText w:val="（%1）"/>
      <w:lvlJc w:val="left"/>
      <w:pPr>
        <w:ind w:left="0" w:firstLine="420"/>
      </w:pPr>
      <w:rPr>
        <w:rFonts w:hint="eastAsia"/>
      </w:rPr>
    </w:lvl>
  </w:abstractNum>
  <w:abstractNum w:abstractNumId="28">
    <w:nsid w:val="B642E26E"/>
    <w:multiLevelType w:val="singleLevel"/>
    <w:tmpl w:val="B642E26E"/>
    <w:lvl w:ilvl="0" w:tentative="0">
      <w:start w:val="1"/>
      <w:numFmt w:val="decimal"/>
      <w:lvlText w:val="(%1)"/>
      <w:lvlJc w:val="left"/>
      <w:pPr>
        <w:ind w:left="425" w:hanging="425"/>
      </w:pPr>
      <w:rPr>
        <w:rFonts w:hint="default"/>
      </w:rPr>
    </w:lvl>
  </w:abstractNum>
  <w:abstractNum w:abstractNumId="29">
    <w:nsid w:val="B9484966"/>
    <w:multiLevelType w:val="singleLevel"/>
    <w:tmpl w:val="B9484966"/>
    <w:lvl w:ilvl="0" w:tentative="0">
      <w:start w:val="1"/>
      <w:numFmt w:val="decimal"/>
      <w:lvlText w:val="%1."/>
      <w:lvlJc w:val="left"/>
      <w:pPr>
        <w:ind w:left="425" w:hanging="425"/>
      </w:pPr>
      <w:rPr>
        <w:rFonts w:hint="default"/>
      </w:rPr>
    </w:lvl>
  </w:abstractNum>
  <w:abstractNum w:abstractNumId="30">
    <w:nsid w:val="BDD56C26"/>
    <w:multiLevelType w:val="singleLevel"/>
    <w:tmpl w:val="BDD56C26"/>
    <w:lvl w:ilvl="0" w:tentative="0">
      <w:start w:val="1"/>
      <w:numFmt w:val="decimal"/>
      <w:lvlText w:val="%1."/>
      <w:lvlJc w:val="left"/>
      <w:pPr>
        <w:ind w:left="425" w:hanging="425"/>
      </w:pPr>
      <w:rPr>
        <w:rFonts w:hint="default"/>
      </w:rPr>
    </w:lvl>
  </w:abstractNum>
  <w:abstractNum w:abstractNumId="31">
    <w:nsid w:val="BF434C01"/>
    <w:multiLevelType w:val="singleLevel"/>
    <w:tmpl w:val="BF434C01"/>
    <w:lvl w:ilvl="0" w:tentative="0">
      <w:start w:val="1"/>
      <w:numFmt w:val="decimal"/>
      <w:lvlText w:val="(%1)"/>
      <w:lvlJc w:val="left"/>
      <w:pPr>
        <w:ind w:left="425" w:hanging="425"/>
      </w:pPr>
      <w:rPr>
        <w:rFonts w:hint="default"/>
      </w:rPr>
    </w:lvl>
  </w:abstractNum>
  <w:abstractNum w:abstractNumId="32">
    <w:nsid w:val="C0F70C7F"/>
    <w:multiLevelType w:val="singleLevel"/>
    <w:tmpl w:val="C0F70C7F"/>
    <w:lvl w:ilvl="0" w:tentative="0">
      <w:start w:val="1"/>
      <w:numFmt w:val="chineseCounting"/>
      <w:suff w:val="nothing"/>
      <w:lvlText w:val="%1、"/>
      <w:lvlJc w:val="left"/>
      <w:pPr>
        <w:ind w:left="0" w:firstLine="420"/>
      </w:pPr>
      <w:rPr>
        <w:rFonts w:hint="eastAsia"/>
      </w:rPr>
    </w:lvl>
  </w:abstractNum>
  <w:abstractNum w:abstractNumId="33">
    <w:nsid w:val="C47AD02D"/>
    <w:multiLevelType w:val="singleLevel"/>
    <w:tmpl w:val="C47AD02D"/>
    <w:lvl w:ilvl="0" w:tentative="0">
      <w:start w:val="1"/>
      <w:numFmt w:val="decimal"/>
      <w:lvlText w:val="%1."/>
      <w:lvlJc w:val="left"/>
      <w:pPr>
        <w:ind w:left="425" w:hanging="425"/>
      </w:pPr>
      <w:rPr>
        <w:rFonts w:hint="default"/>
      </w:rPr>
    </w:lvl>
  </w:abstractNum>
  <w:abstractNum w:abstractNumId="34">
    <w:nsid w:val="C69A8482"/>
    <w:multiLevelType w:val="singleLevel"/>
    <w:tmpl w:val="C69A8482"/>
    <w:lvl w:ilvl="0" w:tentative="0">
      <w:start w:val="1"/>
      <w:numFmt w:val="chineseCounting"/>
      <w:suff w:val="nothing"/>
      <w:lvlText w:val="（%1）"/>
      <w:lvlJc w:val="left"/>
      <w:pPr>
        <w:ind w:left="0" w:firstLine="420"/>
      </w:pPr>
      <w:rPr>
        <w:rFonts w:hint="eastAsia"/>
      </w:rPr>
    </w:lvl>
  </w:abstractNum>
  <w:abstractNum w:abstractNumId="35">
    <w:nsid w:val="C90AEE23"/>
    <w:multiLevelType w:val="singleLevel"/>
    <w:tmpl w:val="C90AEE23"/>
    <w:lvl w:ilvl="0" w:tentative="0">
      <w:start w:val="1"/>
      <w:numFmt w:val="decimal"/>
      <w:lvlText w:val="(%1)"/>
      <w:lvlJc w:val="left"/>
      <w:pPr>
        <w:ind w:left="425" w:hanging="425"/>
      </w:pPr>
      <w:rPr>
        <w:rFonts w:hint="default"/>
      </w:rPr>
    </w:lvl>
  </w:abstractNum>
  <w:abstractNum w:abstractNumId="36">
    <w:nsid w:val="CE21935E"/>
    <w:multiLevelType w:val="singleLevel"/>
    <w:tmpl w:val="CE21935E"/>
    <w:lvl w:ilvl="0" w:tentative="0">
      <w:start w:val="1"/>
      <w:numFmt w:val="decimal"/>
      <w:lvlText w:val="(%1)"/>
      <w:lvlJc w:val="left"/>
      <w:pPr>
        <w:ind w:left="425" w:hanging="425"/>
      </w:pPr>
      <w:rPr>
        <w:rFonts w:hint="default"/>
      </w:rPr>
    </w:lvl>
  </w:abstractNum>
  <w:abstractNum w:abstractNumId="37">
    <w:nsid w:val="CE642A1F"/>
    <w:multiLevelType w:val="singleLevel"/>
    <w:tmpl w:val="CE642A1F"/>
    <w:lvl w:ilvl="0" w:tentative="0">
      <w:start w:val="1"/>
      <w:numFmt w:val="decimal"/>
      <w:lvlText w:val="%1."/>
      <w:lvlJc w:val="left"/>
      <w:pPr>
        <w:ind w:left="425" w:hanging="425"/>
      </w:pPr>
      <w:rPr>
        <w:rFonts w:hint="default"/>
      </w:rPr>
    </w:lvl>
  </w:abstractNum>
  <w:abstractNum w:abstractNumId="38">
    <w:nsid w:val="CE690175"/>
    <w:multiLevelType w:val="singleLevel"/>
    <w:tmpl w:val="CE690175"/>
    <w:lvl w:ilvl="0" w:tentative="0">
      <w:start w:val="1"/>
      <w:numFmt w:val="decimal"/>
      <w:lvlText w:val="(%1)"/>
      <w:lvlJc w:val="left"/>
      <w:pPr>
        <w:ind w:left="425" w:hanging="425"/>
      </w:pPr>
      <w:rPr>
        <w:rFonts w:hint="default"/>
      </w:rPr>
    </w:lvl>
  </w:abstractNum>
  <w:abstractNum w:abstractNumId="39">
    <w:nsid w:val="CE7CBBB6"/>
    <w:multiLevelType w:val="singleLevel"/>
    <w:tmpl w:val="CE7CBBB6"/>
    <w:lvl w:ilvl="0" w:tentative="0">
      <w:start w:val="1"/>
      <w:numFmt w:val="decimal"/>
      <w:lvlText w:val="%1."/>
      <w:lvlJc w:val="left"/>
      <w:pPr>
        <w:ind w:left="425" w:hanging="425"/>
      </w:pPr>
      <w:rPr>
        <w:rFonts w:hint="default"/>
      </w:rPr>
    </w:lvl>
  </w:abstractNum>
  <w:abstractNum w:abstractNumId="40">
    <w:nsid w:val="D5E48953"/>
    <w:multiLevelType w:val="singleLevel"/>
    <w:tmpl w:val="D5E48953"/>
    <w:lvl w:ilvl="0" w:tentative="0">
      <w:start w:val="1"/>
      <w:numFmt w:val="decimal"/>
      <w:lvlText w:val="(%1)"/>
      <w:lvlJc w:val="left"/>
      <w:pPr>
        <w:ind w:left="425" w:hanging="425"/>
      </w:pPr>
      <w:rPr>
        <w:rFonts w:hint="default"/>
      </w:rPr>
    </w:lvl>
  </w:abstractNum>
  <w:abstractNum w:abstractNumId="41">
    <w:nsid w:val="DA255092"/>
    <w:multiLevelType w:val="singleLevel"/>
    <w:tmpl w:val="DA255092"/>
    <w:lvl w:ilvl="0" w:tentative="0">
      <w:start w:val="1"/>
      <w:numFmt w:val="chineseCounting"/>
      <w:suff w:val="nothing"/>
      <w:lvlText w:val="（%1）"/>
      <w:lvlJc w:val="left"/>
      <w:pPr>
        <w:ind w:left="197" w:firstLine="420"/>
      </w:pPr>
      <w:rPr>
        <w:rFonts w:hint="eastAsia"/>
      </w:rPr>
    </w:lvl>
  </w:abstractNum>
  <w:abstractNum w:abstractNumId="42">
    <w:nsid w:val="DB3237CC"/>
    <w:multiLevelType w:val="singleLevel"/>
    <w:tmpl w:val="DB3237CC"/>
    <w:lvl w:ilvl="0" w:tentative="0">
      <w:start w:val="1"/>
      <w:numFmt w:val="decimal"/>
      <w:lvlText w:val="(%1)"/>
      <w:lvlJc w:val="left"/>
      <w:pPr>
        <w:ind w:left="425" w:hanging="425"/>
      </w:pPr>
      <w:rPr>
        <w:rFonts w:hint="default"/>
      </w:rPr>
    </w:lvl>
  </w:abstractNum>
  <w:abstractNum w:abstractNumId="43">
    <w:nsid w:val="DB489959"/>
    <w:multiLevelType w:val="singleLevel"/>
    <w:tmpl w:val="DB489959"/>
    <w:lvl w:ilvl="0" w:tentative="0">
      <w:start w:val="1"/>
      <w:numFmt w:val="decimal"/>
      <w:lvlText w:val="%1."/>
      <w:lvlJc w:val="left"/>
      <w:pPr>
        <w:ind w:left="425" w:hanging="425"/>
      </w:pPr>
      <w:rPr>
        <w:rFonts w:hint="default"/>
      </w:rPr>
    </w:lvl>
  </w:abstractNum>
  <w:abstractNum w:abstractNumId="44">
    <w:nsid w:val="E00D34A9"/>
    <w:multiLevelType w:val="singleLevel"/>
    <w:tmpl w:val="E00D34A9"/>
    <w:lvl w:ilvl="0" w:tentative="0">
      <w:start w:val="1"/>
      <w:numFmt w:val="decimal"/>
      <w:lvlText w:val="%1."/>
      <w:lvlJc w:val="left"/>
      <w:pPr>
        <w:ind w:left="425" w:hanging="425"/>
      </w:pPr>
      <w:rPr>
        <w:rFonts w:hint="default"/>
      </w:rPr>
    </w:lvl>
  </w:abstractNum>
  <w:abstractNum w:abstractNumId="45">
    <w:nsid w:val="E2D8DF22"/>
    <w:multiLevelType w:val="singleLevel"/>
    <w:tmpl w:val="E2D8DF22"/>
    <w:lvl w:ilvl="0" w:tentative="0">
      <w:start w:val="1"/>
      <w:numFmt w:val="decimal"/>
      <w:lvlText w:val="%1."/>
      <w:lvlJc w:val="left"/>
      <w:pPr>
        <w:ind w:left="425" w:hanging="425"/>
      </w:pPr>
      <w:rPr>
        <w:rFonts w:hint="default"/>
      </w:rPr>
    </w:lvl>
  </w:abstractNum>
  <w:abstractNum w:abstractNumId="46">
    <w:nsid w:val="E3E34E8E"/>
    <w:multiLevelType w:val="singleLevel"/>
    <w:tmpl w:val="E3E34E8E"/>
    <w:lvl w:ilvl="0" w:tentative="0">
      <w:start w:val="1"/>
      <w:numFmt w:val="decimal"/>
      <w:lvlText w:val="(%1)"/>
      <w:lvlJc w:val="left"/>
      <w:pPr>
        <w:ind w:left="425" w:hanging="425"/>
      </w:pPr>
      <w:rPr>
        <w:rFonts w:hint="default"/>
      </w:rPr>
    </w:lvl>
  </w:abstractNum>
  <w:abstractNum w:abstractNumId="47">
    <w:nsid w:val="E6E76AC4"/>
    <w:multiLevelType w:val="singleLevel"/>
    <w:tmpl w:val="E6E76AC4"/>
    <w:lvl w:ilvl="0" w:tentative="0">
      <w:start w:val="1"/>
      <w:numFmt w:val="decimal"/>
      <w:lvlText w:val="(%1)"/>
      <w:lvlJc w:val="left"/>
      <w:pPr>
        <w:ind w:left="425" w:hanging="425"/>
      </w:pPr>
      <w:rPr>
        <w:rFonts w:hint="default"/>
      </w:rPr>
    </w:lvl>
  </w:abstractNum>
  <w:abstractNum w:abstractNumId="48">
    <w:nsid w:val="EA1F14F4"/>
    <w:multiLevelType w:val="singleLevel"/>
    <w:tmpl w:val="EA1F14F4"/>
    <w:lvl w:ilvl="0" w:tentative="0">
      <w:start w:val="1"/>
      <w:numFmt w:val="decimal"/>
      <w:lvlText w:val="(%1)"/>
      <w:lvlJc w:val="left"/>
      <w:pPr>
        <w:ind w:left="425" w:hanging="425"/>
      </w:pPr>
      <w:rPr>
        <w:rFonts w:hint="default"/>
      </w:rPr>
    </w:lvl>
  </w:abstractNum>
  <w:abstractNum w:abstractNumId="49">
    <w:nsid w:val="EA7C9D2E"/>
    <w:multiLevelType w:val="singleLevel"/>
    <w:tmpl w:val="EA7C9D2E"/>
    <w:lvl w:ilvl="0" w:tentative="0">
      <w:start w:val="9"/>
      <w:numFmt w:val="chineseCounting"/>
      <w:suff w:val="nothing"/>
      <w:lvlText w:val="（%1）"/>
      <w:lvlJc w:val="left"/>
      <w:pPr>
        <w:ind w:left="0" w:firstLine="420"/>
      </w:pPr>
      <w:rPr>
        <w:rFonts w:hint="eastAsia"/>
      </w:rPr>
    </w:lvl>
  </w:abstractNum>
  <w:abstractNum w:abstractNumId="50">
    <w:nsid w:val="ECF6E674"/>
    <w:multiLevelType w:val="singleLevel"/>
    <w:tmpl w:val="ECF6E674"/>
    <w:lvl w:ilvl="0" w:tentative="0">
      <w:start w:val="1"/>
      <w:numFmt w:val="decimal"/>
      <w:lvlText w:val="%1."/>
      <w:lvlJc w:val="left"/>
      <w:pPr>
        <w:ind w:left="425" w:hanging="425"/>
      </w:pPr>
      <w:rPr>
        <w:rFonts w:hint="default"/>
      </w:rPr>
    </w:lvl>
  </w:abstractNum>
  <w:abstractNum w:abstractNumId="51">
    <w:nsid w:val="F1E0BA57"/>
    <w:multiLevelType w:val="singleLevel"/>
    <w:tmpl w:val="F1E0BA57"/>
    <w:lvl w:ilvl="0" w:tentative="0">
      <w:start w:val="1"/>
      <w:numFmt w:val="decimal"/>
      <w:lvlText w:val="(%1)"/>
      <w:lvlJc w:val="left"/>
      <w:pPr>
        <w:ind w:left="425" w:hanging="425"/>
      </w:pPr>
      <w:rPr>
        <w:rFonts w:hint="default"/>
      </w:rPr>
    </w:lvl>
  </w:abstractNum>
  <w:abstractNum w:abstractNumId="52">
    <w:nsid w:val="F4824F36"/>
    <w:multiLevelType w:val="multilevel"/>
    <w:tmpl w:val="F4824F36"/>
    <w:lvl w:ilvl="0" w:tentative="0">
      <w:start w:val="1"/>
      <w:numFmt w:val="chineseCountingThousand"/>
      <w:lvlText w:val="%1、"/>
      <w:lvlJc w:val="left"/>
      <w:pPr>
        <w:tabs>
          <w:tab w:val="left" w:pos="420"/>
        </w:tabs>
        <w:ind w:left="420" w:hanging="420"/>
      </w:pPr>
      <w:rPr>
        <w:rFonts w:hint="eastAsia"/>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3">
    <w:nsid w:val="F4BC040E"/>
    <w:multiLevelType w:val="singleLevel"/>
    <w:tmpl w:val="F4BC040E"/>
    <w:lvl w:ilvl="0" w:tentative="0">
      <w:start w:val="1"/>
      <w:numFmt w:val="decimal"/>
      <w:lvlText w:val="%1."/>
      <w:lvlJc w:val="left"/>
      <w:pPr>
        <w:ind w:left="425" w:hanging="425"/>
      </w:pPr>
      <w:rPr>
        <w:rFonts w:hint="default"/>
      </w:rPr>
    </w:lvl>
  </w:abstractNum>
  <w:abstractNum w:abstractNumId="54">
    <w:nsid w:val="F54D527C"/>
    <w:multiLevelType w:val="singleLevel"/>
    <w:tmpl w:val="F54D527C"/>
    <w:lvl w:ilvl="0" w:tentative="0">
      <w:start w:val="1"/>
      <w:numFmt w:val="decimal"/>
      <w:suff w:val="nothing"/>
      <w:lvlText w:val="(%1)"/>
      <w:lvlJc w:val="left"/>
      <w:pPr>
        <w:ind w:left="454" w:leftChars="0" w:hanging="454" w:firstLineChars="0"/>
      </w:pPr>
      <w:rPr>
        <w:rFonts w:hint="default"/>
      </w:rPr>
    </w:lvl>
  </w:abstractNum>
  <w:abstractNum w:abstractNumId="55">
    <w:nsid w:val="F74143E4"/>
    <w:multiLevelType w:val="singleLevel"/>
    <w:tmpl w:val="F74143E4"/>
    <w:lvl w:ilvl="0" w:tentative="0">
      <w:start w:val="1"/>
      <w:numFmt w:val="decimal"/>
      <w:lvlText w:val="%1."/>
      <w:lvlJc w:val="left"/>
      <w:pPr>
        <w:ind w:left="425" w:hanging="425"/>
      </w:pPr>
      <w:rPr>
        <w:rFonts w:hint="default"/>
      </w:rPr>
    </w:lvl>
  </w:abstractNum>
  <w:abstractNum w:abstractNumId="56">
    <w:nsid w:val="FB04254E"/>
    <w:multiLevelType w:val="singleLevel"/>
    <w:tmpl w:val="FB04254E"/>
    <w:lvl w:ilvl="0" w:tentative="0">
      <w:start w:val="1"/>
      <w:numFmt w:val="decimal"/>
      <w:lvlText w:val="%1."/>
      <w:lvlJc w:val="left"/>
      <w:pPr>
        <w:ind w:left="425" w:hanging="425"/>
      </w:pPr>
      <w:rPr>
        <w:rFonts w:hint="default"/>
      </w:rPr>
    </w:lvl>
  </w:abstractNum>
  <w:abstractNum w:abstractNumId="57">
    <w:nsid w:val="FD764690"/>
    <w:multiLevelType w:val="singleLevel"/>
    <w:tmpl w:val="FD764690"/>
    <w:lvl w:ilvl="0" w:tentative="0">
      <w:start w:val="1"/>
      <w:numFmt w:val="decimal"/>
      <w:lvlText w:val="%1."/>
      <w:lvlJc w:val="left"/>
      <w:pPr>
        <w:ind w:left="425" w:hanging="425"/>
      </w:pPr>
      <w:rPr>
        <w:rFonts w:hint="default"/>
      </w:rPr>
    </w:lvl>
  </w:abstractNum>
  <w:abstractNum w:abstractNumId="58">
    <w:nsid w:val="FED4B0DA"/>
    <w:multiLevelType w:val="singleLevel"/>
    <w:tmpl w:val="FED4B0DA"/>
    <w:lvl w:ilvl="0" w:tentative="0">
      <w:start w:val="1"/>
      <w:numFmt w:val="decimal"/>
      <w:lvlText w:val="%1."/>
      <w:lvlJc w:val="left"/>
      <w:pPr>
        <w:ind w:left="425" w:hanging="425"/>
      </w:pPr>
      <w:rPr>
        <w:rFonts w:hint="default"/>
      </w:rPr>
    </w:lvl>
  </w:abstractNum>
  <w:abstractNum w:abstractNumId="59">
    <w:nsid w:val="0000001E"/>
    <w:multiLevelType w:val="multilevel"/>
    <w:tmpl w:val="0000001E"/>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宋体" w:hAnsi="宋体" w:eastAsia="宋体" w:cs="Times New Roman"/>
        <w:b w:val="0"/>
        <w:dstrike w:val="0"/>
      </w:rPr>
    </w:lvl>
    <w:lvl w:ilvl="2" w:tentative="0">
      <w:start w:val="1"/>
      <w:numFmt w:val="decimal"/>
      <w:lvlText w:val="%1.%2.%3"/>
      <w:lvlJc w:val="left"/>
      <w:pPr>
        <w:tabs>
          <w:tab w:val="left" w:pos="851"/>
        </w:tabs>
        <w:ind w:left="851" w:hanging="851"/>
      </w:pPr>
      <w:rPr>
        <w:rFonts w:hint="default" w:ascii="宋体" w:hAnsi="宋体" w:eastAsia="宋体" w:cs="Times New Roman"/>
        <w:sz w:val="21"/>
        <w:szCs w:val="21"/>
      </w:rPr>
    </w:lvl>
    <w:lvl w:ilvl="3" w:tentative="0">
      <w:start w:val="1"/>
      <w:numFmt w:val="decimal"/>
      <w:lvlText w:val="%1.%2.%3.%4"/>
      <w:lvlJc w:val="left"/>
      <w:pPr>
        <w:tabs>
          <w:tab w:val="left" w:pos="851"/>
        </w:tabs>
        <w:ind w:left="851" w:hanging="851"/>
      </w:pPr>
      <w:rPr>
        <w:rFonts w:hint="eastAsia"/>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0">
    <w:nsid w:val="08F70496"/>
    <w:multiLevelType w:val="singleLevel"/>
    <w:tmpl w:val="08F70496"/>
    <w:lvl w:ilvl="0" w:tentative="0">
      <w:start w:val="1"/>
      <w:numFmt w:val="decimal"/>
      <w:lvlText w:val="%1."/>
      <w:lvlJc w:val="left"/>
      <w:pPr>
        <w:ind w:left="425" w:hanging="425"/>
      </w:pPr>
      <w:rPr>
        <w:rFonts w:hint="default"/>
      </w:rPr>
    </w:lvl>
  </w:abstractNum>
  <w:abstractNum w:abstractNumId="61">
    <w:nsid w:val="09B0520C"/>
    <w:multiLevelType w:val="singleLevel"/>
    <w:tmpl w:val="09B0520C"/>
    <w:lvl w:ilvl="0" w:tentative="0">
      <w:start w:val="1"/>
      <w:numFmt w:val="decimal"/>
      <w:lvlText w:val="(%1)"/>
      <w:lvlJc w:val="left"/>
      <w:pPr>
        <w:ind w:left="425" w:hanging="425"/>
      </w:pPr>
      <w:rPr>
        <w:rFonts w:hint="default"/>
      </w:rPr>
    </w:lvl>
  </w:abstractNum>
  <w:abstractNum w:abstractNumId="62">
    <w:nsid w:val="0A874381"/>
    <w:multiLevelType w:val="singleLevel"/>
    <w:tmpl w:val="0A874381"/>
    <w:lvl w:ilvl="0" w:tentative="0">
      <w:start w:val="1"/>
      <w:numFmt w:val="chineseCounting"/>
      <w:suff w:val="nothing"/>
      <w:lvlText w:val="（%1）"/>
      <w:lvlJc w:val="left"/>
      <w:pPr>
        <w:ind w:left="0" w:firstLine="420"/>
      </w:pPr>
      <w:rPr>
        <w:rFonts w:hint="eastAsia"/>
      </w:rPr>
    </w:lvl>
  </w:abstractNum>
  <w:abstractNum w:abstractNumId="63">
    <w:nsid w:val="0ACD5257"/>
    <w:multiLevelType w:val="singleLevel"/>
    <w:tmpl w:val="0ACD5257"/>
    <w:lvl w:ilvl="0" w:tentative="0">
      <w:start w:val="1"/>
      <w:numFmt w:val="decimal"/>
      <w:lvlText w:val="%1."/>
      <w:lvlJc w:val="left"/>
      <w:pPr>
        <w:ind w:left="425" w:hanging="425"/>
      </w:pPr>
      <w:rPr>
        <w:rFonts w:hint="default"/>
      </w:rPr>
    </w:lvl>
  </w:abstractNum>
  <w:abstractNum w:abstractNumId="64">
    <w:nsid w:val="0D4B1B9F"/>
    <w:multiLevelType w:val="multilevel"/>
    <w:tmpl w:val="0D4B1B9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0D6638A3"/>
    <w:multiLevelType w:val="singleLevel"/>
    <w:tmpl w:val="0D6638A3"/>
    <w:lvl w:ilvl="0" w:tentative="0">
      <w:start w:val="1"/>
      <w:numFmt w:val="bullet"/>
      <w:pStyle w:val="40"/>
      <w:lvlText w:val=""/>
      <w:lvlJc w:val="left"/>
      <w:pPr>
        <w:tabs>
          <w:tab w:val="left" w:pos="425"/>
        </w:tabs>
        <w:ind w:left="425" w:hanging="425"/>
      </w:pPr>
      <w:rPr>
        <w:rFonts w:hint="default" w:ascii="Symbol" w:hAnsi="Symbol"/>
      </w:rPr>
    </w:lvl>
  </w:abstractNum>
  <w:abstractNum w:abstractNumId="66">
    <w:nsid w:val="0E2FDA73"/>
    <w:multiLevelType w:val="multilevel"/>
    <w:tmpl w:val="0E2FDA7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7">
    <w:nsid w:val="0EE21A4A"/>
    <w:multiLevelType w:val="multilevel"/>
    <w:tmpl w:val="0EE21A4A"/>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8">
    <w:nsid w:val="10B2D7B6"/>
    <w:multiLevelType w:val="singleLevel"/>
    <w:tmpl w:val="10B2D7B6"/>
    <w:lvl w:ilvl="0" w:tentative="0">
      <w:start w:val="1"/>
      <w:numFmt w:val="decimal"/>
      <w:lvlText w:val="(%1)"/>
      <w:lvlJc w:val="left"/>
      <w:pPr>
        <w:ind w:left="425" w:hanging="425"/>
      </w:pPr>
      <w:rPr>
        <w:rFonts w:hint="default"/>
      </w:rPr>
    </w:lvl>
  </w:abstractNum>
  <w:abstractNum w:abstractNumId="69">
    <w:nsid w:val="11CF9087"/>
    <w:multiLevelType w:val="singleLevel"/>
    <w:tmpl w:val="11CF9087"/>
    <w:lvl w:ilvl="0" w:tentative="0">
      <w:start w:val="1"/>
      <w:numFmt w:val="decimal"/>
      <w:lvlText w:val="%1."/>
      <w:lvlJc w:val="left"/>
      <w:pPr>
        <w:ind w:left="425" w:hanging="425"/>
      </w:pPr>
      <w:rPr>
        <w:rFonts w:hint="default"/>
      </w:rPr>
    </w:lvl>
  </w:abstractNum>
  <w:abstractNum w:abstractNumId="70">
    <w:nsid w:val="1213CB6E"/>
    <w:multiLevelType w:val="singleLevel"/>
    <w:tmpl w:val="1213CB6E"/>
    <w:lvl w:ilvl="0" w:tentative="0">
      <w:start w:val="1"/>
      <w:numFmt w:val="decimal"/>
      <w:lvlText w:val="%1"/>
      <w:lvlJc w:val="left"/>
      <w:pPr>
        <w:tabs>
          <w:tab w:val="left" w:pos="420"/>
        </w:tabs>
        <w:ind w:left="425" w:hanging="425"/>
      </w:pPr>
      <w:rPr>
        <w:rFonts w:hint="default"/>
      </w:rPr>
    </w:lvl>
  </w:abstractNum>
  <w:abstractNum w:abstractNumId="71">
    <w:nsid w:val="1351F188"/>
    <w:multiLevelType w:val="singleLevel"/>
    <w:tmpl w:val="1351F188"/>
    <w:lvl w:ilvl="0" w:tentative="0">
      <w:start w:val="1"/>
      <w:numFmt w:val="decimal"/>
      <w:lvlText w:val="%1."/>
      <w:lvlJc w:val="left"/>
      <w:pPr>
        <w:ind w:left="425" w:hanging="425"/>
      </w:pPr>
      <w:rPr>
        <w:rFonts w:hint="default"/>
      </w:rPr>
    </w:lvl>
  </w:abstractNum>
  <w:abstractNum w:abstractNumId="72">
    <w:nsid w:val="13C34E09"/>
    <w:multiLevelType w:val="multilevel"/>
    <w:tmpl w:val="13C34E09"/>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3">
    <w:nsid w:val="15A8D30D"/>
    <w:multiLevelType w:val="singleLevel"/>
    <w:tmpl w:val="15A8D30D"/>
    <w:lvl w:ilvl="0" w:tentative="0">
      <w:start w:val="1"/>
      <w:numFmt w:val="decimal"/>
      <w:lvlText w:val="%1."/>
      <w:lvlJc w:val="left"/>
      <w:pPr>
        <w:ind w:left="425" w:hanging="425"/>
      </w:pPr>
      <w:rPr>
        <w:rFonts w:hint="default"/>
      </w:rPr>
    </w:lvl>
  </w:abstractNum>
  <w:abstractNum w:abstractNumId="74">
    <w:nsid w:val="17EA03E7"/>
    <w:multiLevelType w:val="singleLevel"/>
    <w:tmpl w:val="17EA03E7"/>
    <w:lvl w:ilvl="0" w:tentative="0">
      <w:start w:val="1"/>
      <w:numFmt w:val="decimal"/>
      <w:lvlText w:val="%1."/>
      <w:lvlJc w:val="left"/>
      <w:pPr>
        <w:ind w:left="425" w:hanging="425"/>
      </w:pPr>
      <w:rPr>
        <w:rFonts w:hint="default"/>
      </w:rPr>
    </w:lvl>
  </w:abstractNum>
  <w:abstractNum w:abstractNumId="75">
    <w:nsid w:val="18A58246"/>
    <w:multiLevelType w:val="singleLevel"/>
    <w:tmpl w:val="18A58246"/>
    <w:lvl w:ilvl="0" w:tentative="0">
      <w:start w:val="1"/>
      <w:numFmt w:val="decimal"/>
      <w:lvlText w:val="%1."/>
      <w:lvlJc w:val="left"/>
      <w:pPr>
        <w:ind w:left="425" w:hanging="425"/>
      </w:pPr>
      <w:rPr>
        <w:rFonts w:hint="default"/>
        <w:color w:val="auto"/>
      </w:rPr>
    </w:lvl>
  </w:abstractNum>
  <w:abstractNum w:abstractNumId="76">
    <w:nsid w:val="194A7771"/>
    <w:multiLevelType w:val="singleLevel"/>
    <w:tmpl w:val="194A7771"/>
    <w:lvl w:ilvl="0" w:tentative="0">
      <w:start w:val="1"/>
      <w:numFmt w:val="chineseCounting"/>
      <w:suff w:val="nothing"/>
      <w:lvlText w:val="（%1）"/>
      <w:lvlJc w:val="left"/>
      <w:pPr>
        <w:ind w:left="197" w:firstLine="420"/>
      </w:pPr>
      <w:rPr>
        <w:rFonts w:hint="eastAsia"/>
      </w:rPr>
    </w:lvl>
  </w:abstractNum>
  <w:abstractNum w:abstractNumId="77">
    <w:nsid w:val="19B76A75"/>
    <w:multiLevelType w:val="singleLevel"/>
    <w:tmpl w:val="19B76A75"/>
    <w:lvl w:ilvl="0" w:tentative="0">
      <w:start w:val="1"/>
      <w:numFmt w:val="decimal"/>
      <w:lvlText w:val="(%1)"/>
      <w:lvlJc w:val="left"/>
      <w:pPr>
        <w:ind w:left="425" w:hanging="425"/>
      </w:pPr>
      <w:rPr>
        <w:rFonts w:hint="default"/>
      </w:rPr>
    </w:lvl>
  </w:abstractNum>
  <w:abstractNum w:abstractNumId="78">
    <w:nsid w:val="19CCF707"/>
    <w:multiLevelType w:val="singleLevel"/>
    <w:tmpl w:val="19CCF707"/>
    <w:lvl w:ilvl="0" w:tentative="0">
      <w:start w:val="1"/>
      <w:numFmt w:val="decimal"/>
      <w:lvlText w:val="(%1)"/>
      <w:lvlJc w:val="left"/>
      <w:pPr>
        <w:ind w:left="425" w:hanging="425"/>
      </w:pPr>
      <w:rPr>
        <w:rFonts w:hint="default"/>
      </w:rPr>
    </w:lvl>
  </w:abstractNum>
  <w:abstractNum w:abstractNumId="79">
    <w:nsid w:val="1AF0C954"/>
    <w:multiLevelType w:val="singleLevel"/>
    <w:tmpl w:val="1AF0C954"/>
    <w:lvl w:ilvl="0" w:tentative="0">
      <w:start w:val="1"/>
      <w:numFmt w:val="decimal"/>
      <w:lvlText w:val="%1."/>
      <w:lvlJc w:val="left"/>
      <w:pPr>
        <w:ind w:left="425" w:hanging="425"/>
      </w:pPr>
      <w:rPr>
        <w:rFonts w:hint="default"/>
      </w:rPr>
    </w:lvl>
  </w:abstractNum>
  <w:abstractNum w:abstractNumId="80">
    <w:nsid w:val="1BC31889"/>
    <w:multiLevelType w:val="singleLevel"/>
    <w:tmpl w:val="1BC31889"/>
    <w:lvl w:ilvl="0" w:tentative="0">
      <w:start w:val="1"/>
      <w:numFmt w:val="decimal"/>
      <w:lvlText w:val="%1."/>
      <w:lvlJc w:val="left"/>
      <w:pPr>
        <w:ind w:left="425" w:hanging="425"/>
      </w:pPr>
      <w:rPr>
        <w:rFonts w:hint="default"/>
      </w:rPr>
    </w:lvl>
  </w:abstractNum>
  <w:abstractNum w:abstractNumId="81">
    <w:nsid w:val="1CDF3E21"/>
    <w:multiLevelType w:val="multilevel"/>
    <w:tmpl w:val="1CDF3E21"/>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2">
    <w:nsid w:val="1CFD37B2"/>
    <w:multiLevelType w:val="singleLevel"/>
    <w:tmpl w:val="1CFD37B2"/>
    <w:lvl w:ilvl="0" w:tentative="0">
      <w:start w:val="1"/>
      <w:numFmt w:val="decimal"/>
      <w:lvlText w:val="%1."/>
      <w:lvlJc w:val="left"/>
      <w:pPr>
        <w:ind w:left="425" w:hanging="425"/>
      </w:pPr>
      <w:rPr>
        <w:rFonts w:hint="default"/>
      </w:rPr>
    </w:lvl>
  </w:abstractNum>
  <w:abstractNum w:abstractNumId="83">
    <w:nsid w:val="24212C01"/>
    <w:multiLevelType w:val="multilevel"/>
    <w:tmpl w:val="24212C01"/>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ascii="宋体" w:hAnsi="宋体" w:eastAsia="宋体"/>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4">
    <w:nsid w:val="2553E367"/>
    <w:multiLevelType w:val="singleLevel"/>
    <w:tmpl w:val="2553E367"/>
    <w:lvl w:ilvl="0" w:tentative="0">
      <w:start w:val="1"/>
      <w:numFmt w:val="decimal"/>
      <w:lvlText w:val="%1."/>
      <w:lvlJc w:val="left"/>
      <w:pPr>
        <w:ind w:left="425" w:hanging="425"/>
      </w:pPr>
      <w:rPr>
        <w:rFonts w:hint="default"/>
      </w:rPr>
    </w:lvl>
  </w:abstractNum>
  <w:abstractNum w:abstractNumId="85">
    <w:nsid w:val="2671C7A2"/>
    <w:multiLevelType w:val="singleLevel"/>
    <w:tmpl w:val="2671C7A2"/>
    <w:lvl w:ilvl="0" w:tentative="0">
      <w:start w:val="1"/>
      <w:numFmt w:val="decimal"/>
      <w:lvlText w:val="%1."/>
      <w:lvlJc w:val="left"/>
      <w:pPr>
        <w:ind w:left="425" w:hanging="425"/>
      </w:pPr>
      <w:rPr>
        <w:rFonts w:hint="default"/>
      </w:rPr>
    </w:lvl>
  </w:abstractNum>
  <w:abstractNum w:abstractNumId="86">
    <w:nsid w:val="2A82F643"/>
    <w:multiLevelType w:val="singleLevel"/>
    <w:tmpl w:val="2A82F643"/>
    <w:lvl w:ilvl="0" w:tentative="0">
      <w:start w:val="1"/>
      <w:numFmt w:val="decimal"/>
      <w:lvlText w:val="%1."/>
      <w:lvlJc w:val="left"/>
      <w:pPr>
        <w:ind w:left="425" w:hanging="425"/>
      </w:pPr>
      <w:rPr>
        <w:rFonts w:hint="default"/>
      </w:rPr>
    </w:lvl>
  </w:abstractNum>
  <w:abstractNum w:abstractNumId="87">
    <w:nsid w:val="2E32172C"/>
    <w:multiLevelType w:val="singleLevel"/>
    <w:tmpl w:val="2E32172C"/>
    <w:lvl w:ilvl="0" w:tentative="0">
      <w:start w:val="1"/>
      <w:numFmt w:val="decimal"/>
      <w:lvlText w:val="%1."/>
      <w:lvlJc w:val="left"/>
      <w:pPr>
        <w:ind w:left="425" w:hanging="425"/>
      </w:pPr>
      <w:rPr>
        <w:rFonts w:hint="default"/>
      </w:rPr>
    </w:lvl>
  </w:abstractNum>
  <w:abstractNum w:abstractNumId="88">
    <w:nsid w:val="2F925AEA"/>
    <w:multiLevelType w:val="singleLevel"/>
    <w:tmpl w:val="2F925AEA"/>
    <w:lvl w:ilvl="0" w:tentative="0">
      <w:start w:val="1"/>
      <w:numFmt w:val="decimal"/>
      <w:lvlText w:val="%1."/>
      <w:lvlJc w:val="left"/>
      <w:pPr>
        <w:ind w:left="425" w:hanging="425"/>
      </w:pPr>
      <w:rPr>
        <w:rFonts w:hint="default"/>
      </w:rPr>
    </w:lvl>
  </w:abstractNum>
  <w:abstractNum w:abstractNumId="89">
    <w:nsid w:val="30C7FBA1"/>
    <w:multiLevelType w:val="singleLevel"/>
    <w:tmpl w:val="30C7FBA1"/>
    <w:lvl w:ilvl="0" w:tentative="0">
      <w:start w:val="1"/>
      <w:numFmt w:val="chineseCounting"/>
      <w:suff w:val="nothing"/>
      <w:lvlText w:val="（%1）"/>
      <w:lvlJc w:val="left"/>
      <w:pPr>
        <w:ind w:left="0" w:firstLine="420"/>
      </w:pPr>
      <w:rPr>
        <w:rFonts w:hint="eastAsia"/>
      </w:rPr>
    </w:lvl>
  </w:abstractNum>
  <w:abstractNum w:abstractNumId="90">
    <w:nsid w:val="325C3D3A"/>
    <w:multiLevelType w:val="singleLevel"/>
    <w:tmpl w:val="325C3D3A"/>
    <w:lvl w:ilvl="0" w:tentative="0">
      <w:start w:val="1"/>
      <w:numFmt w:val="chineseCounting"/>
      <w:suff w:val="nothing"/>
      <w:lvlText w:val="（%1）"/>
      <w:lvlJc w:val="left"/>
      <w:pPr>
        <w:ind w:left="0" w:firstLine="420"/>
      </w:pPr>
      <w:rPr>
        <w:rFonts w:hint="eastAsia"/>
      </w:rPr>
    </w:lvl>
  </w:abstractNum>
  <w:abstractNum w:abstractNumId="91">
    <w:nsid w:val="32EDEA99"/>
    <w:multiLevelType w:val="singleLevel"/>
    <w:tmpl w:val="32EDEA99"/>
    <w:lvl w:ilvl="0" w:tentative="0">
      <w:start w:val="1"/>
      <w:numFmt w:val="decimal"/>
      <w:lvlText w:val="%1."/>
      <w:lvlJc w:val="left"/>
      <w:pPr>
        <w:ind w:left="425" w:hanging="425"/>
      </w:pPr>
      <w:rPr>
        <w:rFonts w:hint="default"/>
      </w:rPr>
    </w:lvl>
  </w:abstractNum>
  <w:abstractNum w:abstractNumId="92">
    <w:nsid w:val="334F0D86"/>
    <w:multiLevelType w:val="singleLevel"/>
    <w:tmpl w:val="334F0D86"/>
    <w:lvl w:ilvl="0" w:tentative="0">
      <w:start w:val="1"/>
      <w:numFmt w:val="decimal"/>
      <w:lvlText w:val="(%1)"/>
      <w:lvlJc w:val="left"/>
      <w:pPr>
        <w:ind w:left="425" w:hanging="425"/>
      </w:pPr>
      <w:rPr>
        <w:rFonts w:hint="default"/>
      </w:rPr>
    </w:lvl>
  </w:abstractNum>
  <w:abstractNum w:abstractNumId="93">
    <w:nsid w:val="360D0340"/>
    <w:multiLevelType w:val="singleLevel"/>
    <w:tmpl w:val="360D0340"/>
    <w:lvl w:ilvl="0" w:tentative="0">
      <w:start w:val="1"/>
      <w:numFmt w:val="decimal"/>
      <w:lvlText w:val="%1."/>
      <w:lvlJc w:val="left"/>
      <w:pPr>
        <w:ind w:left="425" w:hanging="425"/>
      </w:pPr>
      <w:rPr>
        <w:rFonts w:hint="default"/>
      </w:rPr>
    </w:lvl>
  </w:abstractNum>
  <w:abstractNum w:abstractNumId="94">
    <w:nsid w:val="36789CEE"/>
    <w:multiLevelType w:val="singleLevel"/>
    <w:tmpl w:val="36789CEE"/>
    <w:lvl w:ilvl="0" w:tentative="0">
      <w:start w:val="1"/>
      <w:numFmt w:val="chineseCounting"/>
      <w:suff w:val="nothing"/>
      <w:lvlText w:val="（%1）"/>
      <w:lvlJc w:val="left"/>
      <w:pPr>
        <w:ind w:left="0" w:firstLine="420"/>
      </w:pPr>
      <w:rPr>
        <w:rFonts w:hint="eastAsia"/>
      </w:rPr>
    </w:lvl>
  </w:abstractNum>
  <w:abstractNum w:abstractNumId="95">
    <w:nsid w:val="373A93FC"/>
    <w:multiLevelType w:val="singleLevel"/>
    <w:tmpl w:val="373A93FC"/>
    <w:lvl w:ilvl="0" w:tentative="0">
      <w:start w:val="1"/>
      <w:numFmt w:val="decimal"/>
      <w:lvlText w:val="(%1)"/>
      <w:lvlJc w:val="left"/>
      <w:pPr>
        <w:ind w:left="425" w:hanging="425"/>
      </w:pPr>
      <w:rPr>
        <w:rFonts w:hint="default"/>
      </w:rPr>
    </w:lvl>
  </w:abstractNum>
  <w:abstractNum w:abstractNumId="96">
    <w:nsid w:val="37D87ADA"/>
    <w:multiLevelType w:val="singleLevel"/>
    <w:tmpl w:val="37D87ADA"/>
    <w:lvl w:ilvl="0" w:tentative="0">
      <w:start w:val="1"/>
      <w:numFmt w:val="decimal"/>
      <w:lvlText w:val="%1."/>
      <w:lvlJc w:val="left"/>
      <w:pPr>
        <w:ind w:left="425" w:hanging="425"/>
      </w:pPr>
      <w:rPr>
        <w:rFonts w:hint="default"/>
      </w:rPr>
    </w:lvl>
  </w:abstractNum>
  <w:abstractNum w:abstractNumId="97">
    <w:nsid w:val="39287919"/>
    <w:multiLevelType w:val="multilevel"/>
    <w:tmpl w:val="3928791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8">
    <w:nsid w:val="3A8C4C78"/>
    <w:multiLevelType w:val="multilevel"/>
    <w:tmpl w:val="3A8C4C78"/>
    <w:lvl w:ilvl="0" w:tentative="0">
      <w:start w:val="1"/>
      <w:numFmt w:val="decimal"/>
      <w:lvlText w:val="格式%1"/>
      <w:lvlJc w:val="left"/>
      <w:pPr>
        <w:tabs>
          <w:tab w:val="left" w:pos="425"/>
        </w:tabs>
        <w:ind w:left="425" w:hanging="425"/>
      </w:pPr>
      <w:rPr>
        <w:rFonts w:hint="eastAsia" w:ascii="黑体" w:eastAsia="黑体"/>
        <w:b w:val="0"/>
        <w:color w:val="auto"/>
        <w:sz w:val="28"/>
        <w:szCs w:val="28"/>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abstractNum w:abstractNumId="99">
    <w:nsid w:val="3BA2B3D2"/>
    <w:multiLevelType w:val="singleLevel"/>
    <w:tmpl w:val="3BA2B3D2"/>
    <w:lvl w:ilvl="0" w:tentative="0">
      <w:start w:val="1"/>
      <w:numFmt w:val="decimal"/>
      <w:lvlText w:val="%1."/>
      <w:lvlJc w:val="left"/>
      <w:pPr>
        <w:ind w:left="425" w:hanging="425"/>
      </w:pPr>
      <w:rPr>
        <w:rFonts w:hint="default"/>
      </w:rPr>
    </w:lvl>
  </w:abstractNum>
  <w:abstractNum w:abstractNumId="100">
    <w:nsid w:val="3D5306CB"/>
    <w:multiLevelType w:val="singleLevel"/>
    <w:tmpl w:val="3D5306CB"/>
    <w:lvl w:ilvl="0" w:tentative="0">
      <w:start w:val="1"/>
      <w:numFmt w:val="chineseCounting"/>
      <w:suff w:val="nothing"/>
      <w:lvlText w:val="（%1）"/>
      <w:lvlJc w:val="left"/>
      <w:pPr>
        <w:ind w:left="0" w:firstLine="420"/>
      </w:pPr>
      <w:rPr>
        <w:rFonts w:hint="eastAsia"/>
      </w:rPr>
    </w:lvl>
  </w:abstractNum>
  <w:abstractNum w:abstractNumId="101">
    <w:nsid w:val="3F34B82D"/>
    <w:multiLevelType w:val="singleLevel"/>
    <w:tmpl w:val="3F34B82D"/>
    <w:lvl w:ilvl="0" w:tentative="0">
      <w:start w:val="1"/>
      <w:numFmt w:val="decimal"/>
      <w:lvlText w:val="%1."/>
      <w:lvlJc w:val="left"/>
      <w:pPr>
        <w:ind w:left="425" w:hanging="425"/>
      </w:pPr>
      <w:rPr>
        <w:rFonts w:hint="default"/>
      </w:rPr>
    </w:lvl>
  </w:abstractNum>
  <w:abstractNum w:abstractNumId="102">
    <w:nsid w:val="42CB4F14"/>
    <w:multiLevelType w:val="singleLevel"/>
    <w:tmpl w:val="42CB4F14"/>
    <w:lvl w:ilvl="0" w:tentative="0">
      <w:start w:val="1"/>
      <w:numFmt w:val="decimal"/>
      <w:lvlText w:val="%1"/>
      <w:lvlJc w:val="left"/>
      <w:pPr>
        <w:tabs>
          <w:tab w:val="left" w:pos="420"/>
        </w:tabs>
        <w:ind w:left="425" w:hanging="425"/>
      </w:pPr>
      <w:rPr>
        <w:rFonts w:hint="default"/>
      </w:rPr>
    </w:lvl>
  </w:abstractNum>
  <w:abstractNum w:abstractNumId="103">
    <w:nsid w:val="42D11E4A"/>
    <w:multiLevelType w:val="multilevel"/>
    <w:tmpl w:val="42D11E4A"/>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4">
    <w:nsid w:val="467A7D38"/>
    <w:multiLevelType w:val="multilevel"/>
    <w:tmpl w:val="467A7D38"/>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5">
    <w:nsid w:val="48293B8C"/>
    <w:multiLevelType w:val="singleLevel"/>
    <w:tmpl w:val="48293B8C"/>
    <w:lvl w:ilvl="0" w:tentative="0">
      <w:start w:val="1"/>
      <w:numFmt w:val="decimal"/>
      <w:lvlText w:val="%1."/>
      <w:lvlJc w:val="left"/>
      <w:pPr>
        <w:ind w:left="425" w:hanging="425"/>
      </w:pPr>
      <w:rPr>
        <w:rFonts w:hint="default"/>
      </w:rPr>
    </w:lvl>
  </w:abstractNum>
  <w:abstractNum w:abstractNumId="106">
    <w:nsid w:val="4950C4DD"/>
    <w:multiLevelType w:val="singleLevel"/>
    <w:tmpl w:val="4950C4DD"/>
    <w:lvl w:ilvl="0" w:tentative="0">
      <w:start w:val="1"/>
      <w:numFmt w:val="decimal"/>
      <w:lvlText w:val="%1."/>
      <w:lvlJc w:val="left"/>
      <w:pPr>
        <w:ind w:left="425" w:hanging="425"/>
      </w:pPr>
      <w:rPr>
        <w:rFonts w:hint="default"/>
      </w:rPr>
    </w:lvl>
  </w:abstractNum>
  <w:abstractNum w:abstractNumId="107">
    <w:nsid w:val="4A3D989F"/>
    <w:multiLevelType w:val="singleLevel"/>
    <w:tmpl w:val="4A3D989F"/>
    <w:lvl w:ilvl="0" w:tentative="0">
      <w:start w:val="1"/>
      <w:numFmt w:val="chineseCounting"/>
      <w:suff w:val="nothing"/>
      <w:lvlText w:val="（%1）"/>
      <w:lvlJc w:val="left"/>
      <w:pPr>
        <w:ind w:left="0" w:firstLine="420"/>
      </w:pPr>
      <w:rPr>
        <w:rFonts w:hint="eastAsia"/>
      </w:rPr>
    </w:lvl>
  </w:abstractNum>
  <w:abstractNum w:abstractNumId="108">
    <w:nsid w:val="4A442AAE"/>
    <w:multiLevelType w:val="singleLevel"/>
    <w:tmpl w:val="4A442AAE"/>
    <w:lvl w:ilvl="0" w:tentative="0">
      <w:start w:val="1"/>
      <w:numFmt w:val="decimal"/>
      <w:lvlText w:val="(%1)"/>
      <w:lvlJc w:val="left"/>
      <w:pPr>
        <w:ind w:left="425" w:hanging="425"/>
      </w:pPr>
      <w:rPr>
        <w:rFonts w:hint="default"/>
      </w:rPr>
    </w:lvl>
  </w:abstractNum>
  <w:abstractNum w:abstractNumId="109">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0">
    <w:nsid w:val="4CE7BFF9"/>
    <w:multiLevelType w:val="singleLevel"/>
    <w:tmpl w:val="4CE7BFF9"/>
    <w:lvl w:ilvl="0" w:tentative="0">
      <w:start w:val="1"/>
      <w:numFmt w:val="decimal"/>
      <w:lvlText w:val="%1."/>
      <w:lvlJc w:val="left"/>
      <w:pPr>
        <w:ind w:left="425" w:hanging="425"/>
      </w:pPr>
      <w:rPr>
        <w:rFonts w:hint="default"/>
      </w:rPr>
    </w:lvl>
  </w:abstractNum>
  <w:abstractNum w:abstractNumId="111">
    <w:nsid w:val="4F3BE803"/>
    <w:multiLevelType w:val="singleLevel"/>
    <w:tmpl w:val="4F3BE803"/>
    <w:lvl w:ilvl="0" w:tentative="0">
      <w:start w:val="1"/>
      <w:numFmt w:val="decimal"/>
      <w:lvlText w:val="%1."/>
      <w:lvlJc w:val="left"/>
      <w:pPr>
        <w:ind w:left="425" w:hanging="425"/>
      </w:pPr>
      <w:rPr>
        <w:rFonts w:hint="default"/>
      </w:rPr>
    </w:lvl>
  </w:abstractNum>
  <w:abstractNum w:abstractNumId="112">
    <w:nsid w:val="4F68C5CD"/>
    <w:multiLevelType w:val="singleLevel"/>
    <w:tmpl w:val="4F68C5CD"/>
    <w:lvl w:ilvl="0" w:tentative="0">
      <w:start w:val="1"/>
      <w:numFmt w:val="decimal"/>
      <w:lvlText w:val="%1."/>
      <w:lvlJc w:val="left"/>
      <w:pPr>
        <w:ind w:left="425" w:hanging="425"/>
      </w:pPr>
      <w:rPr>
        <w:rFonts w:hint="default"/>
      </w:rPr>
    </w:lvl>
  </w:abstractNum>
  <w:abstractNum w:abstractNumId="113">
    <w:nsid w:val="50675357"/>
    <w:multiLevelType w:val="multilevel"/>
    <w:tmpl w:val="50675357"/>
    <w:lvl w:ilvl="0" w:tentative="0">
      <w:start w:val="1"/>
      <w:numFmt w:val="decimal"/>
      <w:lvlText w:val="%1."/>
      <w:lvlJc w:val="left"/>
      <w:pPr>
        <w:tabs>
          <w:tab w:val="left" w:pos="425"/>
        </w:tabs>
        <w:ind w:left="425" w:hanging="425"/>
      </w:pPr>
      <w:rPr>
        <w:rFonts w:hint="eastAsia"/>
        <w:b w:val="0"/>
      </w:r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14">
    <w:nsid w:val="526EB4F0"/>
    <w:multiLevelType w:val="singleLevel"/>
    <w:tmpl w:val="526EB4F0"/>
    <w:lvl w:ilvl="0" w:tentative="0">
      <w:start w:val="1"/>
      <w:numFmt w:val="chineseCounting"/>
      <w:suff w:val="nothing"/>
      <w:lvlText w:val="（%1）"/>
      <w:lvlJc w:val="left"/>
      <w:pPr>
        <w:ind w:left="197" w:firstLine="420"/>
      </w:pPr>
      <w:rPr>
        <w:rFonts w:hint="eastAsia"/>
      </w:rPr>
    </w:lvl>
  </w:abstractNum>
  <w:abstractNum w:abstractNumId="115">
    <w:nsid w:val="527E0473"/>
    <w:multiLevelType w:val="singleLevel"/>
    <w:tmpl w:val="527E0473"/>
    <w:lvl w:ilvl="0" w:tentative="0">
      <w:start w:val="1"/>
      <w:numFmt w:val="chineseCounting"/>
      <w:suff w:val="nothing"/>
      <w:lvlText w:val="（%1）"/>
      <w:lvlJc w:val="left"/>
      <w:pPr>
        <w:ind w:left="0" w:firstLine="420"/>
      </w:pPr>
      <w:rPr>
        <w:rFonts w:hint="eastAsia"/>
      </w:rPr>
    </w:lvl>
  </w:abstractNum>
  <w:abstractNum w:abstractNumId="116">
    <w:nsid w:val="52F42418"/>
    <w:multiLevelType w:val="multilevel"/>
    <w:tmpl w:val="52F42418"/>
    <w:lvl w:ilvl="0" w:tentative="0">
      <w:start w:val="1"/>
      <w:numFmt w:val="decimal"/>
      <w:lvlText w:val="%1."/>
      <w:lvlJc w:val="left"/>
      <w:pPr>
        <w:tabs>
          <w:tab w:val="left" w:pos="425"/>
        </w:tabs>
        <w:ind w:left="425" w:hanging="425"/>
      </w:pPr>
      <w:rPr>
        <w:rFonts w:hint="eastAsia" w:ascii="宋体" w:hAnsi="宋体" w:eastAsia="宋体"/>
        <w:b w:val="0"/>
        <w:color w:val="auto"/>
      </w:rPr>
    </w:lvl>
    <w:lvl w:ilvl="1" w:tentative="0">
      <w:start w:val="1"/>
      <w:numFmt w:val="decimal"/>
      <w:lvlText w:val="%1.%2"/>
      <w:lvlJc w:val="left"/>
      <w:pPr>
        <w:tabs>
          <w:tab w:val="left" w:pos="567"/>
        </w:tabs>
        <w:ind w:left="567" w:hanging="567"/>
      </w:pPr>
      <w:rPr>
        <w:rFonts w:hint="eastAsia" w:ascii="宋体" w:hAnsi="宋体" w:eastAsia="宋体"/>
        <w:b w:val="0"/>
      </w:rPr>
    </w:lvl>
    <w:lvl w:ilvl="2" w:tentative="0">
      <w:start w:val="1"/>
      <w:numFmt w:val="decimal"/>
      <w:lvlText w:val="%1.%2.%3"/>
      <w:lvlJc w:val="left"/>
      <w:pPr>
        <w:tabs>
          <w:tab w:val="left" w:pos="709"/>
        </w:tabs>
        <w:ind w:left="709" w:hanging="709"/>
      </w:pPr>
      <w:rPr>
        <w:rFonts w:hint="eastAsia" w:ascii="宋体" w:hAnsi="宋体" w:eastAsia="宋体"/>
      </w:rPr>
    </w:lvl>
    <w:lvl w:ilvl="3" w:tentative="0">
      <w:start w:val="1"/>
      <w:numFmt w:val="decimal"/>
      <w:lvlText w:val="%1.%2.%3.%4."/>
      <w:lvlJc w:val="left"/>
      <w:pPr>
        <w:tabs>
          <w:tab w:val="left" w:pos="851"/>
        </w:tabs>
        <w:ind w:left="851" w:hanging="85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7">
    <w:nsid w:val="53995528"/>
    <w:multiLevelType w:val="multilevel"/>
    <w:tmpl w:val="53995528"/>
    <w:lvl w:ilvl="0" w:tentative="0">
      <w:start w:val="1"/>
      <w:numFmt w:val="decimal"/>
      <w:lvlText w:val="%1."/>
      <w:lvlJc w:val="center"/>
      <w:pPr>
        <w:ind w:left="624" w:hanging="624"/>
      </w:pPr>
      <w:rPr>
        <w:rFonts w:hint="eastAsia" w:ascii="宋体" w:hAnsi="宋体" w:eastAsia="宋体"/>
        <w:b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8">
    <w:nsid w:val="540D1739"/>
    <w:multiLevelType w:val="singleLevel"/>
    <w:tmpl w:val="540D1739"/>
    <w:lvl w:ilvl="0" w:tentative="0">
      <w:start w:val="1"/>
      <w:numFmt w:val="decimal"/>
      <w:lvlText w:val="%1."/>
      <w:lvlJc w:val="left"/>
      <w:pPr>
        <w:ind w:left="425" w:hanging="425"/>
      </w:pPr>
      <w:rPr>
        <w:rFonts w:hint="default"/>
      </w:rPr>
    </w:lvl>
  </w:abstractNum>
  <w:abstractNum w:abstractNumId="119">
    <w:nsid w:val="5631A12C"/>
    <w:multiLevelType w:val="singleLevel"/>
    <w:tmpl w:val="5631A12C"/>
    <w:lvl w:ilvl="0" w:tentative="0">
      <w:start w:val="1"/>
      <w:numFmt w:val="chineseCounting"/>
      <w:suff w:val="nothing"/>
      <w:lvlText w:val="%1、"/>
      <w:lvlJc w:val="left"/>
      <w:pPr>
        <w:ind w:left="0" w:firstLine="420"/>
      </w:pPr>
      <w:rPr>
        <w:rFonts w:hint="eastAsia"/>
      </w:rPr>
    </w:lvl>
  </w:abstractNum>
  <w:abstractNum w:abstractNumId="120">
    <w:nsid w:val="56583332"/>
    <w:multiLevelType w:val="multilevel"/>
    <w:tmpl w:val="56583332"/>
    <w:lvl w:ilvl="0" w:tentative="0">
      <w:start w:val="1"/>
      <w:numFmt w:val="decimal"/>
      <w:lvlText w:val="%1."/>
      <w:lvlJc w:val="left"/>
      <w:pPr>
        <w:tabs>
          <w:tab w:val="left" w:pos="425"/>
        </w:tabs>
        <w:ind w:left="425" w:hanging="425"/>
      </w:pPr>
      <w:rPr>
        <w:rFonts w:ascii="宋体" w:hAnsi="宋体" w:eastAsia="宋体"/>
      </w:r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21">
    <w:nsid w:val="569D8923"/>
    <w:multiLevelType w:val="singleLevel"/>
    <w:tmpl w:val="569D8923"/>
    <w:lvl w:ilvl="0" w:tentative="0">
      <w:start w:val="1"/>
      <w:numFmt w:val="decimal"/>
      <w:lvlText w:val="%1."/>
      <w:lvlJc w:val="left"/>
      <w:pPr>
        <w:ind w:left="425" w:hanging="425"/>
      </w:pPr>
      <w:rPr>
        <w:rFonts w:hint="default"/>
      </w:rPr>
    </w:lvl>
  </w:abstractNum>
  <w:abstractNum w:abstractNumId="122">
    <w:nsid w:val="574460AB"/>
    <w:multiLevelType w:val="singleLevel"/>
    <w:tmpl w:val="574460AB"/>
    <w:lvl w:ilvl="0" w:tentative="0">
      <w:start w:val="1"/>
      <w:numFmt w:val="decimal"/>
      <w:lvlText w:val="%1."/>
      <w:lvlJc w:val="left"/>
      <w:pPr>
        <w:ind w:left="425" w:hanging="425"/>
      </w:pPr>
      <w:rPr>
        <w:rFonts w:hint="default"/>
      </w:rPr>
    </w:lvl>
  </w:abstractNum>
  <w:abstractNum w:abstractNumId="123">
    <w:nsid w:val="58A1839B"/>
    <w:multiLevelType w:val="singleLevel"/>
    <w:tmpl w:val="58A1839B"/>
    <w:lvl w:ilvl="0" w:tentative="0">
      <w:start w:val="1"/>
      <w:numFmt w:val="decimal"/>
      <w:lvlText w:val="%1."/>
      <w:lvlJc w:val="left"/>
      <w:pPr>
        <w:ind w:left="425" w:hanging="425"/>
      </w:pPr>
      <w:rPr>
        <w:rFonts w:hint="default"/>
      </w:rPr>
    </w:lvl>
  </w:abstractNum>
  <w:abstractNum w:abstractNumId="124">
    <w:nsid w:val="59170E7C"/>
    <w:multiLevelType w:val="multilevel"/>
    <w:tmpl w:val="59170E7C"/>
    <w:lvl w:ilvl="0" w:tentative="0">
      <w:start w:val="1"/>
      <w:numFmt w:val="chineseCountingThousand"/>
      <w:lvlText w:val="%1、"/>
      <w:lvlJc w:val="left"/>
      <w:pPr>
        <w:ind w:left="861" w:hanging="420"/>
      </w:pPr>
    </w:lvl>
    <w:lvl w:ilvl="1" w:tentative="0">
      <w:start w:val="1"/>
      <w:numFmt w:val="lowerLetter"/>
      <w:lvlText w:val="%2)"/>
      <w:lvlJc w:val="left"/>
      <w:pPr>
        <w:ind w:left="1281" w:hanging="420"/>
      </w:pPr>
    </w:lvl>
    <w:lvl w:ilvl="2" w:tentative="0">
      <w:start w:val="1"/>
      <w:numFmt w:val="lowerRoman"/>
      <w:lvlText w:val="%3."/>
      <w:lvlJc w:val="right"/>
      <w:pPr>
        <w:ind w:left="1701" w:hanging="420"/>
      </w:pPr>
    </w:lvl>
    <w:lvl w:ilvl="3" w:tentative="0">
      <w:start w:val="1"/>
      <w:numFmt w:val="decimal"/>
      <w:lvlText w:val="%4."/>
      <w:lvlJc w:val="left"/>
      <w:pPr>
        <w:ind w:left="2121" w:hanging="420"/>
      </w:pPr>
    </w:lvl>
    <w:lvl w:ilvl="4" w:tentative="0">
      <w:start w:val="1"/>
      <w:numFmt w:val="lowerLetter"/>
      <w:lvlText w:val="%5)"/>
      <w:lvlJc w:val="left"/>
      <w:pPr>
        <w:ind w:left="2541" w:hanging="420"/>
      </w:pPr>
    </w:lvl>
    <w:lvl w:ilvl="5" w:tentative="0">
      <w:start w:val="1"/>
      <w:numFmt w:val="lowerRoman"/>
      <w:lvlText w:val="%6."/>
      <w:lvlJc w:val="right"/>
      <w:pPr>
        <w:ind w:left="2961" w:hanging="420"/>
      </w:pPr>
    </w:lvl>
    <w:lvl w:ilvl="6" w:tentative="0">
      <w:start w:val="1"/>
      <w:numFmt w:val="decimal"/>
      <w:lvlText w:val="%7."/>
      <w:lvlJc w:val="left"/>
      <w:pPr>
        <w:ind w:left="3381" w:hanging="420"/>
      </w:pPr>
    </w:lvl>
    <w:lvl w:ilvl="7" w:tentative="0">
      <w:start w:val="1"/>
      <w:numFmt w:val="lowerLetter"/>
      <w:lvlText w:val="%8)"/>
      <w:lvlJc w:val="left"/>
      <w:pPr>
        <w:ind w:left="3801" w:hanging="420"/>
      </w:pPr>
    </w:lvl>
    <w:lvl w:ilvl="8" w:tentative="0">
      <w:start w:val="1"/>
      <w:numFmt w:val="lowerRoman"/>
      <w:lvlText w:val="%9."/>
      <w:lvlJc w:val="right"/>
      <w:pPr>
        <w:ind w:left="4221" w:hanging="420"/>
      </w:pPr>
    </w:lvl>
  </w:abstractNum>
  <w:abstractNum w:abstractNumId="125">
    <w:nsid w:val="59B54A3C"/>
    <w:multiLevelType w:val="singleLevel"/>
    <w:tmpl w:val="59B54A3C"/>
    <w:lvl w:ilvl="0" w:tentative="0">
      <w:start w:val="1"/>
      <w:numFmt w:val="decimal"/>
      <w:lvlText w:val="%1."/>
      <w:lvlJc w:val="left"/>
      <w:pPr>
        <w:ind w:left="425" w:hanging="425"/>
      </w:pPr>
      <w:rPr>
        <w:rFonts w:hint="default"/>
      </w:rPr>
    </w:lvl>
  </w:abstractNum>
  <w:abstractNum w:abstractNumId="126">
    <w:nsid w:val="59B54A62"/>
    <w:multiLevelType w:val="singleLevel"/>
    <w:tmpl w:val="59B54A62"/>
    <w:lvl w:ilvl="0" w:tentative="0">
      <w:start w:val="1"/>
      <w:numFmt w:val="decimal"/>
      <w:lvlText w:val="%1."/>
      <w:lvlJc w:val="left"/>
      <w:pPr>
        <w:ind w:left="425" w:hanging="425"/>
      </w:pPr>
      <w:rPr>
        <w:rFonts w:hint="default"/>
      </w:rPr>
    </w:lvl>
  </w:abstractNum>
  <w:abstractNum w:abstractNumId="127">
    <w:nsid w:val="5A7372A8"/>
    <w:multiLevelType w:val="singleLevel"/>
    <w:tmpl w:val="5A7372A8"/>
    <w:lvl w:ilvl="0" w:tentative="0">
      <w:start w:val="1"/>
      <w:numFmt w:val="decimal"/>
      <w:lvlText w:val="%1."/>
      <w:lvlJc w:val="left"/>
      <w:pPr>
        <w:ind w:left="425" w:hanging="425"/>
      </w:pPr>
      <w:rPr>
        <w:rFonts w:hint="default"/>
      </w:rPr>
    </w:lvl>
  </w:abstractNum>
  <w:abstractNum w:abstractNumId="128">
    <w:nsid w:val="5A7B14B8"/>
    <w:multiLevelType w:val="singleLevel"/>
    <w:tmpl w:val="5A7B14B8"/>
    <w:lvl w:ilvl="0" w:tentative="0">
      <w:start w:val="1"/>
      <w:numFmt w:val="decimal"/>
      <w:lvlText w:val="(%1)"/>
      <w:lvlJc w:val="left"/>
      <w:pPr>
        <w:ind w:left="425" w:hanging="425"/>
      </w:pPr>
      <w:rPr>
        <w:rFonts w:hint="default"/>
      </w:rPr>
    </w:lvl>
  </w:abstractNum>
  <w:abstractNum w:abstractNumId="129">
    <w:nsid w:val="5AC901C2"/>
    <w:multiLevelType w:val="singleLevel"/>
    <w:tmpl w:val="5AC901C2"/>
    <w:lvl w:ilvl="0" w:tentative="0">
      <w:start w:val="1"/>
      <w:numFmt w:val="decimal"/>
      <w:lvlText w:val="%1."/>
      <w:lvlJc w:val="left"/>
      <w:pPr>
        <w:ind w:left="425" w:hanging="425"/>
      </w:pPr>
      <w:rPr>
        <w:rFonts w:hint="default"/>
      </w:rPr>
    </w:lvl>
  </w:abstractNum>
  <w:abstractNum w:abstractNumId="130">
    <w:nsid w:val="5B148BA2"/>
    <w:multiLevelType w:val="singleLevel"/>
    <w:tmpl w:val="5B148BA2"/>
    <w:lvl w:ilvl="0" w:tentative="0">
      <w:start w:val="1"/>
      <w:numFmt w:val="decimal"/>
      <w:lvlText w:val="(%1)"/>
      <w:lvlJc w:val="left"/>
      <w:pPr>
        <w:ind w:left="425" w:hanging="425"/>
      </w:pPr>
      <w:rPr>
        <w:rFonts w:hint="default"/>
      </w:rPr>
    </w:lvl>
  </w:abstractNum>
  <w:abstractNum w:abstractNumId="131">
    <w:nsid w:val="5B9A6BA0"/>
    <w:multiLevelType w:val="multilevel"/>
    <w:tmpl w:val="5B9A6BA0"/>
    <w:lvl w:ilvl="0" w:tentative="0">
      <w:start w:val="1"/>
      <w:numFmt w:val="decimal"/>
      <w:lvlText w:val="%1．"/>
      <w:lvlJc w:val="left"/>
      <w:pPr>
        <w:tabs>
          <w:tab w:val="left" w:pos="360"/>
        </w:tabs>
        <w:ind w:left="360" w:hanging="36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2">
    <w:nsid w:val="5CDCBD8B"/>
    <w:multiLevelType w:val="singleLevel"/>
    <w:tmpl w:val="5CDCBD8B"/>
    <w:lvl w:ilvl="0" w:tentative="0">
      <w:start w:val="1"/>
      <w:numFmt w:val="decimal"/>
      <w:lvlText w:val="%1."/>
      <w:lvlJc w:val="left"/>
      <w:pPr>
        <w:ind w:left="425" w:hanging="425"/>
      </w:pPr>
      <w:rPr>
        <w:rFonts w:hint="default"/>
      </w:rPr>
    </w:lvl>
  </w:abstractNum>
  <w:abstractNum w:abstractNumId="133">
    <w:nsid w:val="5DDDC1B3"/>
    <w:multiLevelType w:val="singleLevel"/>
    <w:tmpl w:val="5DDDC1B3"/>
    <w:lvl w:ilvl="0" w:tentative="0">
      <w:start w:val="1"/>
      <w:numFmt w:val="chineseCounting"/>
      <w:suff w:val="nothing"/>
      <w:lvlText w:val="（%1）"/>
      <w:lvlJc w:val="left"/>
      <w:pPr>
        <w:ind w:left="0" w:firstLine="420"/>
      </w:pPr>
      <w:rPr>
        <w:rFonts w:hint="eastAsia"/>
      </w:rPr>
    </w:lvl>
  </w:abstractNum>
  <w:abstractNum w:abstractNumId="134">
    <w:nsid w:val="5F81E685"/>
    <w:multiLevelType w:val="singleLevel"/>
    <w:tmpl w:val="5F81E685"/>
    <w:lvl w:ilvl="0" w:tentative="0">
      <w:start w:val="1"/>
      <w:numFmt w:val="decimal"/>
      <w:lvlText w:val="(%1)"/>
      <w:lvlJc w:val="left"/>
      <w:pPr>
        <w:ind w:left="425" w:hanging="425"/>
      </w:pPr>
      <w:rPr>
        <w:rFonts w:hint="default"/>
      </w:rPr>
    </w:lvl>
  </w:abstractNum>
  <w:abstractNum w:abstractNumId="135">
    <w:nsid w:val="6081A634"/>
    <w:multiLevelType w:val="singleLevel"/>
    <w:tmpl w:val="6081A634"/>
    <w:lvl w:ilvl="0" w:tentative="0">
      <w:start w:val="1"/>
      <w:numFmt w:val="decimal"/>
      <w:lvlText w:val="(%1)"/>
      <w:lvlJc w:val="left"/>
      <w:pPr>
        <w:ind w:left="425" w:hanging="425"/>
      </w:pPr>
      <w:rPr>
        <w:rFonts w:hint="default"/>
      </w:rPr>
    </w:lvl>
  </w:abstractNum>
  <w:abstractNum w:abstractNumId="136">
    <w:nsid w:val="619D7F1F"/>
    <w:multiLevelType w:val="singleLevel"/>
    <w:tmpl w:val="619D7F1F"/>
    <w:lvl w:ilvl="0" w:tentative="0">
      <w:start w:val="1"/>
      <w:numFmt w:val="decimal"/>
      <w:lvlText w:val="(%1)"/>
      <w:lvlJc w:val="left"/>
      <w:pPr>
        <w:ind w:left="425" w:hanging="425"/>
      </w:pPr>
      <w:rPr>
        <w:rFonts w:hint="default"/>
      </w:rPr>
    </w:lvl>
  </w:abstractNum>
  <w:abstractNum w:abstractNumId="137">
    <w:nsid w:val="624878E4"/>
    <w:multiLevelType w:val="singleLevel"/>
    <w:tmpl w:val="624878E4"/>
    <w:lvl w:ilvl="0" w:tentative="0">
      <w:start w:val="1"/>
      <w:numFmt w:val="chineseCounting"/>
      <w:suff w:val="nothing"/>
      <w:lvlText w:val="%1、"/>
      <w:lvlJc w:val="left"/>
      <w:pPr>
        <w:ind w:left="0" w:firstLine="420"/>
      </w:pPr>
      <w:rPr>
        <w:rFonts w:hint="eastAsia"/>
      </w:rPr>
    </w:lvl>
  </w:abstractNum>
  <w:abstractNum w:abstractNumId="138">
    <w:nsid w:val="6392561B"/>
    <w:multiLevelType w:val="singleLevel"/>
    <w:tmpl w:val="6392561B"/>
    <w:lvl w:ilvl="0" w:tentative="0">
      <w:start w:val="1"/>
      <w:numFmt w:val="decimal"/>
      <w:lvlText w:val="(%1)"/>
      <w:lvlJc w:val="left"/>
      <w:pPr>
        <w:ind w:left="425" w:hanging="425"/>
      </w:pPr>
      <w:rPr>
        <w:rFonts w:hint="default"/>
      </w:rPr>
    </w:lvl>
  </w:abstractNum>
  <w:abstractNum w:abstractNumId="139">
    <w:nsid w:val="64874A3C"/>
    <w:multiLevelType w:val="multilevel"/>
    <w:tmpl w:val="64874A3C"/>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0">
    <w:nsid w:val="650A56B4"/>
    <w:multiLevelType w:val="singleLevel"/>
    <w:tmpl w:val="650A56B4"/>
    <w:lvl w:ilvl="0" w:tentative="0">
      <w:start w:val="1"/>
      <w:numFmt w:val="decimal"/>
      <w:lvlText w:val="(%1)"/>
      <w:lvlJc w:val="left"/>
      <w:pPr>
        <w:ind w:left="425" w:hanging="425"/>
      </w:pPr>
      <w:rPr>
        <w:rFonts w:hint="default"/>
      </w:rPr>
    </w:lvl>
  </w:abstractNum>
  <w:abstractNum w:abstractNumId="141">
    <w:nsid w:val="66ADEB80"/>
    <w:multiLevelType w:val="singleLevel"/>
    <w:tmpl w:val="66ADEB80"/>
    <w:lvl w:ilvl="0" w:tentative="0">
      <w:start w:val="1"/>
      <w:numFmt w:val="chineseCounting"/>
      <w:suff w:val="nothing"/>
      <w:lvlText w:val="（%1）"/>
      <w:lvlJc w:val="left"/>
      <w:pPr>
        <w:ind w:left="0" w:firstLine="420"/>
      </w:pPr>
      <w:rPr>
        <w:rFonts w:hint="eastAsia"/>
      </w:rPr>
    </w:lvl>
  </w:abstractNum>
  <w:abstractNum w:abstractNumId="142">
    <w:nsid w:val="66E94ACC"/>
    <w:multiLevelType w:val="singleLevel"/>
    <w:tmpl w:val="66E94ACC"/>
    <w:lvl w:ilvl="0" w:tentative="0">
      <w:start w:val="1"/>
      <w:numFmt w:val="decimal"/>
      <w:lvlText w:val="%1."/>
      <w:lvlJc w:val="left"/>
      <w:pPr>
        <w:ind w:left="425" w:hanging="425"/>
      </w:pPr>
      <w:rPr>
        <w:rFonts w:hint="default"/>
      </w:rPr>
    </w:lvl>
  </w:abstractNum>
  <w:abstractNum w:abstractNumId="143">
    <w:nsid w:val="671514BD"/>
    <w:multiLevelType w:val="singleLevel"/>
    <w:tmpl w:val="671514BD"/>
    <w:lvl w:ilvl="0" w:tentative="0">
      <w:start w:val="1"/>
      <w:numFmt w:val="decimal"/>
      <w:lvlText w:val="(%1)"/>
      <w:lvlJc w:val="left"/>
      <w:pPr>
        <w:ind w:left="425" w:hanging="425"/>
      </w:pPr>
      <w:rPr>
        <w:rFonts w:hint="default"/>
      </w:rPr>
    </w:lvl>
  </w:abstractNum>
  <w:abstractNum w:abstractNumId="144">
    <w:nsid w:val="67326ACC"/>
    <w:multiLevelType w:val="singleLevel"/>
    <w:tmpl w:val="67326ACC"/>
    <w:lvl w:ilvl="0" w:tentative="0">
      <w:start w:val="1"/>
      <w:numFmt w:val="chineseCounting"/>
      <w:suff w:val="nothing"/>
      <w:lvlText w:val="（%1）"/>
      <w:lvlJc w:val="left"/>
      <w:pPr>
        <w:ind w:left="0" w:firstLine="420"/>
      </w:pPr>
      <w:rPr>
        <w:rFonts w:hint="eastAsia"/>
      </w:rPr>
    </w:lvl>
  </w:abstractNum>
  <w:abstractNum w:abstractNumId="145">
    <w:nsid w:val="6876545F"/>
    <w:multiLevelType w:val="singleLevel"/>
    <w:tmpl w:val="6876545F"/>
    <w:lvl w:ilvl="0" w:tentative="0">
      <w:start w:val="1"/>
      <w:numFmt w:val="decimal"/>
      <w:lvlText w:val="(%1)"/>
      <w:lvlJc w:val="left"/>
      <w:pPr>
        <w:ind w:left="425" w:hanging="425"/>
      </w:pPr>
      <w:rPr>
        <w:rFonts w:hint="default"/>
      </w:rPr>
    </w:lvl>
  </w:abstractNum>
  <w:abstractNum w:abstractNumId="146">
    <w:nsid w:val="6996075C"/>
    <w:multiLevelType w:val="singleLevel"/>
    <w:tmpl w:val="6996075C"/>
    <w:lvl w:ilvl="0" w:tentative="0">
      <w:start w:val="1"/>
      <w:numFmt w:val="decimal"/>
      <w:lvlText w:val="(%1)"/>
      <w:lvlJc w:val="left"/>
      <w:pPr>
        <w:ind w:left="425" w:hanging="425"/>
      </w:pPr>
      <w:rPr>
        <w:rFonts w:hint="default"/>
      </w:rPr>
    </w:lvl>
  </w:abstractNum>
  <w:abstractNum w:abstractNumId="147">
    <w:nsid w:val="69C56FEF"/>
    <w:multiLevelType w:val="multilevel"/>
    <w:tmpl w:val="69C56FEF"/>
    <w:lvl w:ilvl="0" w:tentative="0">
      <w:start w:val="1"/>
      <w:numFmt w:val="decimal"/>
      <w:lvlText w:val="%1."/>
      <w:lvlJc w:val="left"/>
      <w:pPr>
        <w:ind w:left="420" w:hanging="42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8">
    <w:nsid w:val="69D0BFE1"/>
    <w:multiLevelType w:val="singleLevel"/>
    <w:tmpl w:val="69D0BFE1"/>
    <w:lvl w:ilvl="0" w:tentative="0">
      <w:start w:val="1"/>
      <w:numFmt w:val="decimal"/>
      <w:lvlText w:val="%1."/>
      <w:lvlJc w:val="left"/>
      <w:pPr>
        <w:ind w:left="425" w:hanging="425"/>
      </w:pPr>
      <w:rPr>
        <w:rFonts w:hint="default"/>
      </w:rPr>
    </w:lvl>
  </w:abstractNum>
  <w:abstractNum w:abstractNumId="149">
    <w:nsid w:val="6AA63BFB"/>
    <w:multiLevelType w:val="singleLevel"/>
    <w:tmpl w:val="6AA63BFB"/>
    <w:lvl w:ilvl="0" w:tentative="0">
      <w:start w:val="1"/>
      <w:numFmt w:val="chineseCounting"/>
      <w:suff w:val="nothing"/>
      <w:lvlText w:val="（%1）"/>
      <w:lvlJc w:val="left"/>
      <w:pPr>
        <w:ind w:left="0" w:firstLine="420"/>
      </w:pPr>
      <w:rPr>
        <w:rFonts w:hint="eastAsia"/>
      </w:rPr>
    </w:lvl>
  </w:abstractNum>
  <w:abstractNum w:abstractNumId="150">
    <w:nsid w:val="6E2ABAE5"/>
    <w:multiLevelType w:val="singleLevel"/>
    <w:tmpl w:val="6E2ABAE5"/>
    <w:lvl w:ilvl="0" w:tentative="0">
      <w:start w:val="1"/>
      <w:numFmt w:val="decimal"/>
      <w:lvlText w:val="%1."/>
      <w:lvlJc w:val="left"/>
      <w:pPr>
        <w:ind w:left="425" w:hanging="425"/>
      </w:pPr>
      <w:rPr>
        <w:rFonts w:hint="default"/>
      </w:rPr>
    </w:lvl>
  </w:abstractNum>
  <w:abstractNum w:abstractNumId="151">
    <w:nsid w:val="6EAA60F0"/>
    <w:multiLevelType w:val="singleLevel"/>
    <w:tmpl w:val="6EAA60F0"/>
    <w:lvl w:ilvl="0" w:tentative="0">
      <w:start w:val="1"/>
      <w:numFmt w:val="decimal"/>
      <w:lvlText w:val="%1."/>
      <w:lvlJc w:val="left"/>
      <w:pPr>
        <w:ind w:left="425" w:hanging="425"/>
      </w:pPr>
      <w:rPr>
        <w:rFonts w:hint="default"/>
      </w:rPr>
    </w:lvl>
  </w:abstractNum>
  <w:abstractNum w:abstractNumId="152">
    <w:nsid w:val="6FD07716"/>
    <w:multiLevelType w:val="singleLevel"/>
    <w:tmpl w:val="6FD07716"/>
    <w:lvl w:ilvl="0" w:tentative="0">
      <w:start w:val="1"/>
      <w:numFmt w:val="chineseCounting"/>
      <w:suff w:val="nothing"/>
      <w:lvlText w:val="（%1）"/>
      <w:lvlJc w:val="left"/>
      <w:pPr>
        <w:ind w:left="0" w:firstLine="420"/>
      </w:pPr>
      <w:rPr>
        <w:rFonts w:hint="eastAsia"/>
      </w:rPr>
    </w:lvl>
  </w:abstractNum>
  <w:abstractNum w:abstractNumId="153">
    <w:nsid w:val="7061088D"/>
    <w:multiLevelType w:val="multilevel"/>
    <w:tmpl w:val="7061088D"/>
    <w:lvl w:ilvl="0" w:tentative="0">
      <w:start w:val="1"/>
      <w:numFmt w:val="decimal"/>
      <w:lvlText w:val="%1."/>
      <w:lvlJc w:val="left"/>
      <w:pPr>
        <w:tabs>
          <w:tab w:val="left" w:pos="420"/>
        </w:tabs>
        <w:ind w:left="42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4">
    <w:nsid w:val="71078691"/>
    <w:multiLevelType w:val="singleLevel"/>
    <w:tmpl w:val="71078691"/>
    <w:lvl w:ilvl="0" w:tentative="0">
      <w:start w:val="1"/>
      <w:numFmt w:val="decimal"/>
      <w:lvlText w:val="(%1)"/>
      <w:lvlJc w:val="left"/>
      <w:pPr>
        <w:ind w:left="425" w:hanging="425"/>
      </w:pPr>
      <w:rPr>
        <w:rFonts w:hint="default"/>
      </w:rPr>
    </w:lvl>
  </w:abstractNum>
  <w:abstractNum w:abstractNumId="155">
    <w:nsid w:val="71391A05"/>
    <w:multiLevelType w:val="singleLevel"/>
    <w:tmpl w:val="71391A05"/>
    <w:lvl w:ilvl="0" w:tentative="0">
      <w:start w:val="1"/>
      <w:numFmt w:val="chineseCounting"/>
      <w:suff w:val="nothing"/>
      <w:lvlText w:val="（%1）"/>
      <w:lvlJc w:val="left"/>
      <w:pPr>
        <w:ind w:left="0" w:firstLine="420"/>
      </w:pPr>
      <w:rPr>
        <w:rFonts w:hint="eastAsia"/>
      </w:rPr>
    </w:lvl>
  </w:abstractNum>
  <w:abstractNum w:abstractNumId="156">
    <w:nsid w:val="7493A891"/>
    <w:multiLevelType w:val="singleLevel"/>
    <w:tmpl w:val="7493A891"/>
    <w:lvl w:ilvl="0" w:tentative="0">
      <w:start w:val="1"/>
      <w:numFmt w:val="decimal"/>
      <w:lvlText w:val="(%1)"/>
      <w:lvlJc w:val="left"/>
      <w:pPr>
        <w:ind w:left="425" w:hanging="425"/>
      </w:pPr>
      <w:rPr>
        <w:rFonts w:hint="default"/>
      </w:rPr>
    </w:lvl>
  </w:abstractNum>
  <w:abstractNum w:abstractNumId="157">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8">
    <w:nsid w:val="7A0E425D"/>
    <w:multiLevelType w:val="multilevel"/>
    <w:tmpl w:val="7A0E425D"/>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9">
    <w:nsid w:val="7B246092"/>
    <w:multiLevelType w:val="singleLevel"/>
    <w:tmpl w:val="7B246092"/>
    <w:lvl w:ilvl="0" w:tentative="0">
      <w:start w:val="1"/>
      <w:numFmt w:val="decimal"/>
      <w:lvlText w:val="(%1)"/>
      <w:lvlJc w:val="left"/>
      <w:pPr>
        <w:ind w:left="425" w:hanging="425"/>
      </w:pPr>
      <w:rPr>
        <w:rFonts w:hint="default"/>
      </w:rPr>
    </w:lvl>
  </w:abstractNum>
  <w:abstractNum w:abstractNumId="160">
    <w:nsid w:val="7BDB64F3"/>
    <w:multiLevelType w:val="singleLevel"/>
    <w:tmpl w:val="7BDB64F3"/>
    <w:lvl w:ilvl="0" w:tentative="0">
      <w:start w:val="1"/>
      <w:numFmt w:val="decimal"/>
      <w:lvlText w:val="%1."/>
      <w:lvlJc w:val="left"/>
      <w:pPr>
        <w:ind w:left="425" w:hanging="425"/>
      </w:pPr>
      <w:rPr>
        <w:rFonts w:hint="default"/>
      </w:rPr>
    </w:lvl>
  </w:abstractNum>
  <w:num w:numId="1">
    <w:abstractNumId w:val="65"/>
  </w:num>
  <w:num w:numId="2">
    <w:abstractNumId w:val="119"/>
  </w:num>
  <w:num w:numId="3">
    <w:abstractNumId w:val="64"/>
  </w:num>
  <w:num w:numId="4">
    <w:abstractNumId w:val="150"/>
  </w:num>
  <w:num w:numId="5">
    <w:abstractNumId w:val="36"/>
  </w:num>
  <w:num w:numId="6">
    <w:abstractNumId w:val="116"/>
  </w:num>
  <w:num w:numId="7">
    <w:abstractNumId w:val="120"/>
  </w:num>
  <w:num w:numId="8">
    <w:abstractNumId w:val="105"/>
  </w:num>
  <w:num w:numId="9">
    <w:abstractNumId w:val="131"/>
  </w:num>
  <w:num w:numId="10">
    <w:abstractNumId w:val="146"/>
  </w:num>
  <w:num w:numId="11">
    <w:abstractNumId w:val="66"/>
  </w:num>
  <w:num w:numId="12">
    <w:abstractNumId w:val="32"/>
  </w:num>
  <w:num w:numId="13">
    <w:abstractNumId w:val="141"/>
  </w:num>
  <w:num w:numId="14">
    <w:abstractNumId w:val="133"/>
  </w:num>
  <w:num w:numId="15">
    <w:abstractNumId w:val="27"/>
  </w:num>
  <w:num w:numId="16">
    <w:abstractNumId w:val="71"/>
  </w:num>
  <w:num w:numId="17">
    <w:abstractNumId w:val="111"/>
  </w:num>
  <w:num w:numId="18">
    <w:abstractNumId w:val="129"/>
  </w:num>
  <w:num w:numId="19">
    <w:abstractNumId w:val="101"/>
  </w:num>
  <w:num w:numId="20">
    <w:abstractNumId w:val="80"/>
  </w:num>
  <w:num w:numId="21">
    <w:abstractNumId w:val="21"/>
  </w:num>
  <w:num w:numId="22">
    <w:abstractNumId w:val="118"/>
  </w:num>
  <w:num w:numId="23">
    <w:abstractNumId w:val="43"/>
  </w:num>
  <w:num w:numId="24">
    <w:abstractNumId w:val="26"/>
  </w:num>
  <w:num w:numId="25">
    <w:abstractNumId w:val="143"/>
  </w:num>
  <w:num w:numId="26">
    <w:abstractNumId w:val="77"/>
  </w:num>
  <w:num w:numId="27">
    <w:abstractNumId w:val="145"/>
  </w:num>
  <w:num w:numId="28">
    <w:abstractNumId w:val="12"/>
  </w:num>
  <w:num w:numId="29">
    <w:abstractNumId w:val="160"/>
  </w:num>
  <w:num w:numId="30">
    <w:abstractNumId w:val="20"/>
  </w:num>
  <w:num w:numId="31">
    <w:abstractNumId w:val="47"/>
  </w:num>
  <w:num w:numId="32">
    <w:abstractNumId w:val="140"/>
  </w:num>
  <w:num w:numId="33">
    <w:abstractNumId w:val="96"/>
  </w:num>
  <w:num w:numId="34">
    <w:abstractNumId w:val="151"/>
  </w:num>
  <w:num w:numId="35">
    <w:abstractNumId w:val="123"/>
  </w:num>
  <w:num w:numId="36">
    <w:abstractNumId w:val="86"/>
  </w:num>
  <w:num w:numId="37">
    <w:abstractNumId w:val="40"/>
  </w:num>
  <w:num w:numId="38">
    <w:abstractNumId w:val="152"/>
  </w:num>
  <w:num w:numId="39">
    <w:abstractNumId w:val="16"/>
  </w:num>
  <w:num w:numId="40">
    <w:abstractNumId w:val="68"/>
  </w:num>
  <w:num w:numId="41">
    <w:abstractNumId w:val="92"/>
  </w:num>
  <w:num w:numId="42">
    <w:abstractNumId w:val="35"/>
  </w:num>
  <w:num w:numId="43">
    <w:abstractNumId w:val="138"/>
  </w:num>
  <w:num w:numId="44">
    <w:abstractNumId w:val="46"/>
  </w:num>
  <w:num w:numId="45">
    <w:abstractNumId w:val="10"/>
  </w:num>
  <w:num w:numId="46">
    <w:abstractNumId w:val="89"/>
  </w:num>
  <w:num w:numId="47">
    <w:abstractNumId w:val="19"/>
  </w:num>
  <w:num w:numId="48">
    <w:abstractNumId w:val="54"/>
  </w:num>
  <w:num w:numId="49">
    <w:abstractNumId w:val="95"/>
  </w:num>
  <w:num w:numId="50">
    <w:abstractNumId w:val="78"/>
  </w:num>
  <w:num w:numId="51">
    <w:abstractNumId w:val="94"/>
  </w:num>
  <w:num w:numId="52">
    <w:abstractNumId w:val="56"/>
  </w:num>
  <w:num w:numId="53">
    <w:abstractNumId w:val="128"/>
  </w:num>
  <w:num w:numId="54">
    <w:abstractNumId w:val="115"/>
  </w:num>
  <w:num w:numId="55">
    <w:abstractNumId w:val="90"/>
  </w:num>
  <w:num w:numId="56">
    <w:abstractNumId w:val="149"/>
  </w:num>
  <w:num w:numId="57">
    <w:abstractNumId w:val="155"/>
  </w:num>
  <w:num w:numId="58">
    <w:abstractNumId w:val="97"/>
  </w:num>
  <w:num w:numId="59">
    <w:abstractNumId w:val="102"/>
  </w:num>
  <w:num w:numId="60">
    <w:abstractNumId w:val="85"/>
  </w:num>
  <w:num w:numId="61">
    <w:abstractNumId w:val="69"/>
  </w:num>
  <w:num w:numId="62">
    <w:abstractNumId w:val="122"/>
  </w:num>
  <w:num w:numId="63">
    <w:abstractNumId w:val="33"/>
  </w:num>
  <w:num w:numId="64">
    <w:abstractNumId w:val="127"/>
  </w:num>
  <w:num w:numId="65">
    <w:abstractNumId w:val="88"/>
  </w:num>
  <w:num w:numId="66">
    <w:abstractNumId w:val="106"/>
  </w:num>
  <w:num w:numId="67">
    <w:abstractNumId w:val="57"/>
  </w:num>
  <w:num w:numId="68">
    <w:abstractNumId w:val="82"/>
  </w:num>
  <w:num w:numId="69">
    <w:abstractNumId w:val="112"/>
  </w:num>
  <w:num w:numId="70">
    <w:abstractNumId w:val="134"/>
  </w:num>
  <w:num w:numId="71">
    <w:abstractNumId w:val="121"/>
  </w:num>
  <w:num w:numId="72">
    <w:abstractNumId w:val="156"/>
  </w:num>
  <w:num w:numId="73">
    <w:abstractNumId w:val="132"/>
  </w:num>
  <w:num w:numId="74">
    <w:abstractNumId w:val="48"/>
  </w:num>
  <w:num w:numId="75">
    <w:abstractNumId w:val="142"/>
  </w:num>
  <w:num w:numId="76">
    <w:abstractNumId w:val="28"/>
  </w:num>
  <w:num w:numId="77">
    <w:abstractNumId w:val="4"/>
  </w:num>
  <w:num w:numId="78">
    <w:abstractNumId w:val="38"/>
  </w:num>
  <w:num w:numId="79">
    <w:abstractNumId w:val="103"/>
  </w:num>
  <w:num w:numId="80">
    <w:abstractNumId w:val="70"/>
  </w:num>
  <w:num w:numId="81">
    <w:abstractNumId w:val="13"/>
  </w:num>
  <w:num w:numId="82">
    <w:abstractNumId w:val="3"/>
  </w:num>
  <w:num w:numId="83">
    <w:abstractNumId w:val="110"/>
  </w:num>
  <w:num w:numId="84">
    <w:abstractNumId w:val="148"/>
  </w:num>
  <w:num w:numId="85">
    <w:abstractNumId w:val="37"/>
  </w:num>
  <w:num w:numId="86">
    <w:abstractNumId w:val="153"/>
  </w:num>
  <w:num w:numId="87">
    <w:abstractNumId w:val="113"/>
  </w:num>
  <w:num w:numId="88">
    <w:abstractNumId w:val="137"/>
  </w:num>
  <w:num w:numId="89">
    <w:abstractNumId w:val="59"/>
  </w:num>
  <w:num w:numId="90">
    <w:abstractNumId w:val="52"/>
  </w:num>
  <w:num w:numId="91">
    <w:abstractNumId w:val="1"/>
  </w:num>
  <w:num w:numId="92">
    <w:abstractNumId w:val="34"/>
  </w:num>
  <w:num w:numId="93">
    <w:abstractNumId w:val="17"/>
  </w:num>
  <w:num w:numId="94">
    <w:abstractNumId w:val="14"/>
  </w:num>
  <w:num w:numId="95">
    <w:abstractNumId w:val="44"/>
  </w:num>
  <w:num w:numId="96">
    <w:abstractNumId w:val="74"/>
  </w:num>
  <w:num w:numId="97">
    <w:abstractNumId w:val="29"/>
  </w:num>
  <w:num w:numId="98">
    <w:abstractNumId w:val="53"/>
  </w:num>
  <w:num w:numId="99">
    <w:abstractNumId w:val="30"/>
  </w:num>
  <w:num w:numId="100">
    <w:abstractNumId w:val="45"/>
  </w:num>
  <w:num w:numId="101">
    <w:abstractNumId w:val="73"/>
  </w:num>
  <w:num w:numId="102">
    <w:abstractNumId w:val="87"/>
  </w:num>
  <w:num w:numId="103">
    <w:abstractNumId w:val="49"/>
  </w:num>
  <w:num w:numId="104">
    <w:abstractNumId w:val="91"/>
  </w:num>
  <w:num w:numId="105">
    <w:abstractNumId w:val="108"/>
  </w:num>
  <w:num w:numId="106">
    <w:abstractNumId w:val="130"/>
  </w:num>
  <w:num w:numId="107">
    <w:abstractNumId w:val="136"/>
  </w:num>
  <w:num w:numId="108">
    <w:abstractNumId w:val="39"/>
  </w:num>
  <w:num w:numId="109">
    <w:abstractNumId w:val="51"/>
  </w:num>
  <w:num w:numId="110">
    <w:abstractNumId w:val="154"/>
  </w:num>
  <w:num w:numId="111">
    <w:abstractNumId w:val="61"/>
  </w:num>
  <w:num w:numId="112">
    <w:abstractNumId w:val="15"/>
  </w:num>
  <w:num w:numId="113">
    <w:abstractNumId w:val="55"/>
  </w:num>
  <w:num w:numId="114">
    <w:abstractNumId w:val="0"/>
  </w:num>
  <w:num w:numId="115">
    <w:abstractNumId w:val="93"/>
  </w:num>
  <w:num w:numId="116">
    <w:abstractNumId w:val="7"/>
  </w:num>
  <w:num w:numId="117">
    <w:abstractNumId w:val="42"/>
  </w:num>
  <w:num w:numId="118">
    <w:abstractNumId w:val="107"/>
  </w:num>
  <w:num w:numId="119">
    <w:abstractNumId w:val="63"/>
  </w:num>
  <w:num w:numId="120">
    <w:abstractNumId w:val="135"/>
  </w:num>
  <w:num w:numId="121">
    <w:abstractNumId w:val="2"/>
  </w:num>
  <w:num w:numId="122">
    <w:abstractNumId w:val="6"/>
  </w:num>
  <w:num w:numId="123">
    <w:abstractNumId w:val="8"/>
  </w:num>
  <w:num w:numId="124">
    <w:abstractNumId w:val="31"/>
  </w:num>
  <w:num w:numId="125">
    <w:abstractNumId w:val="62"/>
  </w:num>
  <w:num w:numId="126">
    <w:abstractNumId w:val="5"/>
  </w:num>
  <w:num w:numId="127">
    <w:abstractNumId w:val="99"/>
  </w:num>
  <w:num w:numId="128">
    <w:abstractNumId w:val="79"/>
  </w:num>
  <w:num w:numId="129">
    <w:abstractNumId w:val="58"/>
  </w:num>
  <w:num w:numId="130">
    <w:abstractNumId w:val="144"/>
  </w:num>
  <w:num w:numId="131">
    <w:abstractNumId w:val="50"/>
  </w:num>
  <w:num w:numId="132">
    <w:abstractNumId w:val="159"/>
  </w:num>
  <w:num w:numId="133">
    <w:abstractNumId w:val="11"/>
  </w:num>
  <w:num w:numId="134">
    <w:abstractNumId w:val="100"/>
  </w:num>
  <w:num w:numId="135">
    <w:abstractNumId w:val="41"/>
  </w:num>
  <w:num w:numId="136">
    <w:abstractNumId w:val="114"/>
  </w:num>
  <w:num w:numId="137">
    <w:abstractNumId w:val="76"/>
  </w:num>
  <w:num w:numId="138">
    <w:abstractNumId w:val="18"/>
  </w:num>
  <w:num w:numId="139">
    <w:abstractNumId w:val="24"/>
  </w:num>
  <w:num w:numId="140">
    <w:abstractNumId w:val="67"/>
  </w:num>
  <w:num w:numId="141">
    <w:abstractNumId w:val="139"/>
  </w:num>
  <w:num w:numId="142">
    <w:abstractNumId w:val="158"/>
  </w:num>
  <w:num w:numId="143">
    <w:abstractNumId w:val="98"/>
  </w:num>
  <w:num w:numId="144">
    <w:abstractNumId w:val="157"/>
  </w:num>
  <w:num w:numId="145">
    <w:abstractNumId w:val="124"/>
  </w:num>
  <w:num w:numId="146">
    <w:abstractNumId w:val="25"/>
  </w:num>
  <w:num w:numId="147">
    <w:abstractNumId w:val="22"/>
  </w:num>
  <w:num w:numId="148">
    <w:abstractNumId w:val="109"/>
  </w:num>
  <w:num w:numId="149">
    <w:abstractNumId w:val="81"/>
  </w:num>
  <w:num w:numId="150">
    <w:abstractNumId w:val="125"/>
  </w:num>
  <w:num w:numId="151">
    <w:abstractNumId w:val="126"/>
  </w:num>
  <w:num w:numId="152">
    <w:abstractNumId w:val="72"/>
  </w:num>
  <w:num w:numId="153">
    <w:abstractNumId w:val="147"/>
  </w:num>
  <w:num w:numId="154">
    <w:abstractNumId w:val="75"/>
  </w:num>
  <w:num w:numId="155">
    <w:abstractNumId w:val="117"/>
  </w:num>
  <w:num w:numId="156">
    <w:abstractNumId w:val="84"/>
  </w:num>
  <w:num w:numId="157">
    <w:abstractNumId w:val="83"/>
  </w:num>
  <w:num w:numId="158">
    <w:abstractNumId w:val="9"/>
  </w:num>
  <w:num w:numId="159">
    <w:abstractNumId w:val="60"/>
  </w:num>
  <w:num w:numId="160">
    <w:abstractNumId w:val="104"/>
  </w:num>
  <w:num w:numId="1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A8204E"/>
    <w:rsid w:val="0160663A"/>
    <w:rsid w:val="01725B2E"/>
    <w:rsid w:val="017602C7"/>
    <w:rsid w:val="01A3355E"/>
    <w:rsid w:val="01E26F49"/>
    <w:rsid w:val="0296155C"/>
    <w:rsid w:val="03352E99"/>
    <w:rsid w:val="03F2675C"/>
    <w:rsid w:val="03F6609D"/>
    <w:rsid w:val="04625286"/>
    <w:rsid w:val="04F32B7C"/>
    <w:rsid w:val="0557328E"/>
    <w:rsid w:val="05FD0E24"/>
    <w:rsid w:val="06BC2494"/>
    <w:rsid w:val="0755200E"/>
    <w:rsid w:val="07622817"/>
    <w:rsid w:val="0765760B"/>
    <w:rsid w:val="07C13314"/>
    <w:rsid w:val="081F329C"/>
    <w:rsid w:val="08CD76A1"/>
    <w:rsid w:val="08FD582C"/>
    <w:rsid w:val="092316B6"/>
    <w:rsid w:val="09486BF7"/>
    <w:rsid w:val="0949325D"/>
    <w:rsid w:val="099A3A3F"/>
    <w:rsid w:val="09A24EE0"/>
    <w:rsid w:val="09A90A8C"/>
    <w:rsid w:val="09B83AA4"/>
    <w:rsid w:val="09B84AE7"/>
    <w:rsid w:val="0A1E49C5"/>
    <w:rsid w:val="0A2D5C34"/>
    <w:rsid w:val="0AAA1108"/>
    <w:rsid w:val="0AE84B42"/>
    <w:rsid w:val="0AF127C4"/>
    <w:rsid w:val="0B352B6E"/>
    <w:rsid w:val="0B637501"/>
    <w:rsid w:val="0C822B4D"/>
    <w:rsid w:val="0C95392B"/>
    <w:rsid w:val="0CD54C8D"/>
    <w:rsid w:val="0CE02DC3"/>
    <w:rsid w:val="0D1B1185"/>
    <w:rsid w:val="0D776115"/>
    <w:rsid w:val="0DE50C90"/>
    <w:rsid w:val="0E182857"/>
    <w:rsid w:val="0E190BDD"/>
    <w:rsid w:val="0EAB7151"/>
    <w:rsid w:val="0EC72EAE"/>
    <w:rsid w:val="101B0461"/>
    <w:rsid w:val="10236A4A"/>
    <w:rsid w:val="111F5EAD"/>
    <w:rsid w:val="115B32BE"/>
    <w:rsid w:val="11A70DEB"/>
    <w:rsid w:val="125F388A"/>
    <w:rsid w:val="126E010B"/>
    <w:rsid w:val="13E64DC9"/>
    <w:rsid w:val="13F30377"/>
    <w:rsid w:val="143B48F0"/>
    <w:rsid w:val="1473140E"/>
    <w:rsid w:val="15F831F7"/>
    <w:rsid w:val="15FB082B"/>
    <w:rsid w:val="161575D0"/>
    <w:rsid w:val="16505CD8"/>
    <w:rsid w:val="16583D36"/>
    <w:rsid w:val="16607C9A"/>
    <w:rsid w:val="1663200A"/>
    <w:rsid w:val="16B60CEC"/>
    <w:rsid w:val="16E669E7"/>
    <w:rsid w:val="176A5E0F"/>
    <w:rsid w:val="178A4DAA"/>
    <w:rsid w:val="17F5755B"/>
    <w:rsid w:val="182E4043"/>
    <w:rsid w:val="18372DD4"/>
    <w:rsid w:val="183E792D"/>
    <w:rsid w:val="1853583F"/>
    <w:rsid w:val="18F4720E"/>
    <w:rsid w:val="19C902E5"/>
    <w:rsid w:val="19ED134B"/>
    <w:rsid w:val="1AEE57F1"/>
    <w:rsid w:val="1BA476CB"/>
    <w:rsid w:val="1BED368A"/>
    <w:rsid w:val="1CEC58F2"/>
    <w:rsid w:val="1D403B13"/>
    <w:rsid w:val="1DD122CE"/>
    <w:rsid w:val="1E374999"/>
    <w:rsid w:val="1E7B3867"/>
    <w:rsid w:val="1EAD5FFB"/>
    <w:rsid w:val="1F004D03"/>
    <w:rsid w:val="203E68CA"/>
    <w:rsid w:val="21156CED"/>
    <w:rsid w:val="21551BDE"/>
    <w:rsid w:val="22973AEC"/>
    <w:rsid w:val="22BA61D7"/>
    <w:rsid w:val="22FB5F0E"/>
    <w:rsid w:val="230D56BB"/>
    <w:rsid w:val="23C32EE1"/>
    <w:rsid w:val="24285B18"/>
    <w:rsid w:val="24732D05"/>
    <w:rsid w:val="24862552"/>
    <w:rsid w:val="2534072F"/>
    <w:rsid w:val="27F01F36"/>
    <w:rsid w:val="27F84F0B"/>
    <w:rsid w:val="28886FD9"/>
    <w:rsid w:val="28BC6194"/>
    <w:rsid w:val="292D42E5"/>
    <w:rsid w:val="294D1BDB"/>
    <w:rsid w:val="296024B3"/>
    <w:rsid w:val="299C7EBE"/>
    <w:rsid w:val="2A0F4881"/>
    <w:rsid w:val="2A177D0E"/>
    <w:rsid w:val="2A4B7A45"/>
    <w:rsid w:val="2B207B4B"/>
    <w:rsid w:val="2B784396"/>
    <w:rsid w:val="2BCF4B21"/>
    <w:rsid w:val="2BE50A91"/>
    <w:rsid w:val="2C2C4B27"/>
    <w:rsid w:val="2C375F92"/>
    <w:rsid w:val="2C6B26CD"/>
    <w:rsid w:val="2CE41BA6"/>
    <w:rsid w:val="2D84175E"/>
    <w:rsid w:val="2D920CB3"/>
    <w:rsid w:val="2EC1140C"/>
    <w:rsid w:val="2F594899"/>
    <w:rsid w:val="2F810F3A"/>
    <w:rsid w:val="2FE50357"/>
    <w:rsid w:val="306D3EB6"/>
    <w:rsid w:val="312D65A0"/>
    <w:rsid w:val="31500131"/>
    <w:rsid w:val="316D441D"/>
    <w:rsid w:val="323D4609"/>
    <w:rsid w:val="32426F32"/>
    <w:rsid w:val="3250622E"/>
    <w:rsid w:val="3257092C"/>
    <w:rsid w:val="329F74C0"/>
    <w:rsid w:val="3347509A"/>
    <w:rsid w:val="33657A72"/>
    <w:rsid w:val="338E1D73"/>
    <w:rsid w:val="338E1EAD"/>
    <w:rsid w:val="33A87E93"/>
    <w:rsid w:val="340450B3"/>
    <w:rsid w:val="34A913C8"/>
    <w:rsid w:val="35180B3A"/>
    <w:rsid w:val="35911F75"/>
    <w:rsid w:val="35B14302"/>
    <w:rsid w:val="35E84DD2"/>
    <w:rsid w:val="3651044C"/>
    <w:rsid w:val="371166D0"/>
    <w:rsid w:val="388F2B06"/>
    <w:rsid w:val="38C46413"/>
    <w:rsid w:val="3934018F"/>
    <w:rsid w:val="39424758"/>
    <w:rsid w:val="399006DD"/>
    <w:rsid w:val="3A4A3181"/>
    <w:rsid w:val="3A5851C7"/>
    <w:rsid w:val="3A9F345B"/>
    <w:rsid w:val="3B5C2FB9"/>
    <w:rsid w:val="3C1942E8"/>
    <w:rsid w:val="3C5D6FF5"/>
    <w:rsid w:val="3CBD2D17"/>
    <w:rsid w:val="3CCB0E2F"/>
    <w:rsid w:val="3CDB012B"/>
    <w:rsid w:val="3E692AE5"/>
    <w:rsid w:val="3EF17652"/>
    <w:rsid w:val="3FB8579D"/>
    <w:rsid w:val="3FDD4FD1"/>
    <w:rsid w:val="3FF14E23"/>
    <w:rsid w:val="40767412"/>
    <w:rsid w:val="409E6D27"/>
    <w:rsid w:val="41CA4038"/>
    <w:rsid w:val="4235251C"/>
    <w:rsid w:val="42476483"/>
    <w:rsid w:val="42A411D5"/>
    <w:rsid w:val="42BB4F19"/>
    <w:rsid w:val="42CD123A"/>
    <w:rsid w:val="42EC23C2"/>
    <w:rsid w:val="43F77FFF"/>
    <w:rsid w:val="4426131B"/>
    <w:rsid w:val="442E7F02"/>
    <w:rsid w:val="44517853"/>
    <w:rsid w:val="44660FA2"/>
    <w:rsid w:val="448A612D"/>
    <w:rsid w:val="44AC3F23"/>
    <w:rsid w:val="44E843BE"/>
    <w:rsid w:val="45194FC1"/>
    <w:rsid w:val="45566B37"/>
    <w:rsid w:val="469C45E8"/>
    <w:rsid w:val="47121E0B"/>
    <w:rsid w:val="49562359"/>
    <w:rsid w:val="49780189"/>
    <w:rsid w:val="498645DA"/>
    <w:rsid w:val="499334E1"/>
    <w:rsid w:val="499C4585"/>
    <w:rsid w:val="49E02A82"/>
    <w:rsid w:val="49F070CC"/>
    <w:rsid w:val="4A02625E"/>
    <w:rsid w:val="4A424620"/>
    <w:rsid w:val="4B49179F"/>
    <w:rsid w:val="4B8D02E0"/>
    <w:rsid w:val="4B8F7B0B"/>
    <w:rsid w:val="4CAA046B"/>
    <w:rsid w:val="4D155D00"/>
    <w:rsid w:val="4D2661EC"/>
    <w:rsid w:val="4D9A0DDD"/>
    <w:rsid w:val="4DA35CBB"/>
    <w:rsid w:val="4E33436C"/>
    <w:rsid w:val="4E460916"/>
    <w:rsid w:val="4EF75E9B"/>
    <w:rsid w:val="4FB13003"/>
    <w:rsid w:val="50243034"/>
    <w:rsid w:val="5063449D"/>
    <w:rsid w:val="50D22D4B"/>
    <w:rsid w:val="50F232DC"/>
    <w:rsid w:val="510572BA"/>
    <w:rsid w:val="51064072"/>
    <w:rsid w:val="511B2D0D"/>
    <w:rsid w:val="513F55C8"/>
    <w:rsid w:val="516038A0"/>
    <w:rsid w:val="51951911"/>
    <w:rsid w:val="522C1FBE"/>
    <w:rsid w:val="52E3051F"/>
    <w:rsid w:val="537F0B0F"/>
    <w:rsid w:val="53DD25AF"/>
    <w:rsid w:val="544277E3"/>
    <w:rsid w:val="54B809D5"/>
    <w:rsid w:val="54F06299"/>
    <w:rsid w:val="55940563"/>
    <w:rsid w:val="5605775A"/>
    <w:rsid w:val="568B4ECD"/>
    <w:rsid w:val="575B44E8"/>
    <w:rsid w:val="57725A39"/>
    <w:rsid w:val="57FB0F9A"/>
    <w:rsid w:val="587F289B"/>
    <w:rsid w:val="58D60F59"/>
    <w:rsid w:val="58F43155"/>
    <w:rsid w:val="5B260117"/>
    <w:rsid w:val="5B7376CD"/>
    <w:rsid w:val="5BAB0797"/>
    <w:rsid w:val="5BF308E3"/>
    <w:rsid w:val="5CBA2F68"/>
    <w:rsid w:val="5D051E04"/>
    <w:rsid w:val="5D3B687E"/>
    <w:rsid w:val="5D987EB6"/>
    <w:rsid w:val="5DCD117D"/>
    <w:rsid w:val="5E4A7650"/>
    <w:rsid w:val="5E7233E3"/>
    <w:rsid w:val="5F087282"/>
    <w:rsid w:val="5F494005"/>
    <w:rsid w:val="6025334A"/>
    <w:rsid w:val="60303201"/>
    <w:rsid w:val="61285EF2"/>
    <w:rsid w:val="612E2050"/>
    <w:rsid w:val="623108D2"/>
    <w:rsid w:val="6242593C"/>
    <w:rsid w:val="62F52FF4"/>
    <w:rsid w:val="633F1D35"/>
    <w:rsid w:val="63F34F71"/>
    <w:rsid w:val="64423B23"/>
    <w:rsid w:val="65632B67"/>
    <w:rsid w:val="6577326A"/>
    <w:rsid w:val="658D4739"/>
    <w:rsid w:val="65CC5E2D"/>
    <w:rsid w:val="66327A7C"/>
    <w:rsid w:val="66E10B5B"/>
    <w:rsid w:val="679E6389"/>
    <w:rsid w:val="680D31EF"/>
    <w:rsid w:val="68317CD4"/>
    <w:rsid w:val="683A17D1"/>
    <w:rsid w:val="689F15D5"/>
    <w:rsid w:val="69112C0A"/>
    <w:rsid w:val="691C6653"/>
    <w:rsid w:val="697B39AC"/>
    <w:rsid w:val="699219E6"/>
    <w:rsid w:val="699D3005"/>
    <w:rsid w:val="69A039F4"/>
    <w:rsid w:val="69EA4D16"/>
    <w:rsid w:val="6A5B729C"/>
    <w:rsid w:val="6ABE1B1B"/>
    <w:rsid w:val="6AE20869"/>
    <w:rsid w:val="6B6E2D09"/>
    <w:rsid w:val="6B84720A"/>
    <w:rsid w:val="6BC80049"/>
    <w:rsid w:val="6BF4753F"/>
    <w:rsid w:val="6F0F753C"/>
    <w:rsid w:val="6F391C3C"/>
    <w:rsid w:val="6F6618B3"/>
    <w:rsid w:val="6FA0459C"/>
    <w:rsid w:val="6FD14E27"/>
    <w:rsid w:val="70392B8D"/>
    <w:rsid w:val="71A11B73"/>
    <w:rsid w:val="71DA6A30"/>
    <w:rsid w:val="725B14C2"/>
    <w:rsid w:val="72857FA7"/>
    <w:rsid w:val="72D141D7"/>
    <w:rsid w:val="730A7FCE"/>
    <w:rsid w:val="731967EC"/>
    <w:rsid w:val="745369D2"/>
    <w:rsid w:val="74FF2DF0"/>
    <w:rsid w:val="752D16B6"/>
    <w:rsid w:val="755846E6"/>
    <w:rsid w:val="75E152D1"/>
    <w:rsid w:val="76861594"/>
    <w:rsid w:val="769D30E2"/>
    <w:rsid w:val="7762443F"/>
    <w:rsid w:val="77CC5AE0"/>
    <w:rsid w:val="780046F0"/>
    <w:rsid w:val="781C47A6"/>
    <w:rsid w:val="78993763"/>
    <w:rsid w:val="78E26AAF"/>
    <w:rsid w:val="79375558"/>
    <w:rsid w:val="79D22916"/>
    <w:rsid w:val="7A39380A"/>
    <w:rsid w:val="7A3D1560"/>
    <w:rsid w:val="7AD31FBF"/>
    <w:rsid w:val="7BE92CC9"/>
    <w:rsid w:val="7C5A1E13"/>
    <w:rsid w:val="7DC234D7"/>
    <w:rsid w:val="7DD716D0"/>
    <w:rsid w:val="7E6714B5"/>
    <w:rsid w:val="7FDE270E"/>
    <w:rsid w:val="7FDF03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widowControl/>
      <w:jc w:val="left"/>
      <w:outlineLvl w:val="0"/>
    </w:pPr>
    <w:rPr>
      <w:b/>
      <w:bCs/>
      <w:kern w:val="0"/>
      <w:sz w:val="2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outlineLvl w:val="2"/>
    </w:pPr>
    <w:rPr>
      <w:rFonts w:ascii="楷体_GB2312" w:hAnsi="宋体" w:eastAsia="楷体_GB2312"/>
      <w:b/>
      <w:bCs/>
      <w:sz w:val="32"/>
    </w:rPr>
  </w:style>
  <w:style w:type="paragraph" w:styleId="6">
    <w:name w:val="heading 4"/>
    <w:basedOn w:val="7"/>
    <w:next w:val="7"/>
    <w:qFormat/>
    <w:uiPriority w:val="1"/>
    <w:pPr>
      <w:ind w:left="1091"/>
      <w:outlineLvl w:val="4"/>
    </w:pPr>
    <w:rPr>
      <w:rFonts w:ascii="宋体" w:hAnsi="宋体" w:eastAsia="宋体" w:cs="宋体"/>
      <w:b/>
      <w:bCs/>
      <w:sz w:val="28"/>
      <w:szCs w:val="28"/>
      <w:lang w:val="zh-CN" w:eastAsia="zh-CN" w:bidi="zh-CN"/>
    </w:rPr>
  </w:style>
  <w:style w:type="paragraph" w:styleId="9">
    <w:name w:val="heading 6"/>
    <w:basedOn w:val="7"/>
    <w:next w:val="7"/>
    <w:qFormat/>
    <w:uiPriority w:val="1"/>
    <w:pPr>
      <w:ind w:left="791"/>
      <w:outlineLvl w:val="6"/>
    </w:pPr>
    <w:rPr>
      <w:rFonts w:ascii="宋体" w:hAnsi="宋体" w:eastAsia="宋体" w:cs="宋体"/>
      <w:b/>
      <w:bCs/>
      <w:sz w:val="21"/>
      <w:szCs w:val="21"/>
      <w:lang w:val="zh-CN" w:eastAsia="zh-CN" w:bidi="zh-CN"/>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Plain Text1"/>
    <w:basedOn w:val="1"/>
    <w:qFormat/>
    <w:uiPriority w:val="0"/>
    <w:rPr>
      <w:rFonts w:ascii="宋体" w:hAnsi="Courier New" w:cs="Courier New"/>
      <w:szCs w:val="21"/>
    </w:rPr>
  </w:style>
  <w:style w:type="paragraph" w:customStyle="1" w:styleId="7">
    <w:name w:val="正文_0_1"/>
    <w:basedOn w:val="8"/>
    <w:next w:val="3"/>
    <w:qFormat/>
    <w:uiPriority w:val="0"/>
    <w:rPr>
      <w:rFonts w:ascii="Times New Roman" w:hAnsi="Times New Roman"/>
    </w:rPr>
  </w:style>
  <w:style w:type="paragraph" w:customStyle="1" w:styleId="8">
    <w:name w:val="正文_1_1"/>
    <w:next w:val="4"/>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0">
    <w:name w:val="Normal Indent"/>
    <w:basedOn w:val="1"/>
    <w:next w:val="11"/>
    <w:qFormat/>
    <w:uiPriority w:val="0"/>
    <w:pPr>
      <w:ind w:firstLine="420" w:firstLineChars="200"/>
    </w:pPr>
    <w:rPr>
      <w:szCs w:val="21"/>
    </w:rPr>
  </w:style>
  <w:style w:type="paragraph" w:customStyle="1" w:styleId="11">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styleId="12">
    <w:name w:val="annotation text"/>
    <w:basedOn w:val="1"/>
    <w:qFormat/>
    <w:uiPriority w:val="99"/>
    <w:pPr>
      <w:jc w:val="left"/>
    </w:pPr>
  </w:style>
  <w:style w:type="paragraph" w:styleId="13">
    <w:name w:val="Body Text"/>
    <w:basedOn w:val="1"/>
    <w:qFormat/>
    <w:uiPriority w:val="0"/>
    <w:pPr>
      <w:spacing w:after="120"/>
    </w:p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9060"/>
      </w:tabs>
      <w:spacing w:line="360" w:lineRule="auto"/>
    </w:pPr>
    <w:rPr>
      <w:szCs w:val="20"/>
    </w:rPr>
  </w:style>
  <w:style w:type="paragraph" w:styleId="17">
    <w:name w:val="Body Text Indent 3"/>
    <w:basedOn w:val="1"/>
    <w:qFormat/>
    <w:uiPriority w:val="0"/>
    <w:pPr>
      <w:spacing w:line="360" w:lineRule="auto"/>
      <w:ind w:left="1260" w:leftChars="600"/>
    </w:pPr>
    <w:rPr>
      <w:rFonts w:ascii="宋体" w:hAnsi="宋体"/>
      <w:b/>
      <w:bCs/>
      <w:sz w:val="24"/>
    </w:rPr>
  </w:style>
  <w:style w:type="paragraph" w:styleId="18">
    <w:name w:val="HTML Preformatted"/>
    <w:basedOn w:val="1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customStyle="1" w:styleId="19">
    <w:name w:val="正文_1_1_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uiPriority w:val="0"/>
    <w:rPr>
      <w:b/>
      <w:bCs/>
    </w:rPr>
  </w:style>
  <w:style w:type="character" w:styleId="25">
    <w:name w:val="page number"/>
    <w:basedOn w:val="23"/>
    <w:qFormat/>
    <w:uiPriority w:val="0"/>
  </w:style>
  <w:style w:type="character" w:styleId="26">
    <w:name w:val="Emphasis"/>
    <w:basedOn w:val="23"/>
    <w:qFormat/>
    <w:uiPriority w:val="0"/>
    <w:rPr>
      <w:i/>
    </w:rPr>
  </w:style>
  <w:style w:type="character" w:styleId="27">
    <w:name w:val="Hyperlink"/>
    <w:qFormat/>
    <w:uiPriority w:val="99"/>
    <w:rPr>
      <w:color w:val="000000"/>
      <w:sz w:val="18"/>
      <w:szCs w:val="18"/>
      <w:u w:val="none"/>
    </w:rPr>
  </w:style>
  <w:style w:type="character" w:styleId="28">
    <w:name w:val="annotation reference"/>
    <w:semiHidden/>
    <w:qFormat/>
    <w:uiPriority w:val="0"/>
    <w:rPr>
      <w:sz w:val="21"/>
      <w:szCs w:val="21"/>
    </w:rPr>
  </w:style>
  <w:style w:type="paragraph" w:customStyle="1" w:styleId="29">
    <w:name w:val="表格文字"/>
    <w:basedOn w:val="1"/>
    <w:qFormat/>
    <w:uiPriority w:val="0"/>
    <w:pPr>
      <w:spacing w:before="25" w:after="25" w:line="240" w:lineRule="auto"/>
      <w:ind w:firstLine="0"/>
      <w:jc w:val="left"/>
    </w:pPr>
    <w:rPr>
      <w:bCs/>
      <w:spacing w:val="10"/>
      <w:kern w:val="0"/>
      <w:sz w:val="24"/>
    </w:rPr>
  </w:style>
  <w:style w:type="paragraph" w:customStyle="1" w:styleId="30">
    <w:name w:val="正文缩进1"/>
    <w:basedOn w:val="1"/>
    <w:next w:val="11"/>
    <w:qFormat/>
    <w:uiPriority w:val="0"/>
    <w:pPr>
      <w:ind w:firstLine="420" w:firstLineChars="200"/>
    </w:pPr>
    <w:rPr>
      <w:rFonts w:eastAsia="宋体"/>
      <w:szCs w:val="21"/>
    </w:rPr>
  </w:style>
  <w:style w:type="paragraph" w:customStyle="1" w:styleId="31">
    <w:name w:val="正文_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2">
    <w:name w:val="正文_0_0_0"/>
    <w:basedOn w:val="33"/>
    <w:qFormat/>
    <w:uiPriority w:val="0"/>
    <w:rPr>
      <w:rFonts w:ascii="Times New Roman" w:hAnsi="Times New Roman"/>
    </w:rPr>
  </w:style>
  <w:style w:type="paragraph" w:customStyle="1" w:styleId="33">
    <w:name w:val="正文_1_0"/>
    <w:next w:val="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4">
    <w:name w:val="Normal Indent1"/>
    <w:basedOn w:val="1"/>
    <w:qFormat/>
    <w:uiPriority w:val="0"/>
    <w:pPr>
      <w:ind w:firstLine="420" w:firstLineChars="200"/>
    </w:pPr>
    <w:rPr>
      <w:kern w:val="2"/>
    </w:rPr>
  </w:style>
  <w:style w:type="paragraph" w:customStyle="1" w:styleId="35">
    <w:name w:val="正文_1"/>
    <w:next w:val="3"/>
    <w:qFormat/>
    <w:uiPriority w:val="0"/>
    <w:pPr>
      <w:widowControl w:val="0"/>
      <w:jc w:val="both"/>
    </w:pPr>
    <w:rPr>
      <w:rFonts w:ascii="Times New Roman" w:hAnsi="Times New Roman" w:eastAsia="宋体" w:cs="Calibri"/>
      <w:kern w:val="2"/>
      <w:sz w:val="21"/>
      <w:szCs w:val="21"/>
      <w:lang w:val="en-US" w:eastAsia="zh-CN" w:bidi="ar-SA"/>
    </w:rPr>
  </w:style>
  <w:style w:type="character" w:customStyle="1" w:styleId="36">
    <w:name w:val="16"/>
    <w:qFormat/>
    <w:uiPriority w:val="0"/>
    <w:rPr>
      <w:rFonts w:hint="default" w:ascii="Times New Roman" w:hAnsi="Times New Roman" w:cs="Times New Roman"/>
    </w:rPr>
  </w:style>
  <w:style w:type="character" w:customStyle="1" w:styleId="37">
    <w:name w:val="font11"/>
    <w:basedOn w:val="23"/>
    <w:qFormat/>
    <w:uiPriority w:val="0"/>
    <w:rPr>
      <w:rFonts w:hint="eastAsia" w:ascii="宋体" w:hAnsi="宋体" w:eastAsia="宋体" w:cs="宋体"/>
      <w:color w:val="000000"/>
      <w:sz w:val="21"/>
      <w:szCs w:val="21"/>
      <w:u w:val="none"/>
    </w:rPr>
  </w:style>
  <w:style w:type="paragraph" w:customStyle="1" w:styleId="38">
    <w:name w:val="普通(网站)_0"/>
    <w:basedOn w:val="7"/>
    <w:unhideWhenUsed/>
    <w:qFormat/>
    <w:uiPriority w:val="99"/>
    <w:pPr>
      <w:widowControl/>
      <w:spacing w:before="100" w:beforeAutospacing="1" w:after="100" w:afterAutospacing="1"/>
      <w:jc w:val="left"/>
    </w:pPr>
    <w:rPr>
      <w:rFonts w:ascii="宋体" w:hAnsi="宋体" w:cs="宋体"/>
      <w:kern w:val="0"/>
      <w:sz w:val="24"/>
      <w:szCs w:val="24"/>
    </w:rPr>
  </w:style>
  <w:style w:type="paragraph" w:customStyle="1" w:styleId="39">
    <w:name w:val="正文_0_0"/>
    <w:basedOn w:val="33"/>
    <w:next w:val="4"/>
    <w:qFormat/>
    <w:uiPriority w:val="0"/>
  </w:style>
  <w:style w:type="paragraph" w:customStyle="1" w:styleId="40">
    <w:name w:val="文件标题"/>
    <w:basedOn w:val="1"/>
    <w:qFormat/>
    <w:uiPriority w:val="99"/>
    <w:pPr>
      <w:numPr>
        <w:ilvl w:val="0"/>
        <w:numId w:val="1"/>
      </w:numPr>
    </w:pPr>
    <w:rPr>
      <w:rFonts w:ascii="宋体" w:hAnsi="宋体" w:cs="宋体"/>
      <w:szCs w:val="21"/>
    </w:rPr>
  </w:style>
  <w:style w:type="paragraph" w:customStyle="1" w:styleId="41">
    <w:name w:val="[Normal]"/>
    <w:qFormat/>
    <w:uiPriority w:val="0"/>
    <w:rPr>
      <w:rFonts w:ascii="宋体" w:hAnsi="宋体" w:eastAsia="宋体" w:cs="Times New Roman"/>
      <w:sz w:val="24"/>
      <w:lang w:val="en-US" w:eastAsia="en-US" w:bidi="ar-SA"/>
    </w:rPr>
  </w:style>
  <w:style w:type="paragraph" w:customStyle="1" w:styleId="42">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3">
    <w:name w:val="正文_1_1_0_0"/>
    <w:qFormat/>
    <w:uiPriority w:val="0"/>
    <w:pPr>
      <w:widowControl w:val="0"/>
      <w:jc w:val="both"/>
    </w:pPr>
    <w:rPr>
      <w:rFonts w:ascii="Calibri" w:hAnsi="Calibri" w:eastAsia="宋体" w:cs="Times New Roman"/>
      <w:color w:val="0000FF"/>
      <w:kern w:val="2"/>
      <w:sz w:val="24"/>
      <w:szCs w:val="24"/>
      <w:lang w:val="en-US" w:eastAsia="zh-CN" w:bidi="ar-SA"/>
    </w:rPr>
  </w:style>
  <w:style w:type="paragraph" w:customStyle="1" w:styleId="44">
    <w:name w:val="_Style 21"/>
    <w:basedOn w:val="43"/>
    <w:qFormat/>
    <w:uiPriority w:val="99"/>
    <w:pPr>
      <w:ind w:firstLine="420" w:firstLineChars="200"/>
    </w:pPr>
    <w:rPr>
      <w:rFonts w:ascii="Times New Roman" w:hAnsi="Times New Roman" w:cs="宋体"/>
      <w:szCs w:val="21"/>
    </w:rPr>
  </w:style>
  <w:style w:type="paragraph" w:customStyle="1" w:styleId="45">
    <w:name w:val="_Style 3"/>
    <w:basedOn w:val="1"/>
    <w:next w:val="17"/>
    <w:qFormat/>
    <w:uiPriority w:val="34"/>
    <w:pPr>
      <w:ind w:firstLine="420" w:firstLineChars="200"/>
    </w:pPr>
    <w:rPr>
      <w:sz w:val="24"/>
      <w:szCs w:val="22"/>
    </w:rPr>
  </w:style>
  <w:style w:type="paragraph" w:customStyle="1" w:styleId="46">
    <w:name w:val="正文_0_0_0_0"/>
    <w:qFormat/>
    <w:uiPriority w:val="99"/>
    <w:pPr>
      <w:widowControl w:val="0"/>
      <w:jc w:val="both"/>
    </w:pPr>
    <w:rPr>
      <w:rFonts w:ascii="Times New Roman" w:hAnsi="Times New Roman" w:eastAsia="宋体" w:cs="Times New Roman"/>
      <w:color w:val="0000FF"/>
      <w:kern w:val="2"/>
      <w:sz w:val="24"/>
      <w:szCs w:val="24"/>
      <w:lang w:val="en-US" w:eastAsia="zh-CN" w:bidi="ar-SA"/>
    </w:rPr>
  </w:style>
  <w:style w:type="paragraph" w:customStyle="1" w:styleId="4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48">
    <w:name w:val="List Paragraph"/>
    <w:basedOn w:val="7"/>
    <w:qFormat/>
    <w:uiPriority w:val="99"/>
    <w:pPr>
      <w:ind w:firstLine="420" w:firstLineChars="200"/>
    </w:pPr>
  </w:style>
  <w:style w:type="paragraph" w:customStyle="1" w:styleId="49">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50">
    <w:name w:val="正文缩进_0"/>
    <w:basedOn w:val="33"/>
    <w:unhideWhenUsed/>
    <w:qFormat/>
    <w:uiPriority w:val="0"/>
    <w:pPr>
      <w:ind w:firstLine="420" w:firstLineChars="200"/>
    </w:pPr>
    <w:rPr>
      <w:rFonts w:ascii="Calibri" w:hAnsi="Calibri" w:eastAsia="宋体" w:cs="Times New Roman"/>
      <w:szCs w:val="22"/>
    </w:rPr>
  </w:style>
  <w:style w:type="paragraph" w:customStyle="1" w:styleId="51">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52">
    <w:name w:val="样式 标题 1合同标题卷标题TITRE11h1标题 1 1标书1H11st levelSection Hea..."/>
    <w:basedOn w:val="3"/>
    <w:qFormat/>
    <w:uiPriority w:val="0"/>
    <w:pPr>
      <w:spacing w:before="40" w:after="40"/>
    </w:pPr>
  </w:style>
  <w:style w:type="character" w:customStyle="1" w:styleId="53">
    <w:name w:val="ask-title"/>
    <w:basedOn w:val="2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115</Pages>
  <Words>80025</Words>
  <Characters>81953</Characters>
  <Lines>0</Lines>
  <Paragraphs>0</Paragraphs>
  <TotalTime>19</TotalTime>
  <ScaleCrop>false</ScaleCrop>
  <LinksUpToDate>false</LinksUpToDate>
  <CharactersWithSpaces>84995</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zhumaihan</cp:lastModifiedBy>
  <cp:lastPrinted>2021-06-15T01:42:00Z</cp:lastPrinted>
  <dcterms:modified xsi:type="dcterms:W3CDTF">2021-06-17T09:26:09Z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5E6574CD130A41E5B232010264D652CE</vt:lpwstr>
  </property>
</Properties>
</file>