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color w:val="auto"/>
          <w:sz w:val="72"/>
          <w:highlight w:val="none"/>
        </w:rPr>
      </w:pPr>
      <w:bookmarkStart w:id="541" w:name="_GoBack"/>
      <w:bookmarkEnd w:id="541"/>
      <w:r>
        <w:rPr>
          <w:rFonts w:ascii="宋体" w:hAnsi="宋体" w:cs="宋体"/>
          <w:color w:val="auto"/>
          <w:sz w:val="24"/>
          <w:highlight w:val="none"/>
        </w:rPr>
        <w:drawing>
          <wp:inline distT="0" distB="0" distL="114300" distR="114300">
            <wp:extent cx="1514475" cy="1357630"/>
            <wp:effectExtent l="0" t="0" r="9525" b="13970"/>
            <wp:docPr id="3"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KYQQ}GOZ1{]~8T6VE]_3Y"/>
                    <pic:cNvPicPr>
                      <a:picLocks noChangeAspect="1"/>
                    </pic:cNvPicPr>
                  </pic:nvPicPr>
                  <pic:blipFill>
                    <a:blip r:embed="rId11"/>
                    <a:stretch>
                      <a:fillRect/>
                    </a:stretch>
                  </pic:blipFill>
                  <pic:spPr>
                    <a:xfrm>
                      <a:off x="0" y="0"/>
                      <a:ext cx="1514475" cy="1357630"/>
                    </a:xfrm>
                    <a:prstGeom prst="rect">
                      <a:avLst/>
                    </a:prstGeom>
                    <a:noFill/>
                    <a:ln>
                      <a:noFill/>
                    </a:ln>
                  </pic:spPr>
                </pic:pic>
              </a:graphicData>
            </a:graphic>
          </wp:inline>
        </w:drawing>
      </w:r>
    </w:p>
    <w:p>
      <w:pPr>
        <w:spacing w:line="480" w:lineRule="auto"/>
        <w:rPr>
          <w:rFonts w:hint="eastAsia" w:ascii="华文中宋" w:hAnsi="华文中宋" w:eastAsia="华文中宋"/>
          <w:b/>
          <w:color w:val="auto"/>
          <w:sz w:val="72"/>
          <w:highlight w:val="none"/>
        </w:rPr>
      </w:pPr>
    </w:p>
    <w:p>
      <w:pPr>
        <w:snapToGrid w:val="0"/>
        <w:jc w:val="center"/>
        <w:rPr>
          <w:rFonts w:hint="eastAsia" w:ascii="黑体" w:eastAsia="黑体"/>
          <w:b/>
          <w:bCs/>
          <w:color w:val="auto"/>
          <w:sz w:val="72"/>
          <w:szCs w:val="72"/>
          <w:highlight w:val="none"/>
        </w:rPr>
      </w:pPr>
      <w:r>
        <w:rPr>
          <w:rFonts w:hint="eastAsia" w:ascii="黑体" w:hAnsi="华文中宋" w:eastAsia="黑体" w:cs="华文中宋"/>
          <w:b/>
          <w:bCs/>
          <w:color w:val="auto"/>
          <w:sz w:val="72"/>
          <w:szCs w:val="72"/>
          <w:highlight w:val="none"/>
        </w:rPr>
        <w:t>服务采购</w:t>
      </w:r>
    </w:p>
    <w:p>
      <w:pPr>
        <w:snapToGrid w:val="0"/>
        <w:spacing w:before="156" w:beforeLines="50"/>
        <w:jc w:val="center"/>
        <w:rPr>
          <w:rFonts w:hint="eastAsia"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公开招标文件</w:t>
      </w:r>
    </w:p>
    <w:p>
      <w:pPr>
        <w:spacing w:line="48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15"/>
        <w:spacing w:line="360" w:lineRule="auto"/>
        <w:ind w:firstLine="470" w:firstLineChars="147"/>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lang w:eastAsia="zh-CN"/>
        </w:rPr>
        <w:t>JG2022(SZ)XZ0013</w:t>
      </w:r>
    </w:p>
    <w:p>
      <w:pPr>
        <w:pStyle w:val="15"/>
        <w:tabs>
          <w:tab w:val="left" w:pos="1900"/>
        </w:tabs>
        <w:spacing w:line="360" w:lineRule="auto"/>
        <w:ind w:left="2039" w:leftChars="220" w:hanging="1577" w:hangingChars="493"/>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珠三角枢纽（广州新）机场可行性研究阶段勘察服务项目</w:t>
      </w:r>
    </w:p>
    <w:p>
      <w:pPr>
        <w:pStyle w:val="15"/>
        <w:spacing w:line="360" w:lineRule="auto"/>
        <w:rPr>
          <w:rFonts w:hint="eastAsia" w:ascii="仿宋_GB2312" w:eastAsia="仿宋_GB2312"/>
          <w:b/>
          <w:color w:val="auto"/>
          <w:sz w:val="32"/>
          <w:highlight w:val="none"/>
        </w:rPr>
      </w:pPr>
    </w:p>
    <w:p>
      <w:pPr>
        <w:snapToGrid w:val="0"/>
        <w:spacing w:line="360" w:lineRule="auto"/>
        <w:rPr>
          <w:rFonts w:hint="eastAsia" w:ascii="仿宋_GB2312" w:eastAsia="仿宋_GB2312"/>
          <w:color w:val="auto"/>
          <w:sz w:val="32"/>
          <w:highlight w:val="none"/>
        </w:rPr>
      </w:pPr>
    </w:p>
    <w:p>
      <w:pPr>
        <w:spacing w:line="360" w:lineRule="auto"/>
        <w:ind w:firstLine="1500" w:firstLineChars="500"/>
        <w:rPr>
          <w:rFonts w:hint="eastAsia" w:eastAsia="黑体"/>
          <w:color w:val="auto"/>
          <w:sz w:val="30"/>
          <w:highlight w:val="none"/>
          <w:lang w:eastAsia="zh-CN"/>
        </w:rPr>
      </w:pPr>
      <w:r>
        <w:rPr>
          <w:rFonts w:hint="eastAsia" w:ascii="黑体" w:hAnsi="华文中宋" w:eastAsia="黑体" w:cs="华文中宋"/>
          <w:color w:val="auto"/>
          <w:sz w:val="30"/>
          <w:szCs w:val="30"/>
          <w:highlight w:val="none"/>
        </w:rPr>
        <w:t>招标人：</w:t>
      </w:r>
      <w:r>
        <w:rPr>
          <w:rFonts w:hint="eastAsia" w:ascii="黑体" w:hAnsi="华文中宋" w:eastAsia="黑体" w:cs="华文中宋"/>
          <w:color w:val="auto"/>
          <w:sz w:val="30"/>
          <w:szCs w:val="30"/>
          <w:highlight w:val="none"/>
          <w:lang w:eastAsia="zh-CN"/>
        </w:rPr>
        <w:t>佛山市机场建设开发有限公司</w:t>
      </w:r>
    </w:p>
    <w:p>
      <w:pPr>
        <w:spacing w:line="360" w:lineRule="auto"/>
        <w:ind w:firstLine="1500" w:firstLineChars="500"/>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招标代理机构：广东中采招标有限公司</w:t>
      </w:r>
    </w:p>
    <w:p>
      <w:pPr>
        <w:snapToGrid w:val="0"/>
        <w:spacing w:line="360" w:lineRule="auto"/>
        <w:jc w:val="center"/>
        <w:rPr>
          <w:rFonts w:ascii="黑体" w:hAnsi="华文中宋" w:eastAsia="黑体" w:cs="华文中宋"/>
          <w:color w:val="auto"/>
          <w:sz w:val="30"/>
          <w:szCs w:val="30"/>
          <w:highlight w:val="none"/>
        </w:rPr>
      </w:pPr>
    </w:p>
    <w:p>
      <w:pPr>
        <w:snapToGrid w:val="0"/>
        <w:spacing w:line="360" w:lineRule="auto"/>
        <w:jc w:val="center"/>
        <w:rPr>
          <w:rFonts w:ascii="黑体" w:hAnsi="华文中宋" w:eastAsia="黑体" w:cs="华文中宋"/>
          <w:color w:val="auto"/>
          <w:sz w:val="30"/>
          <w:szCs w:val="30"/>
          <w:highlight w:val="none"/>
        </w:rPr>
        <w:sectPr>
          <w:headerReference r:id="rId5" w:type="first"/>
          <w:headerReference r:id="rId3" w:type="default"/>
          <w:headerReference r:id="rId4" w:type="even"/>
          <w:footerReference r:id="rId6" w:type="even"/>
          <w:pgSz w:w="11906" w:h="16838"/>
          <w:pgMar w:top="1440" w:right="1466" w:bottom="1440" w:left="1800" w:header="567" w:footer="992" w:gutter="0"/>
          <w:cols w:space="720" w:num="1"/>
          <w:docGrid w:type="linesAndChars" w:linePitch="312" w:charSpace="0"/>
        </w:sectPr>
      </w:pPr>
      <w:r>
        <w:rPr>
          <w:rFonts w:hint="eastAsia" w:ascii="黑体" w:hAnsi="华文中宋" w:eastAsia="黑体" w:cs="华文中宋"/>
          <w:color w:val="auto"/>
          <w:sz w:val="30"/>
          <w:szCs w:val="30"/>
          <w:highlight w:val="none"/>
        </w:rPr>
        <w:t>202</w:t>
      </w:r>
      <w:r>
        <w:rPr>
          <w:rFonts w:hint="eastAsia" w:ascii="黑体" w:hAnsi="华文中宋" w:eastAsia="黑体" w:cs="华文中宋"/>
          <w:color w:val="auto"/>
          <w:sz w:val="30"/>
          <w:szCs w:val="30"/>
          <w:highlight w:val="none"/>
          <w:lang w:val="en-US" w:eastAsia="zh-CN"/>
        </w:rPr>
        <w:t>2</w:t>
      </w:r>
      <w:r>
        <w:rPr>
          <w:rFonts w:hint="eastAsia" w:ascii="黑体" w:hAnsi="华文中宋" w:eastAsia="黑体" w:cs="华文中宋"/>
          <w:color w:val="auto"/>
          <w:sz w:val="30"/>
          <w:szCs w:val="30"/>
          <w:highlight w:val="none"/>
        </w:rPr>
        <w:t>年</w:t>
      </w:r>
      <w:r>
        <w:rPr>
          <w:rFonts w:hint="eastAsia" w:ascii="黑体" w:hAnsi="华文中宋" w:eastAsia="黑体" w:cs="华文中宋"/>
          <w:color w:val="auto"/>
          <w:sz w:val="30"/>
          <w:szCs w:val="30"/>
          <w:highlight w:val="none"/>
          <w:lang w:val="en-US" w:eastAsia="zh-CN"/>
        </w:rPr>
        <w:t>4</w:t>
      </w:r>
      <w:r>
        <w:rPr>
          <w:rFonts w:ascii="黑体" w:hAnsi="华文中宋" w:eastAsia="黑体" w:cs="华文中宋"/>
          <w:color w:val="auto"/>
          <w:sz w:val="30"/>
          <w:szCs w:val="30"/>
          <w:highlight w:val="none"/>
        </w:rPr>
        <w:t>月</w:t>
      </w:r>
    </w:p>
    <w:p>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pStyle w:val="21"/>
        <w:tabs>
          <w:tab w:val="right" w:leader="dot" w:pos="9180"/>
          <w:tab w:val="clear" w:pos="9060"/>
        </w:tabs>
        <w:spacing w:line="480" w:lineRule="auto"/>
        <w:rPr>
          <w:rFonts w:hint="eastAsia" w:ascii="宋体" w:hAnsi="宋体" w:eastAsia="宋体" w:cs="宋体"/>
          <w:b/>
          <w:bCs w:val="0"/>
          <w:sz w:val="22"/>
          <w:szCs w:val="21"/>
          <w:highlight w:val="none"/>
        </w:rPr>
      </w:pPr>
      <w:r>
        <w:rPr>
          <w:rFonts w:hint="eastAsia" w:ascii="宋体" w:hAnsi="宋体"/>
          <w:b/>
          <w:bCs/>
          <w:color w:val="auto"/>
          <w:szCs w:val="21"/>
          <w:highlight w:val="none"/>
        </w:rPr>
        <w:fldChar w:fldCharType="begin"/>
      </w:r>
      <w:r>
        <w:rPr>
          <w:rStyle w:val="36"/>
          <w:rFonts w:hint="eastAsia" w:ascii="宋体" w:hAnsi="宋体"/>
          <w:b/>
          <w:bCs/>
          <w:color w:val="auto"/>
          <w:sz w:val="21"/>
          <w:szCs w:val="21"/>
          <w:highlight w:val="none"/>
        </w:rPr>
        <w:instrText xml:space="preserve"> TOC \o "1-1" \h \z \u </w:instrText>
      </w:r>
      <w:r>
        <w:rPr>
          <w:rFonts w:hint="eastAsia" w:ascii="宋体" w:hAnsi="宋体"/>
          <w:b/>
          <w:bCs/>
          <w:color w:val="auto"/>
          <w:szCs w:val="21"/>
          <w:highlight w:val="none"/>
        </w:rPr>
        <w:fldChar w:fldCharType="separate"/>
      </w: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_Toc30239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32"/>
          <w:highlight w:val="none"/>
        </w:rPr>
        <w:t>第一章  投标邀请</w:t>
      </w:r>
      <w:r>
        <w:rPr>
          <w:rFonts w:hint="eastAsia" w:ascii="宋体" w:hAnsi="宋体" w:eastAsia="宋体" w:cs="宋体"/>
          <w:b/>
          <w:bCs w:val="0"/>
          <w:sz w:val="22"/>
          <w:szCs w:val="21"/>
          <w:highlight w:val="none"/>
        </w:rPr>
        <w:tab/>
      </w:r>
      <w:r>
        <w:rPr>
          <w:rFonts w:hint="eastAsia" w:ascii="宋体" w:hAnsi="宋体" w:eastAsia="宋体" w:cs="宋体"/>
          <w:b/>
          <w:bCs w:val="0"/>
          <w:sz w:val="22"/>
          <w:szCs w:val="21"/>
          <w:highlight w:val="none"/>
        </w:rPr>
        <w:fldChar w:fldCharType="begin"/>
      </w:r>
      <w:r>
        <w:rPr>
          <w:rFonts w:hint="eastAsia" w:ascii="宋体" w:hAnsi="宋体" w:eastAsia="宋体" w:cs="宋体"/>
          <w:b/>
          <w:bCs w:val="0"/>
          <w:sz w:val="22"/>
          <w:szCs w:val="21"/>
          <w:highlight w:val="none"/>
        </w:rPr>
        <w:instrText xml:space="preserve"> PAGEREF _Toc30239 \h </w:instrText>
      </w:r>
      <w:r>
        <w:rPr>
          <w:rFonts w:hint="eastAsia" w:ascii="宋体" w:hAnsi="宋体" w:eastAsia="宋体" w:cs="宋体"/>
          <w:b/>
          <w:bCs w:val="0"/>
          <w:sz w:val="22"/>
          <w:szCs w:val="21"/>
          <w:highlight w:val="none"/>
        </w:rPr>
        <w:fldChar w:fldCharType="separate"/>
      </w:r>
      <w:r>
        <w:rPr>
          <w:rFonts w:hint="eastAsia" w:ascii="宋体" w:hAnsi="宋体" w:eastAsia="宋体" w:cs="宋体"/>
          <w:b/>
          <w:bCs w:val="0"/>
          <w:sz w:val="22"/>
          <w:szCs w:val="21"/>
          <w:highlight w:val="none"/>
        </w:rPr>
        <w:t>2</w:t>
      </w:r>
      <w:r>
        <w:rPr>
          <w:rFonts w:hint="eastAsia" w:ascii="宋体" w:hAnsi="宋体" w:eastAsia="宋体" w:cs="宋体"/>
          <w:b/>
          <w:bCs w:val="0"/>
          <w:sz w:val="22"/>
          <w:szCs w:val="21"/>
          <w:highlight w:val="none"/>
        </w:rPr>
        <w:fldChar w:fldCharType="end"/>
      </w:r>
      <w:r>
        <w:rPr>
          <w:rFonts w:hint="eastAsia" w:ascii="宋体" w:hAnsi="宋体" w:eastAsia="宋体" w:cs="宋体"/>
          <w:b/>
          <w:bCs w:val="0"/>
          <w:color w:val="auto"/>
          <w:sz w:val="22"/>
          <w:szCs w:val="22"/>
          <w:highlight w:val="none"/>
        </w:rPr>
        <w:fldChar w:fldCharType="end"/>
      </w:r>
    </w:p>
    <w:p>
      <w:pPr>
        <w:pStyle w:val="21"/>
        <w:tabs>
          <w:tab w:val="right" w:leader="dot" w:pos="9180"/>
          <w:tab w:val="clear" w:pos="9060"/>
        </w:tabs>
        <w:spacing w:line="480" w:lineRule="auto"/>
        <w:rPr>
          <w:rFonts w:hint="eastAsia" w:ascii="宋体" w:hAnsi="宋体" w:eastAsia="宋体" w:cs="宋体"/>
          <w:b/>
          <w:bCs w:val="0"/>
          <w:sz w:val="22"/>
          <w:szCs w:val="21"/>
          <w:highlight w:val="none"/>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_Toc28320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32"/>
          <w:highlight w:val="none"/>
        </w:rPr>
        <w:t>第二章  投标资料表</w:t>
      </w:r>
      <w:r>
        <w:rPr>
          <w:rFonts w:hint="eastAsia" w:ascii="宋体" w:hAnsi="宋体" w:eastAsia="宋体" w:cs="宋体"/>
          <w:b/>
          <w:bCs w:val="0"/>
          <w:sz w:val="22"/>
          <w:szCs w:val="21"/>
          <w:highlight w:val="none"/>
        </w:rPr>
        <w:tab/>
      </w:r>
      <w:r>
        <w:rPr>
          <w:rFonts w:hint="eastAsia" w:ascii="宋体" w:hAnsi="宋体" w:eastAsia="宋体" w:cs="宋体"/>
          <w:b/>
          <w:bCs w:val="0"/>
          <w:sz w:val="22"/>
          <w:szCs w:val="21"/>
          <w:highlight w:val="none"/>
        </w:rPr>
        <w:fldChar w:fldCharType="begin"/>
      </w:r>
      <w:r>
        <w:rPr>
          <w:rFonts w:hint="eastAsia" w:ascii="宋体" w:hAnsi="宋体" w:eastAsia="宋体" w:cs="宋体"/>
          <w:b/>
          <w:bCs w:val="0"/>
          <w:sz w:val="22"/>
          <w:szCs w:val="21"/>
          <w:highlight w:val="none"/>
        </w:rPr>
        <w:instrText xml:space="preserve"> PAGEREF _Toc28320 \h </w:instrText>
      </w:r>
      <w:r>
        <w:rPr>
          <w:rFonts w:hint="eastAsia" w:ascii="宋体" w:hAnsi="宋体" w:eastAsia="宋体" w:cs="宋体"/>
          <w:b/>
          <w:bCs w:val="0"/>
          <w:sz w:val="22"/>
          <w:szCs w:val="21"/>
          <w:highlight w:val="none"/>
        </w:rPr>
        <w:fldChar w:fldCharType="separate"/>
      </w:r>
      <w:r>
        <w:rPr>
          <w:rFonts w:hint="eastAsia" w:ascii="宋体" w:hAnsi="宋体" w:eastAsia="宋体" w:cs="宋体"/>
          <w:b/>
          <w:bCs w:val="0"/>
          <w:sz w:val="22"/>
          <w:szCs w:val="21"/>
          <w:highlight w:val="none"/>
        </w:rPr>
        <w:t>6</w:t>
      </w:r>
      <w:r>
        <w:rPr>
          <w:rFonts w:hint="eastAsia" w:ascii="宋体" w:hAnsi="宋体" w:eastAsia="宋体" w:cs="宋体"/>
          <w:b/>
          <w:bCs w:val="0"/>
          <w:sz w:val="22"/>
          <w:szCs w:val="21"/>
          <w:highlight w:val="none"/>
        </w:rPr>
        <w:fldChar w:fldCharType="end"/>
      </w:r>
      <w:r>
        <w:rPr>
          <w:rFonts w:hint="eastAsia" w:ascii="宋体" w:hAnsi="宋体" w:eastAsia="宋体" w:cs="宋体"/>
          <w:b/>
          <w:bCs w:val="0"/>
          <w:color w:val="auto"/>
          <w:sz w:val="22"/>
          <w:szCs w:val="22"/>
          <w:highlight w:val="none"/>
        </w:rPr>
        <w:fldChar w:fldCharType="end"/>
      </w:r>
    </w:p>
    <w:p>
      <w:pPr>
        <w:pStyle w:val="21"/>
        <w:tabs>
          <w:tab w:val="right" w:leader="dot" w:pos="9180"/>
          <w:tab w:val="clear" w:pos="9060"/>
        </w:tabs>
        <w:spacing w:line="480" w:lineRule="auto"/>
        <w:rPr>
          <w:rFonts w:hint="default" w:ascii="宋体" w:hAnsi="宋体" w:eastAsia="宋体" w:cs="宋体"/>
          <w:b/>
          <w:bCs w:val="0"/>
          <w:sz w:val="22"/>
          <w:szCs w:val="21"/>
          <w:highlight w:val="none"/>
          <w:lang w:val="en-US" w:eastAsia="zh-CN"/>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_Toc8417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32"/>
          <w:highlight w:val="none"/>
        </w:rPr>
        <w:t>第三章  用户需求书</w:t>
      </w:r>
      <w:r>
        <w:rPr>
          <w:rFonts w:hint="eastAsia" w:ascii="宋体" w:hAnsi="宋体" w:eastAsia="宋体" w:cs="宋体"/>
          <w:b/>
          <w:bCs w:val="0"/>
          <w:sz w:val="22"/>
          <w:szCs w:val="21"/>
          <w:highlight w:val="none"/>
        </w:rPr>
        <w:tab/>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sz w:val="22"/>
          <w:szCs w:val="21"/>
          <w:highlight w:val="none"/>
          <w:lang w:val="en-US" w:eastAsia="zh-CN"/>
        </w:rPr>
        <w:t>10</w:t>
      </w:r>
    </w:p>
    <w:p>
      <w:pPr>
        <w:pStyle w:val="21"/>
        <w:tabs>
          <w:tab w:val="right" w:leader="dot" w:pos="9180"/>
          <w:tab w:val="clear" w:pos="9060"/>
        </w:tabs>
        <w:spacing w:line="480" w:lineRule="auto"/>
        <w:rPr>
          <w:rFonts w:hint="default" w:ascii="宋体" w:hAnsi="宋体" w:eastAsia="宋体" w:cs="宋体"/>
          <w:b/>
          <w:bCs w:val="0"/>
          <w:sz w:val="22"/>
          <w:szCs w:val="21"/>
          <w:highlight w:val="none"/>
          <w:lang w:val="en-US" w:eastAsia="zh-CN"/>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_Toc21650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32"/>
          <w:highlight w:val="none"/>
        </w:rPr>
        <w:t>第四章  评分体系与标准</w:t>
      </w:r>
      <w:r>
        <w:rPr>
          <w:rFonts w:hint="eastAsia" w:ascii="宋体" w:hAnsi="宋体" w:eastAsia="宋体" w:cs="宋体"/>
          <w:b/>
          <w:bCs w:val="0"/>
          <w:sz w:val="22"/>
          <w:szCs w:val="21"/>
          <w:highlight w:val="none"/>
        </w:rPr>
        <w:tab/>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sz w:val="22"/>
          <w:szCs w:val="21"/>
          <w:highlight w:val="none"/>
          <w:lang w:val="en-US" w:eastAsia="zh-CN"/>
        </w:rPr>
        <w:t>46</w:t>
      </w:r>
    </w:p>
    <w:p>
      <w:pPr>
        <w:pStyle w:val="21"/>
        <w:tabs>
          <w:tab w:val="right" w:leader="dot" w:pos="9180"/>
          <w:tab w:val="clear" w:pos="9060"/>
        </w:tabs>
        <w:spacing w:line="480" w:lineRule="auto"/>
        <w:rPr>
          <w:rFonts w:hint="default" w:ascii="宋体" w:hAnsi="宋体" w:eastAsia="宋体" w:cs="宋体"/>
          <w:b/>
          <w:bCs w:val="0"/>
          <w:sz w:val="22"/>
          <w:szCs w:val="21"/>
          <w:highlight w:val="none"/>
          <w:lang w:val="en-US" w:eastAsia="zh-CN"/>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_Toc15050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48"/>
          <w:highlight w:val="none"/>
        </w:rPr>
        <w:t>第五章</w:t>
      </w:r>
      <w:r>
        <w:rPr>
          <w:rFonts w:hint="eastAsia" w:ascii="宋体" w:hAnsi="宋体" w:eastAsia="宋体" w:cs="宋体"/>
          <w:b/>
          <w:bCs w:val="0"/>
          <w:sz w:val="22"/>
          <w:szCs w:val="48"/>
          <w:highlight w:val="none"/>
          <w:lang w:val="en-US" w:eastAsia="zh-CN"/>
        </w:rPr>
        <w:t xml:space="preserve"> </w:t>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color w:val="auto"/>
          <w:sz w:val="22"/>
          <w:szCs w:val="22"/>
          <w:highlight w:val="none"/>
          <w:lang w:val="en-US" w:eastAsia="zh-CN"/>
        </w:rPr>
        <w:t xml:space="preserve"> </w:t>
      </w: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_Toc7276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48"/>
          <w:highlight w:val="none"/>
        </w:rPr>
        <w:t>投标人须知</w:t>
      </w:r>
      <w:r>
        <w:rPr>
          <w:rFonts w:hint="eastAsia" w:ascii="宋体" w:hAnsi="宋体" w:eastAsia="宋体" w:cs="宋体"/>
          <w:b/>
          <w:bCs w:val="0"/>
          <w:sz w:val="22"/>
          <w:szCs w:val="21"/>
          <w:highlight w:val="none"/>
        </w:rPr>
        <w:tab/>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color w:val="auto"/>
          <w:sz w:val="22"/>
          <w:szCs w:val="22"/>
          <w:highlight w:val="none"/>
          <w:lang w:val="en-US" w:eastAsia="zh-CN"/>
        </w:rPr>
        <w:t>61</w:t>
      </w:r>
    </w:p>
    <w:p>
      <w:pPr>
        <w:pStyle w:val="21"/>
        <w:tabs>
          <w:tab w:val="right" w:leader="dot" w:pos="9180"/>
          <w:tab w:val="clear" w:pos="9060"/>
        </w:tabs>
        <w:spacing w:line="480" w:lineRule="auto"/>
        <w:rPr>
          <w:rFonts w:hint="default" w:ascii="宋体" w:hAnsi="宋体" w:eastAsia="宋体" w:cs="宋体"/>
          <w:b/>
          <w:bCs w:val="0"/>
          <w:sz w:val="22"/>
          <w:szCs w:val="21"/>
          <w:highlight w:val="none"/>
          <w:lang w:val="en-US" w:eastAsia="zh-CN"/>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_Toc3186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48"/>
          <w:highlight w:val="none"/>
        </w:rPr>
        <w:t>第六章</w:t>
      </w:r>
      <w:r>
        <w:rPr>
          <w:rFonts w:hint="eastAsia" w:ascii="宋体" w:hAnsi="宋体" w:eastAsia="宋体" w:cs="宋体"/>
          <w:b/>
          <w:bCs w:val="0"/>
          <w:sz w:val="22"/>
          <w:szCs w:val="48"/>
          <w:highlight w:val="none"/>
          <w:lang w:val="en-US" w:eastAsia="zh-CN"/>
        </w:rPr>
        <w:t xml:space="preserve"> </w:t>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color w:val="auto"/>
          <w:sz w:val="22"/>
          <w:szCs w:val="22"/>
          <w:highlight w:val="none"/>
          <w:lang w:val="en-US" w:eastAsia="zh-CN"/>
        </w:rPr>
        <w:t xml:space="preserve"> </w:t>
      </w: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_Toc26216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48"/>
          <w:highlight w:val="none"/>
        </w:rPr>
        <w:t>合同条款</w:t>
      </w:r>
      <w:r>
        <w:rPr>
          <w:rFonts w:hint="eastAsia" w:ascii="宋体" w:hAnsi="宋体" w:eastAsia="宋体" w:cs="宋体"/>
          <w:b/>
          <w:bCs w:val="0"/>
          <w:sz w:val="22"/>
          <w:szCs w:val="21"/>
          <w:highlight w:val="none"/>
        </w:rPr>
        <w:tab/>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sz w:val="22"/>
          <w:szCs w:val="21"/>
          <w:highlight w:val="none"/>
          <w:lang w:val="en-US" w:eastAsia="zh-CN"/>
        </w:rPr>
        <w:t>75</w:t>
      </w:r>
    </w:p>
    <w:p>
      <w:pPr>
        <w:pStyle w:val="21"/>
        <w:tabs>
          <w:tab w:val="right" w:leader="dot" w:pos="9180"/>
          <w:tab w:val="clear" w:pos="9060"/>
        </w:tabs>
        <w:spacing w:line="480" w:lineRule="auto"/>
        <w:rPr>
          <w:rFonts w:hint="default" w:ascii="宋体" w:hAnsi="宋体" w:eastAsia="宋体" w:cs="宋体"/>
          <w:b/>
          <w:bCs w:val="0"/>
          <w:sz w:val="22"/>
          <w:szCs w:val="21"/>
          <w:highlight w:val="none"/>
          <w:lang w:val="en-US" w:eastAsia="zh-CN"/>
        </w:rPr>
      </w:pPr>
      <w:r>
        <w:rPr>
          <w:rFonts w:hint="eastAsia" w:ascii="宋体" w:hAnsi="宋体" w:eastAsia="宋体" w:cs="宋体"/>
          <w:b/>
          <w:bCs w:val="0"/>
          <w:color w:val="auto"/>
          <w:sz w:val="22"/>
          <w:szCs w:val="22"/>
          <w:highlight w:val="none"/>
        </w:rPr>
        <w:fldChar w:fldCharType="begin"/>
      </w:r>
      <w:r>
        <w:rPr>
          <w:rFonts w:hint="eastAsia" w:ascii="宋体" w:hAnsi="宋体" w:eastAsia="宋体" w:cs="宋体"/>
          <w:b/>
          <w:bCs w:val="0"/>
          <w:sz w:val="22"/>
          <w:szCs w:val="22"/>
          <w:highlight w:val="none"/>
        </w:rPr>
        <w:instrText xml:space="preserve"> HYPERLINK \l _Toc1242 </w:instrText>
      </w:r>
      <w:r>
        <w:rPr>
          <w:rFonts w:hint="eastAsia" w:ascii="宋体" w:hAnsi="宋体" w:eastAsia="宋体" w:cs="宋体"/>
          <w:b/>
          <w:bCs w:val="0"/>
          <w:sz w:val="22"/>
          <w:szCs w:val="22"/>
          <w:highlight w:val="none"/>
        </w:rPr>
        <w:fldChar w:fldCharType="separate"/>
      </w:r>
      <w:r>
        <w:rPr>
          <w:rFonts w:hint="eastAsia" w:ascii="宋体" w:hAnsi="宋体" w:eastAsia="宋体" w:cs="宋体"/>
          <w:b/>
          <w:bCs w:val="0"/>
          <w:sz w:val="22"/>
          <w:szCs w:val="32"/>
          <w:highlight w:val="none"/>
        </w:rPr>
        <w:t>第七章  投标文件格式</w:t>
      </w:r>
      <w:r>
        <w:rPr>
          <w:rFonts w:hint="eastAsia" w:ascii="宋体" w:hAnsi="宋体" w:eastAsia="宋体" w:cs="宋体"/>
          <w:b/>
          <w:bCs w:val="0"/>
          <w:sz w:val="22"/>
          <w:szCs w:val="21"/>
          <w:highlight w:val="none"/>
        </w:rPr>
        <w:tab/>
      </w:r>
      <w:r>
        <w:rPr>
          <w:rFonts w:hint="eastAsia" w:ascii="宋体" w:hAnsi="宋体" w:eastAsia="宋体" w:cs="宋体"/>
          <w:b/>
          <w:bCs w:val="0"/>
          <w:color w:val="auto"/>
          <w:sz w:val="22"/>
          <w:szCs w:val="22"/>
          <w:highlight w:val="none"/>
        </w:rPr>
        <w:fldChar w:fldCharType="end"/>
      </w:r>
      <w:r>
        <w:rPr>
          <w:rFonts w:hint="eastAsia" w:ascii="宋体" w:hAnsi="宋体" w:eastAsia="宋体" w:cs="宋体"/>
          <w:b/>
          <w:bCs w:val="0"/>
          <w:sz w:val="22"/>
          <w:szCs w:val="21"/>
          <w:highlight w:val="none"/>
          <w:lang w:val="en-US" w:eastAsia="zh-CN"/>
        </w:rPr>
        <w:t>182</w:t>
      </w:r>
    </w:p>
    <w:p>
      <w:pPr>
        <w:pStyle w:val="21"/>
        <w:tabs>
          <w:tab w:val="right" w:leader="dot" w:pos="9180"/>
          <w:tab w:val="clear" w:pos="9060"/>
        </w:tabs>
        <w:rPr>
          <w:highlight w:val="none"/>
        </w:rPr>
      </w:pPr>
    </w:p>
    <w:p>
      <w:pPr>
        <w:adjustRightInd w:val="0"/>
        <w:snapToGrid w:val="0"/>
        <w:spacing w:before="156" w:beforeLines="50" w:after="156" w:afterLines="50" w:line="360" w:lineRule="auto"/>
        <w:jc w:val="center"/>
        <w:outlineLvl w:val="0"/>
        <w:rPr>
          <w:rFonts w:hint="eastAsia"/>
          <w:b/>
          <w:bCs/>
          <w:color w:val="auto"/>
          <w:sz w:val="30"/>
          <w:szCs w:val="30"/>
          <w:highlight w:val="none"/>
        </w:rPr>
      </w:pPr>
      <w:r>
        <w:rPr>
          <w:rFonts w:hint="eastAsia" w:ascii="宋体" w:hAnsi="宋体"/>
          <w:bCs/>
          <w:color w:val="auto"/>
          <w:szCs w:val="21"/>
          <w:highlight w:val="none"/>
        </w:rPr>
        <w:fldChar w:fldCharType="end"/>
      </w:r>
      <w:bookmarkStart w:id="0" w:name="_Toc30239"/>
      <w:r>
        <w:rPr>
          <w:rFonts w:ascii="宋体" w:hAnsi="宋体"/>
          <w:color w:val="auto"/>
          <w:sz w:val="44"/>
          <w:highlight w:val="none"/>
        </w:rPr>
        <w:br w:type="page"/>
      </w:r>
      <w:r>
        <w:rPr>
          <w:rFonts w:hint="eastAsia"/>
          <w:b/>
          <w:bCs/>
          <w:color w:val="auto"/>
          <w:sz w:val="28"/>
          <w:szCs w:val="28"/>
          <w:highlight w:val="none"/>
        </w:rPr>
        <w:t>第一</w:t>
      </w:r>
      <w:r>
        <w:rPr>
          <w:b/>
          <w:bCs/>
          <w:color w:val="auto"/>
          <w:sz w:val="28"/>
          <w:szCs w:val="28"/>
          <w:highlight w:val="none"/>
        </w:rPr>
        <w:t>章  投标邀请</w:t>
      </w:r>
      <w:bookmarkEnd w:id="0"/>
    </w:p>
    <w:p>
      <w:pPr>
        <w:snapToGrid w:val="0"/>
        <w:spacing w:line="360" w:lineRule="auto"/>
        <w:ind w:firstLine="420" w:firstLineChars="200"/>
        <w:rPr>
          <w:rFonts w:hint="eastAsia" w:ascii="宋体" w:hAnsi="宋体" w:cs="宋体"/>
          <w:bCs/>
          <w:color w:val="auto"/>
          <w:szCs w:val="20"/>
          <w:highlight w:val="none"/>
        </w:rPr>
      </w:pPr>
      <w:r>
        <w:rPr>
          <w:rFonts w:hint="eastAsia" w:ascii="宋体"/>
          <w:bCs/>
          <w:color w:val="auto"/>
          <w:szCs w:val="20"/>
          <w:highlight w:val="none"/>
        </w:rPr>
        <w:t>广东中采招标有限公司</w:t>
      </w:r>
      <w:r>
        <w:rPr>
          <w:rFonts w:hint="eastAsia" w:ascii="宋体" w:hAnsi="宋体"/>
          <w:color w:val="auto"/>
          <w:highlight w:val="none"/>
        </w:rPr>
        <w:t>（以下简称</w:t>
      </w:r>
      <w:r>
        <w:rPr>
          <w:rFonts w:ascii="宋体" w:hAnsi="宋体"/>
          <w:color w:val="auto"/>
          <w:highlight w:val="none"/>
        </w:rPr>
        <w:t>“</w:t>
      </w:r>
      <w:r>
        <w:rPr>
          <w:rFonts w:hint="eastAsia" w:ascii="宋体" w:hAnsi="宋体"/>
          <w:color w:val="auto"/>
          <w:highlight w:val="none"/>
        </w:rPr>
        <w:t>招标代理机构</w:t>
      </w:r>
      <w:r>
        <w:rPr>
          <w:rFonts w:ascii="宋体" w:hAnsi="宋体"/>
          <w:color w:val="auto"/>
          <w:highlight w:val="none"/>
        </w:rPr>
        <w:t>”</w:t>
      </w:r>
      <w:r>
        <w:rPr>
          <w:rFonts w:hint="eastAsia" w:ascii="宋体" w:hAnsi="宋体"/>
          <w:color w:val="auto"/>
          <w:highlight w:val="none"/>
        </w:rPr>
        <w:t>）</w:t>
      </w:r>
      <w:r>
        <w:rPr>
          <w:rFonts w:hint="eastAsia" w:ascii="宋体"/>
          <w:bCs/>
          <w:color w:val="auto"/>
          <w:szCs w:val="20"/>
          <w:highlight w:val="none"/>
        </w:rPr>
        <w:t>受</w:t>
      </w:r>
      <w:r>
        <w:rPr>
          <w:rFonts w:hint="eastAsia" w:ascii="宋体" w:hAnsi="宋体"/>
          <w:color w:val="auto"/>
          <w:highlight w:val="none"/>
          <w:lang w:eastAsia="zh-CN"/>
        </w:rPr>
        <w:t>佛山市机场建设开发有限公司</w:t>
      </w:r>
      <w:r>
        <w:rPr>
          <w:rFonts w:hint="eastAsia" w:ascii="宋体" w:hAnsi="宋体"/>
          <w:color w:val="auto"/>
          <w:highlight w:val="none"/>
        </w:rPr>
        <w:t>（以下简称</w:t>
      </w:r>
      <w:r>
        <w:rPr>
          <w:rFonts w:ascii="宋体" w:hAnsi="宋体"/>
          <w:color w:val="auto"/>
          <w:highlight w:val="none"/>
        </w:rPr>
        <w:t>“</w:t>
      </w:r>
      <w:r>
        <w:rPr>
          <w:rFonts w:hint="eastAsia" w:ascii="宋体" w:hAnsi="宋体"/>
          <w:color w:val="auto"/>
          <w:highlight w:val="none"/>
        </w:rPr>
        <w:t>招标人</w:t>
      </w:r>
      <w:r>
        <w:rPr>
          <w:rFonts w:ascii="宋体" w:hAnsi="宋体"/>
          <w:color w:val="auto"/>
          <w:highlight w:val="none"/>
        </w:rPr>
        <w:t>”</w:t>
      </w:r>
      <w:r>
        <w:rPr>
          <w:rFonts w:hint="eastAsia" w:ascii="宋体" w:hAnsi="宋体"/>
          <w:color w:val="auto"/>
          <w:highlight w:val="none"/>
        </w:rPr>
        <w:t>）</w:t>
      </w:r>
      <w:r>
        <w:rPr>
          <w:rFonts w:hint="eastAsia" w:ascii="宋体"/>
          <w:bCs/>
          <w:color w:val="auto"/>
          <w:szCs w:val="21"/>
          <w:highlight w:val="none"/>
        </w:rPr>
        <w:t>委托，</w:t>
      </w:r>
      <w:r>
        <w:rPr>
          <w:rFonts w:hint="eastAsia" w:ascii="宋体" w:hAnsi="宋体"/>
          <w:bCs/>
          <w:color w:val="auto"/>
          <w:szCs w:val="21"/>
          <w:highlight w:val="none"/>
        </w:rPr>
        <w:t>对</w:t>
      </w:r>
      <w:r>
        <w:rPr>
          <w:rFonts w:hint="eastAsia" w:ascii="宋体" w:hAnsi="宋体"/>
          <w:color w:val="auto"/>
          <w:highlight w:val="none"/>
          <w:lang w:eastAsia="zh-CN"/>
        </w:rPr>
        <w:t>珠三角枢纽（广州新）机场可行性研究阶段勘察服务项目</w:t>
      </w:r>
      <w:r>
        <w:rPr>
          <w:rFonts w:hint="eastAsia" w:ascii="宋体" w:hAnsi="宋体"/>
          <w:bCs/>
          <w:color w:val="auto"/>
          <w:szCs w:val="21"/>
          <w:highlight w:val="none"/>
        </w:rPr>
        <w:t>进行公开招</w:t>
      </w:r>
      <w:r>
        <w:rPr>
          <w:rFonts w:hint="eastAsia" w:ascii="宋体"/>
          <w:bCs/>
          <w:color w:val="auto"/>
          <w:szCs w:val="21"/>
          <w:highlight w:val="none"/>
        </w:rPr>
        <w:t>标，</w:t>
      </w:r>
      <w:r>
        <w:rPr>
          <w:rFonts w:hint="eastAsia" w:ascii="宋体"/>
          <w:bCs/>
          <w:color w:val="auto"/>
          <w:szCs w:val="21"/>
          <w:highlight w:val="none"/>
          <w:lang w:val="zh-CN"/>
        </w:rPr>
        <w:t>欢迎符合资格条件</w:t>
      </w:r>
      <w:r>
        <w:rPr>
          <w:rFonts w:hint="eastAsia" w:ascii="宋体"/>
          <w:bCs/>
          <w:color w:val="auto"/>
          <w:szCs w:val="21"/>
          <w:highlight w:val="none"/>
        </w:rPr>
        <w:t>的供应商投标。</w:t>
      </w:r>
    </w:p>
    <w:p>
      <w:pPr>
        <w:numPr>
          <w:ilvl w:val="0"/>
          <w:numId w:val="2"/>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项目编号：</w:t>
      </w:r>
      <w:r>
        <w:rPr>
          <w:rFonts w:hint="eastAsia" w:ascii="宋体" w:hAnsi="宋体"/>
          <w:color w:val="auto"/>
          <w:highlight w:val="none"/>
          <w:lang w:eastAsia="zh-CN"/>
        </w:rPr>
        <w:t>JG2022(SZ)XZ0013</w:t>
      </w:r>
      <w:r>
        <w:rPr>
          <w:rFonts w:hint="eastAsia"/>
          <w:color w:val="auto"/>
          <w:highlight w:val="none"/>
        </w:rPr>
        <w:t xml:space="preserve">  </w:t>
      </w:r>
    </w:p>
    <w:p>
      <w:pPr>
        <w:numPr>
          <w:ilvl w:val="0"/>
          <w:numId w:val="2"/>
        </w:numPr>
        <w:snapToGrid w:val="0"/>
        <w:spacing w:line="360" w:lineRule="auto"/>
        <w:ind w:firstLine="0"/>
        <w:rPr>
          <w:rFonts w:hint="eastAsia" w:ascii="宋体" w:hAnsi="宋体"/>
          <w:color w:val="auto"/>
          <w:highlight w:val="none"/>
        </w:rPr>
      </w:pPr>
      <w:r>
        <w:rPr>
          <w:rFonts w:hint="eastAsia" w:ascii="宋体"/>
          <w:bCs/>
          <w:color w:val="auto"/>
          <w:szCs w:val="20"/>
          <w:highlight w:val="none"/>
        </w:rPr>
        <w:t>项目名称：</w:t>
      </w:r>
      <w:r>
        <w:rPr>
          <w:rFonts w:hint="eastAsia" w:ascii="宋体" w:hAnsi="宋体"/>
          <w:color w:val="auto"/>
          <w:highlight w:val="none"/>
          <w:lang w:eastAsia="zh-CN"/>
        </w:rPr>
        <w:t>珠三角枢纽（广州新）机场可行性研究阶段勘察服务项目</w:t>
      </w:r>
    </w:p>
    <w:p>
      <w:pPr>
        <w:numPr>
          <w:ilvl w:val="0"/>
          <w:numId w:val="2"/>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采购项目内容及需求：</w:t>
      </w:r>
    </w:p>
    <w:p>
      <w:pPr>
        <w:numPr>
          <w:ilvl w:val="0"/>
          <w:numId w:val="3"/>
        </w:numPr>
        <w:tabs>
          <w:tab w:val="left" w:pos="709"/>
        </w:tabs>
        <w:snapToGrid w:val="0"/>
        <w:spacing w:line="360" w:lineRule="auto"/>
        <w:ind w:left="709" w:hanging="425"/>
        <w:rPr>
          <w:rFonts w:hint="eastAsia" w:ascii="宋体"/>
          <w:bCs/>
          <w:color w:val="auto"/>
          <w:szCs w:val="20"/>
          <w:highlight w:val="none"/>
        </w:rPr>
      </w:pPr>
      <w:r>
        <w:rPr>
          <w:rFonts w:hint="eastAsia" w:ascii="宋体"/>
          <w:bCs/>
          <w:color w:val="auto"/>
          <w:szCs w:val="20"/>
          <w:highlight w:val="none"/>
        </w:rPr>
        <w:t>项目内容：</w:t>
      </w:r>
    </w:p>
    <w:tbl>
      <w:tblPr>
        <w:tblStyle w:val="25"/>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989"/>
        <w:gridCol w:w="686"/>
        <w:gridCol w:w="2089"/>
        <w:gridCol w:w="1291"/>
        <w:gridCol w:w="1507"/>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366"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包组号</w:t>
            </w:r>
          </w:p>
        </w:tc>
        <w:tc>
          <w:tcPr>
            <w:tcW w:w="527"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365"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数量</w:t>
            </w:r>
          </w:p>
        </w:tc>
        <w:tc>
          <w:tcPr>
            <w:tcW w:w="1112" w:type="pct"/>
            <w:shd w:val="clear" w:color="auto" w:fill="EEECE1"/>
            <w:noWrap w:val="0"/>
            <w:vAlign w:val="center"/>
          </w:tcPr>
          <w:p>
            <w:pPr>
              <w:spacing w:line="360" w:lineRule="auto"/>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最高限价</w:t>
            </w:r>
          </w:p>
        </w:tc>
        <w:tc>
          <w:tcPr>
            <w:tcW w:w="1489" w:type="pct"/>
            <w:gridSpan w:val="2"/>
            <w:shd w:val="clear" w:color="auto" w:fill="EEECE1"/>
            <w:noWrap w:val="0"/>
            <w:vAlign w:val="center"/>
          </w:tcPr>
          <w:p>
            <w:pPr>
              <w:spacing w:line="360" w:lineRule="auto"/>
              <w:jc w:val="center"/>
              <w:rPr>
                <w:rFonts w:hint="eastAsia" w:ascii="宋体"/>
                <w:b/>
                <w:color w:val="auto"/>
                <w:szCs w:val="21"/>
                <w:highlight w:val="none"/>
                <w:lang w:val="en-US" w:eastAsia="zh-CN"/>
              </w:rPr>
            </w:pPr>
            <w:r>
              <w:rPr>
                <w:rFonts w:hint="eastAsia" w:ascii="宋体"/>
                <w:b/>
                <w:color w:val="auto"/>
                <w:szCs w:val="21"/>
                <w:highlight w:val="none"/>
                <w:lang w:val="en-US" w:eastAsia="zh-CN"/>
              </w:rPr>
              <w:t>最高单价限价</w:t>
            </w:r>
          </w:p>
          <w:p>
            <w:pPr>
              <w:spacing w:line="360" w:lineRule="auto"/>
              <w:jc w:val="center"/>
              <w:rPr>
                <w:rFonts w:hint="eastAsia" w:ascii="宋体"/>
                <w:b/>
                <w:color w:val="auto"/>
                <w:szCs w:val="21"/>
                <w:highlight w:val="none"/>
              </w:rPr>
            </w:pPr>
            <w:r>
              <w:rPr>
                <w:rFonts w:hint="eastAsia" w:ascii="宋体"/>
                <w:b/>
                <w:color w:val="auto"/>
                <w:szCs w:val="21"/>
                <w:highlight w:val="none"/>
                <w:lang w:val="en-US" w:eastAsia="zh-CN"/>
              </w:rPr>
              <w:t>（人民币 元）</w:t>
            </w:r>
          </w:p>
        </w:tc>
        <w:tc>
          <w:tcPr>
            <w:tcW w:w="1138"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包组一</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料源区及填方区</w:t>
            </w:r>
            <w:r>
              <w:rPr>
                <w:rFonts w:hint="eastAsia" w:ascii="宋体" w:hAnsi="宋体" w:eastAsia="宋体" w:cs="宋体"/>
                <w:bCs/>
                <w:color w:val="auto"/>
                <w:szCs w:val="21"/>
                <w:highlight w:val="none"/>
              </w:rPr>
              <w:t>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人民币</w:t>
            </w:r>
            <w:r>
              <w:rPr>
                <w:rFonts w:hint="eastAsia" w:ascii="宋体" w:hAnsi="宋体" w:eastAsia="宋体" w:cs="宋体"/>
                <w:snapToGrid/>
                <w:color w:val="auto"/>
                <w:spacing w:val="0"/>
                <w:kern w:val="2"/>
                <w:sz w:val="21"/>
                <w:szCs w:val="24"/>
                <w:highlight w:val="none"/>
              </w:rPr>
              <w:t>9,753,367.66元【含岩溶勘察部分预留金（或称暂列金额）¥1,000,000.00元】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eastAsia="zh-CN"/>
              </w:rPr>
              <w:t>主体协调工作部分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788,909.66</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rPr>
              <w:t>自招标人发出开工令之日起90日历天内提交最终勘察成果报告，包括：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eastAsia="zh-CN"/>
              </w:rPr>
              <w:t>机场料源区及填方区岩土工程初步勘察工作部分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rPr>
              <w:t>7,964,458.00</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钻孔综合单价（钻孔总进尺暂按29450米计算）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270.44元/延米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包组二</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航站区勘察服务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人民币</w:t>
            </w:r>
            <w:r>
              <w:rPr>
                <w:rFonts w:hint="eastAsia" w:ascii="宋体" w:hAnsi="宋体" w:eastAsia="宋体" w:cs="宋体"/>
                <w:snapToGrid/>
                <w:color w:val="auto"/>
                <w:spacing w:val="0"/>
                <w:kern w:val="2"/>
                <w:sz w:val="21"/>
                <w:szCs w:val="24"/>
                <w:highlight w:val="none"/>
              </w:rPr>
              <w:t>5,469,203.00元【含岩溶勘察部分预留金（或称暂列金额）¥800,000.00元】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机场航站区岩土工程初步勘察工作部分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4,669,203.00</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rPr>
              <w:t>自招标人发出开工令之日起</w:t>
            </w:r>
            <w:r>
              <w:rPr>
                <w:rFonts w:hint="eastAsia" w:ascii="宋体" w:hAnsi="宋体" w:eastAsia="宋体" w:cs="宋体"/>
                <w:snapToGrid/>
                <w:color w:val="auto"/>
                <w:spacing w:val="0"/>
                <w:kern w:val="2"/>
                <w:sz w:val="21"/>
                <w:szCs w:val="24"/>
                <w:highlight w:val="none"/>
                <w:lang w:val="en-US" w:eastAsia="zh-CN"/>
              </w:rPr>
              <w:t>60</w:t>
            </w:r>
            <w:r>
              <w:rPr>
                <w:rFonts w:hint="eastAsia" w:ascii="宋体" w:hAnsi="宋体" w:eastAsia="宋体" w:cs="宋体"/>
                <w:snapToGrid/>
                <w:color w:val="auto"/>
                <w:spacing w:val="0"/>
                <w:kern w:val="2"/>
                <w:sz w:val="21"/>
                <w:szCs w:val="24"/>
                <w:highlight w:val="none"/>
              </w:rPr>
              <w:t>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钻孔综合单价（钻孔总进尺暂按17850米计算）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261.58元/延米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包组三</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工作区勘察服务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val="en-US" w:eastAsia="zh-CN"/>
              </w:rPr>
              <w:t>人民币4,182,144.00元【含岩溶勘察部分预留金（或称暂列金额）¥700,000.00元】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机场工作区岩土工程初步勘察工作部分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3,482,144.00</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1"/>
                <w:highlight w:val="none"/>
              </w:rPr>
            </w:pPr>
            <w:r>
              <w:rPr>
                <w:rFonts w:hint="eastAsia" w:ascii="宋体" w:hAnsi="宋体" w:eastAsia="宋体" w:cs="宋体"/>
                <w:snapToGrid/>
                <w:color w:val="auto"/>
                <w:spacing w:val="0"/>
                <w:kern w:val="2"/>
                <w:sz w:val="21"/>
                <w:szCs w:val="21"/>
                <w:highlight w:val="none"/>
                <w:lang w:val="en-US" w:eastAsia="zh-CN"/>
              </w:rPr>
              <w:t>自招标人发出开工令之日起60日历天内提交最终勘察成果报告，包括：本包组勘察服务报告（含试验测试成果资料）、工程物探报告及其他专题勘察报告资料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4"/>
                <w:highlight w:val="none"/>
                <w:lang w:val="en-US" w:eastAsia="zh-CN"/>
              </w:rPr>
              <w:t>钻孔综合单价（钻孔总进尺暂按13600米计算）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4"/>
                <w:highlight w:val="none"/>
                <w:lang w:val="en-US" w:eastAsia="zh-CN"/>
              </w:rPr>
              <w:t>256.04元/延米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1"/>
                <w:highlight w:val="none"/>
              </w:rPr>
            </w:pPr>
          </w:p>
        </w:tc>
      </w:tr>
    </w:tbl>
    <w:p>
      <w:pPr>
        <w:numPr>
          <w:ilvl w:val="0"/>
          <w:numId w:val="3"/>
        </w:numPr>
        <w:tabs>
          <w:tab w:val="left" w:pos="567"/>
        </w:tabs>
        <w:snapToGrid w:val="0"/>
        <w:spacing w:line="360" w:lineRule="auto"/>
        <w:ind w:left="709" w:hanging="425"/>
        <w:rPr>
          <w:rFonts w:ascii="宋体"/>
          <w:bCs/>
          <w:color w:val="auto"/>
          <w:szCs w:val="20"/>
          <w:highlight w:val="none"/>
        </w:rPr>
      </w:pPr>
      <w:r>
        <w:rPr>
          <w:rFonts w:hint="eastAsia" w:ascii="宋体"/>
          <w:bCs/>
          <w:color w:val="auto"/>
          <w:szCs w:val="20"/>
          <w:highlight w:val="none"/>
        </w:rPr>
        <w:t>项目技术规格、参数及要求：详见本招标文件第三章《用户需求书》。</w:t>
      </w:r>
    </w:p>
    <w:p>
      <w:pPr>
        <w:numPr>
          <w:ilvl w:val="0"/>
          <w:numId w:val="3"/>
        </w:numPr>
        <w:tabs>
          <w:tab w:val="left" w:pos="567"/>
        </w:tabs>
        <w:snapToGrid w:val="0"/>
        <w:spacing w:line="360" w:lineRule="auto"/>
        <w:ind w:hanging="136"/>
        <w:rPr>
          <w:rFonts w:ascii="宋体"/>
          <w:b/>
          <w:bCs/>
          <w:color w:val="auto"/>
          <w:szCs w:val="21"/>
          <w:highlight w:val="none"/>
        </w:rPr>
      </w:pPr>
      <w:r>
        <w:rPr>
          <w:rStyle w:val="38"/>
          <w:rFonts w:hint="eastAsia"/>
          <w:b/>
          <w:bCs/>
          <w:color w:val="auto"/>
          <w:highlight w:val="none"/>
        </w:rPr>
        <w:t>针对同时参投包组一、二、三中两个或以上包组的投标人，如投标人在前一个评审包组中已被推荐为第一中标候选人，则评标委员会在评审后一个包组时，不再推荐该投标人</w:t>
      </w:r>
      <w:r>
        <w:rPr>
          <w:rStyle w:val="38"/>
          <w:rFonts w:hint="eastAsia"/>
          <w:b/>
          <w:bCs/>
          <w:color w:val="auto"/>
          <w:highlight w:val="none"/>
          <w:lang w:eastAsia="zh-CN"/>
        </w:rPr>
        <w:t>为</w:t>
      </w:r>
      <w:r>
        <w:rPr>
          <w:rStyle w:val="38"/>
          <w:rFonts w:hint="eastAsia"/>
          <w:b/>
          <w:bCs/>
          <w:color w:val="auto"/>
          <w:highlight w:val="none"/>
        </w:rPr>
        <w:t>第一、二中标候选人资格。</w:t>
      </w:r>
    </w:p>
    <w:p>
      <w:pPr>
        <w:numPr>
          <w:ilvl w:val="0"/>
          <w:numId w:val="2"/>
        </w:numPr>
        <w:snapToGrid w:val="0"/>
        <w:spacing w:line="360" w:lineRule="auto"/>
        <w:ind w:firstLine="0"/>
        <w:rPr>
          <w:rFonts w:hint="eastAsia" w:ascii="宋体"/>
          <w:bCs/>
          <w:color w:val="auto"/>
          <w:szCs w:val="20"/>
          <w:highlight w:val="none"/>
        </w:rPr>
      </w:pPr>
      <w:r>
        <w:rPr>
          <w:rFonts w:hint="eastAsia" w:ascii="宋体"/>
          <w:bCs/>
          <w:color w:val="auto"/>
          <w:szCs w:val="20"/>
          <w:highlight w:val="none"/>
          <w:lang w:eastAsia="zh-CN"/>
        </w:rPr>
        <w:t>投标人</w:t>
      </w:r>
      <w:r>
        <w:rPr>
          <w:rFonts w:hint="eastAsia" w:ascii="宋体"/>
          <w:bCs/>
          <w:color w:val="auto"/>
          <w:szCs w:val="20"/>
          <w:highlight w:val="none"/>
        </w:rPr>
        <w:t>资格</w:t>
      </w:r>
      <w:r>
        <w:rPr>
          <w:rFonts w:hint="eastAsia" w:ascii="宋体"/>
          <w:bCs/>
          <w:color w:val="auto"/>
          <w:szCs w:val="20"/>
          <w:highlight w:val="none"/>
          <w:lang w:eastAsia="zh-CN"/>
        </w:rPr>
        <w:t>（适用于各包组）</w:t>
      </w:r>
      <w:r>
        <w:rPr>
          <w:rFonts w:hint="eastAsia" w:ascii="宋体"/>
          <w:bCs/>
          <w:color w:val="auto"/>
          <w:szCs w:val="20"/>
          <w:highlight w:val="none"/>
        </w:rPr>
        <w:t>：</w:t>
      </w:r>
    </w:p>
    <w:p>
      <w:pPr>
        <w:numPr>
          <w:ilvl w:val="1"/>
          <w:numId w:val="4"/>
        </w:numPr>
        <w:snapToGrid w:val="0"/>
        <w:spacing w:line="360" w:lineRule="auto"/>
        <w:ind w:left="851" w:hanging="425"/>
        <w:rPr>
          <w:rFonts w:ascii="宋体" w:hAnsi="宋体"/>
          <w:bCs/>
          <w:color w:val="auto"/>
          <w:szCs w:val="20"/>
          <w:highlight w:val="none"/>
        </w:rPr>
      </w:pPr>
      <w:r>
        <w:rPr>
          <w:rFonts w:hint="eastAsia" w:ascii="宋体" w:hAnsi="宋体"/>
          <w:bCs/>
          <w:color w:val="auto"/>
          <w:szCs w:val="20"/>
          <w:highlight w:val="none"/>
          <w:lang w:val="en-US" w:eastAsia="zh-CN"/>
        </w:rPr>
        <w:t>必须是</w:t>
      </w:r>
      <w:r>
        <w:rPr>
          <w:rFonts w:hint="eastAsia" w:ascii="宋体" w:hAnsi="宋体"/>
          <w:bCs/>
          <w:color w:val="auto"/>
          <w:szCs w:val="20"/>
          <w:highlight w:val="none"/>
          <w:lang w:eastAsia="zh-CN"/>
        </w:rPr>
        <w:t>在中华人民共和国境内注册，且具备独立承担民事责任能力的法人</w:t>
      </w:r>
      <w:r>
        <w:rPr>
          <w:rFonts w:ascii="宋体" w:hAnsi="宋体"/>
          <w:bCs/>
          <w:color w:val="auto"/>
          <w:szCs w:val="20"/>
          <w:highlight w:val="none"/>
        </w:rPr>
        <w:t>。</w:t>
      </w:r>
    </w:p>
    <w:p>
      <w:pPr>
        <w:numPr>
          <w:ilvl w:val="1"/>
          <w:numId w:val="4"/>
        </w:numPr>
        <w:snapToGrid w:val="0"/>
        <w:spacing w:line="360" w:lineRule="auto"/>
        <w:ind w:left="851" w:hanging="425"/>
        <w:rPr>
          <w:rFonts w:ascii="宋体" w:hAnsi="宋体"/>
          <w:color w:val="auto"/>
          <w:szCs w:val="21"/>
          <w:highlight w:val="none"/>
        </w:rPr>
      </w:pPr>
      <w:r>
        <w:rPr>
          <w:rFonts w:hint="eastAsia" w:ascii="宋体" w:hAnsi="宋体"/>
          <w:color w:val="auto"/>
          <w:highlight w:val="none"/>
        </w:rPr>
        <w:t>为本项目各包组提供整体设计、规范编制、项目管理、监理、检测、估（概）算编审、预算编审、全过程造价咨询等服务的供应商，不得再参加本</w:t>
      </w:r>
      <w:r>
        <w:rPr>
          <w:rFonts w:hint="eastAsia" w:ascii="宋体" w:hAnsi="宋体"/>
          <w:color w:val="auto"/>
          <w:highlight w:val="none"/>
          <w:lang w:val="en-US" w:eastAsia="zh-CN"/>
        </w:rPr>
        <w:t>包组</w:t>
      </w:r>
      <w:r>
        <w:rPr>
          <w:rFonts w:hint="eastAsia" w:ascii="宋体" w:hAnsi="宋体"/>
          <w:color w:val="auto"/>
          <w:highlight w:val="none"/>
          <w:lang w:eastAsia="zh-CN"/>
        </w:rPr>
        <w:t>投标</w:t>
      </w:r>
      <w:r>
        <w:rPr>
          <w:rFonts w:hint="eastAsia" w:ascii="宋体" w:hAnsi="宋体"/>
          <w:color w:val="auto"/>
          <w:highlight w:val="none"/>
        </w:rPr>
        <w:t>。（提供《投标人资格声明函》）。</w:t>
      </w:r>
    </w:p>
    <w:p>
      <w:pPr>
        <w:numPr>
          <w:ilvl w:val="1"/>
          <w:numId w:val="4"/>
        </w:numPr>
        <w:snapToGrid w:val="0"/>
        <w:spacing w:line="360" w:lineRule="auto"/>
        <w:ind w:left="851" w:hanging="425"/>
        <w:rPr>
          <w:rFonts w:hint="eastAsia" w:ascii="宋体" w:hAnsi="宋体"/>
          <w:bCs/>
          <w:color w:val="auto"/>
          <w:szCs w:val="20"/>
          <w:highlight w:val="none"/>
        </w:rPr>
      </w:pPr>
      <w:r>
        <w:rPr>
          <w:rFonts w:hint="eastAsia" w:ascii="宋体" w:hAnsi="宋体"/>
          <w:color w:val="auto"/>
          <w:highlight w:val="none"/>
        </w:rPr>
        <w:t>单位负责人为同一人或者存在直接控股、管理关系的不同供应商，不得参加同一包组的</w:t>
      </w:r>
      <w:r>
        <w:rPr>
          <w:rFonts w:hint="eastAsia" w:ascii="宋体" w:hAnsi="宋体"/>
          <w:color w:val="auto"/>
          <w:highlight w:val="none"/>
          <w:lang w:eastAsia="zh-CN"/>
        </w:rPr>
        <w:t>投标</w:t>
      </w:r>
      <w:r>
        <w:rPr>
          <w:rFonts w:hint="eastAsia" w:ascii="宋体" w:hAnsi="宋体"/>
          <w:color w:val="auto"/>
          <w:highlight w:val="none"/>
        </w:rPr>
        <w:t>（提供《投标人资格声明函》）。</w:t>
      </w:r>
    </w:p>
    <w:p>
      <w:pPr>
        <w:numPr>
          <w:ilvl w:val="1"/>
          <w:numId w:val="4"/>
        </w:numPr>
        <w:snapToGrid w:val="0"/>
        <w:spacing w:line="360" w:lineRule="auto"/>
        <w:ind w:left="851" w:hanging="425"/>
        <w:rPr>
          <w:rFonts w:hint="eastAsia" w:ascii="宋体" w:hAnsi="宋体"/>
          <w:color w:val="auto"/>
          <w:szCs w:val="21"/>
          <w:highlight w:val="none"/>
        </w:rPr>
      </w:pPr>
      <w:r>
        <w:rPr>
          <w:rFonts w:hint="eastAsia" w:ascii="宋体" w:hAnsi="宋体"/>
          <w:color w:val="auto"/>
          <w:szCs w:val="21"/>
          <w:highlight w:val="none"/>
          <w:lang w:val="en-US" w:eastAsia="zh-CN"/>
        </w:rPr>
        <w:t>必须</w:t>
      </w:r>
      <w:r>
        <w:rPr>
          <w:rFonts w:hint="eastAsia" w:ascii="宋体" w:hAnsi="宋体"/>
          <w:color w:val="auto"/>
          <w:szCs w:val="21"/>
          <w:highlight w:val="none"/>
          <w:lang w:eastAsia="zh-CN"/>
        </w:rPr>
        <w:t>具有工程勘察综合类甲级资质</w:t>
      </w:r>
      <w:r>
        <w:rPr>
          <w:rFonts w:hint="eastAsia" w:ascii="宋体" w:hAnsi="宋体"/>
          <w:color w:val="auto"/>
          <w:szCs w:val="21"/>
          <w:highlight w:val="none"/>
          <w:lang w:val="en-US" w:eastAsia="zh-CN"/>
        </w:rPr>
        <w:t>或工程勘察专业类（岩土工程）甲级资质。</w:t>
      </w:r>
    </w:p>
    <w:p>
      <w:pPr>
        <w:numPr>
          <w:ilvl w:val="1"/>
          <w:numId w:val="4"/>
        </w:numPr>
        <w:snapToGrid w:val="0"/>
        <w:spacing w:line="360" w:lineRule="auto"/>
        <w:ind w:left="851" w:hanging="425"/>
        <w:rPr>
          <w:rFonts w:hint="eastAsia" w:ascii="宋体" w:hAnsi="宋体"/>
          <w:color w:val="auto"/>
          <w:szCs w:val="21"/>
          <w:highlight w:val="none"/>
        </w:rPr>
      </w:pPr>
      <w:r>
        <w:rPr>
          <w:rFonts w:hint="eastAsia" w:ascii="宋体" w:hAnsi="宋体"/>
          <w:color w:val="auto"/>
          <w:highlight w:val="none"/>
        </w:rPr>
        <w:t>投标人应有良好信誉，且在佛山市建筑诚信评价体系管理平台中办理登记并获得对应行业的建筑行业诚信档案（资质类别为“勘察类企业”）</w:t>
      </w:r>
      <w:r>
        <w:rPr>
          <w:rFonts w:hint="eastAsia" w:ascii="宋体" w:hAnsi="宋体"/>
          <w:color w:val="auto"/>
          <w:highlight w:val="none"/>
          <w:lang w:eastAsia="zh-CN"/>
        </w:rPr>
        <w:t>：</w:t>
      </w:r>
    </w:p>
    <w:p>
      <w:pPr>
        <w:numPr>
          <w:ilvl w:val="0"/>
          <w:numId w:val="5"/>
        </w:numPr>
        <w:tabs>
          <w:tab w:val="left" w:pos="567"/>
        </w:tabs>
        <w:snapToGrid w:val="0"/>
        <w:spacing w:line="360" w:lineRule="auto"/>
        <w:ind w:left="840" w:leftChars="200" w:hanging="42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在</w:t>
      </w:r>
      <w:r>
        <w:rPr>
          <w:rFonts w:hint="eastAsia" w:ascii="宋体" w:hAnsi="宋体"/>
          <w:color w:val="auto"/>
          <w:szCs w:val="21"/>
          <w:highlight w:val="none"/>
          <w:lang w:eastAsia="zh-CN"/>
        </w:rPr>
        <w:t>佛山市建筑诚信评价体系管理平台的考评等级为C级或以上且状态显示为“正常”（以资格审查当天的查询结果为准）；</w:t>
      </w:r>
    </w:p>
    <w:p>
      <w:pPr>
        <w:numPr>
          <w:ilvl w:val="0"/>
          <w:numId w:val="5"/>
        </w:numPr>
        <w:tabs>
          <w:tab w:val="left" w:pos="567"/>
        </w:tabs>
        <w:snapToGrid w:val="0"/>
        <w:spacing w:line="360" w:lineRule="auto"/>
        <w:ind w:left="840" w:leftChars="200" w:hanging="420"/>
        <w:rPr>
          <w:rFonts w:hint="eastAsia" w:ascii="宋体" w:hAnsi="宋体"/>
          <w:color w:val="auto"/>
          <w:highlight w:val="none"/>
        </w:rPr>
      </w:pPr>
      <w:r>
        <w:rPr>
          <w:rFonts w:hint="eastAsia" w:ascii="宋体" w:hAnsi="宋体"/>
          <w:color w:val="auto"/>
          <w:highlight w:val="none"/>
        </w:rPr>
        <w:t>广东省以外的投标人，还须提供在广东建设信息网（网址：www.gdcic.net）“进粤企业和人员诚信信息登记平台”专栏关于投标人进粤企业及人员信息登记的网页打印件。</w:t>
      </w:r>
    </w:p>
    <w:p>
      <w:pPr>
        <w:numPr>
          <w:ilvl w:val="1"/>
          <w:numId w:val="4"/>
        </w:numPr>
        <w:snapToGrid w:val="0"/>
        <w:spacing w:line="360" w:lineRule="auto"/>
        <w:ind w:left="851" w:hanging="425"/>
        <w:rPr>
          <w:rFonts w:hint="eastAsia" w:ascii="宋体" w:hAnsi="宋体"/>
          <w:bCs/>
          <w:color w:val="auto"/>
          <w:szCs w:val="20"/>
          <w:highlight w:val="none"/>
        </w:rPr>
      </w:pPr>
      <w:r>
        <w:rPr>
          <w:rFonts w:hint="eastAsia" w:ascii="宋体" w:hAnsi="宋体"/>
          <w:bCs/>
          <w:color w:val="auto"/>
          <w:szCs w:val="20"/>
          <w:highlight w:val="none"/>
        </w:rPr>
        <w:t>本项目各包组均不接受联合体投标</w:t>
      </w:r>
      <w:r>
        <w:rPr>
          <w:rFonts w:hint="eastAsia" w:ascii="宋体" w:hAnsi="宋体"/>
          <w:color w:val="auto"/>
          <w:highlight w:val="none"/>
        </w:rPr>
        <w:t>（提供《投标人资格声明函》）</w:t>
      </w:r>
      <w:r>
        <w:rPr>
          <w:rFonts w:hint="eastAsia" w:ascii="宋体" w:hAnsi="宋体"/>
          <w:bCs/>
          <w:color w:val="auto"/>
          <w:szCs w:val="20"/>
          <w:highlight w:val="none"/>
        </w:rPr>
        <w:t>。</w:t>
      </w:r>
    </w:p>
    <w:p>
      <w:pPr>
        <w:numPr>
          <w:ilvl w:val="1"/>
          <w:numId w:val="4"/>
        </w:numPr>
        <w:snapToGrid w:val="0"/>
        <w:spacing w:line="360" w:lineRule="auto"/>
        <w:ind w:left="851" w:hanging="425"/>
        <w:rPr>
          <w:rFonts w:ascii="宋体" w:hAnsi="宋体" w:cs="宋体"/>
          <w:bCs/>
          <w:color w:val="auto"/>
          <w:szCs w:val="20"/>
          <w:highlight w:val="none"/>
        </w:rPr>
      </w:pPr>
      <w:r>
        <w:rPr>
          <w:rFonts w:ascii="宋体" w:hAnsi="宋体" w:cs="宋体"/>
          <w:bCs/>
          <w:color w:val="auto"/>
          <w:szCs w:val="20"/>
          <w:highlight w:val="none"/>
        </w:rPr>
        <w:t>对投标人拟派项目负责人的要求：</w:t>
      </w:r>
    </w:p>
    <w:p>
      <w:pPr>
        <w:numPr>
          <w:ilvl w:val="0"/>
          <w:numId w:val="6"/>
        </w:numPr>
        <w:tabs>
          <w:tab w:val="left" w:pos="567"/>
        </w:tabs>
        <w:snapToGrid w:val="0"/>
        <w:spacing w:line="360" w:lineRule="auto"/>
        <w:ind w:left="840" w:leftChars="200" w:hanging="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须具有高级（或以上）工程师职称，且具有注册于投标人本单位的注册土木工程师（岩土）执业资格证书；</w:t>
      </w:r>
    </w:p>
    <w:p>
      <w:pPr>
        <w:numPr>
          <w:ilvl w:val="0"/>
          <w:numId w:val="6"/>
        </w:numPr>
        <w:tabs>
          <w:tab w:val="left" w:pos="567"/>
        </w:tabs>
        <w:snapToGrid w:val="0"/>
        <w:spacing w:line="360" w:lineRule="auto"/>
        <w:ind w:left="840" w:leftChars="200" w:hanging="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必须在佛山市建筑诚信评价体系管理平台登记备案的人员中选取。省外进粤企业，拟派项目负责人须在“进粤企业和人员诚信信息登记平台”办理了登记手续；</w:t>
      </w:r>
    </w:p>
    <w:p>
      <w:pPr>
        <w:numPr>
          <w:ilvl w:val="0"/>
          <w:numId w:val="6"/>
        </w:numPr>
        <w:tabs>
          <w:tab w:val="left" w:pos="567"/>
        </w:tabs>
        <w:snapToGrid w:val="0"/>
        <w:spacing w:line="360" w:lineRule="auto"/>
        <w:ind w:left="840" w:leftChars="200" w:hanging="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需提供投标人近半年（扣除发布招标公告当月往前顺推6个月，即2021年10月至2022年3月）为拟派项目负责人缴纳社保资金的有效的社保证明材料。以投标人（或其分支机构）所属当地社保管理部门出具的证明原件或者复印件为准。投标人也可按照投标人工商登记所在地（市、区或县）社保管理部门出具的社保证明格式提交，或提交经投标人工商登记所在地（市、区或县）社保管理部门盖章确认的社保清单(含社保管理部门终端设备打印的社保证明文件)原件或复印件，如投标人（或其分支机构）因疫情影响，不能提供规定社保区间的社保证明的，投标人如提供了政府部门的社保管理相应文件，其所提供的社保可以按当地的文件要求相应顺推，否则，不予认可。</w:t>
      </w:r>
    </w:p>
    <w:p>
      <w:pPr>
        <w:numPr>
          <w:ilvl w:val="1"/>
          <w:numId w:val="4"/>
        </w:numPr>
        <w:snapToGrid w:val="0"/>
        <w:spacing w:line="360" w:lineRule="auto"/>
        <w:ind w:left="851" w:hanging="425"/>
        <w:rPr>
          <w:rFonts w:hint="eastAsia" w:ascii="宋体" w:hAnsi="宋体"/>
          <w:bCs/>
          <w:color w:val="auto"/>
          <w:szCs w:val="20"/>
          <w:highlight w:val="none"/>
        </w:rPr>
      </w:pPr>
      <w:r>
        <w:rPr>
          <w:rFonts w:hint="eastAsia" w:hAnsi="宋体" w:cs="宋体"/>
          <w:bCs/>
          <w:color w:val="auto"/>
          <w:kern w:val="0"/>
          <w:szCs w:val="21"/>
          <w:highlight w:val="none"/>
        </w:rPr>
        <w:t>按照投标邀请规定的时间地点和要求登记并</w:t>
      </w:r>
      <w:r>
        <w:rPr>
          <w:rFonts w:hint="eastAsia" w:hAnsi="宋体" w:cs="宋体"/>
          <w:bCs/>
          <w:color w:val="auto"/>
          <w:kern w:val="0"/>
          <w:szCs w:val="21"/>
          <w:highlight w:val="none"/>
          <w:lang w:eastAsia="zh-CN"/>
        </w:rPr>
        <w:t>获取</w:t>
      </w:r>
      <w:r>
        <w:rPr>
          <w:rFonts w:hint="eastAsia" w:hAnsi="宋体" w:cs="宋体"/>
          <w:bCs/>
          <w:color w:val="auto"/>
          <w:kern w:val="0"/>
          <w:szCs w:val="21"/>
          <w:highlight w:val="none"/>
        </w:rPr>
        <w:t>招标文件。</w:t>
      </w:r>
    </w:p>
    <w:p>
      <w:pPr>
        <w:numPr>
          <w:ilvl w:val="0"/>
          <w:numId w:val="2"/>
        </w:numPr>
        <w:snapToGrid w:val="0"/>
        <w:spacing w:line="360" w:lineRule="auto"/>
        <w:ind w:firstLine="0"/>
        <w:rPr>
          <w:rFonts w:hint="eastAsia"/>
          <w:color w:val="auto"/>
          <w:szCs w:val="21"/>
          <w:highlight w:val="none"/>
        </w:rPr>
      </w:pPr>
      <w:r>
        <w:rPr>
          <w:rFonts w:hint="eastAsia"/>
          <w:color w:val="auto"/>
          <w:szCs w:val="21"/>
          <w:highlight w:val="none"/>
          <w:lang w:eastAsia="zh-CN"/>
        </w:rPr>
        <w:t>招标文件获取</w:t>
      </w:r>
    </w:p>
    <w:p>
      <w:pPr>
        <w:numPr>
          <w:ilvl w:val="1"/>
          <w:numId w:val="7"/>
        </w:numPr>
        <w:wordWrap w:val="0"/>
        <w:snapToGrid w:val="0"/>
        <w:spacing w:line="360" w:lineRule="auto"/>
        <w:ind w:left="850" w:hanging="425"/>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本项目采用网上获取招标文件的方式。符合资格的供应商须先办理供应商信息入库后，才能参与本项目的投标。具体操作方法请浏览“佛山市公共资源交易网-监督监管-主体信息库-入库指引”栏目相关信息，入库咨询电话：400</w:t>
      </w:r>
      <w:r>
        <w:rPr>
          <w:rFonts w:hint="eastAsia" w:ascii="宋体" w:hAnsi="宋体" w:eastAsia="宋体" w:cs="宋体"/>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0000。</w:t>
      </w:r>
    </w:p>
    <w:p>
      <w:pPr>
        <w:numPr>
          <w:ilvl w:val="1"/>
          <w:numId w:val="7"/>
        </w:numPr>
        <w:wordWrap w:val="0"/>
        <w:snapToGrid w:val="0"/>
        <w:spacing w:line="360" w:lineRule="auto"/>
        <w:ind w:left="850" w:hanging="425"/>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已办理</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信息入库的投标人应当在</w:t>
      </w:r>
      <w:r>
        <w:rPr>
          <w:rFonts w:hint="eastAsia" w:ascii="宋体" w:hAnsi="宋体" w:eastAsia="宋体" w:cs="宋体"/>
          <w:bCs/>
          <w:color w:val="auto"/>
          <w:kern w:val="0"/>
          <w:szCs w:val="21"/>
          <w:highlight w:val="none"/>
          <w:lang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日8时30分起至</w:t>
      </w:r>
      <w:r>
        <w:rPr>
          <w:rFonts w:hint="eastAsia" w:ascii="宋体" w:hAnsi="宋体" w:eastAsia="宋体" w:cs="宋体"/>
          <w:bCs/>
          <w:color w:val="auto"/>
          <w:kern w:val="0"/>
          <w:szCs w:val="21"/>
          <w:highlight w:val="none"/>
          <w:lang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日17时30分止（提供期限自本公告发布之日起不得少于5个工作日，法定节假日除外），登录“佛山市公共资源交易信息化综合平台”进行网上</w:t>
      </w:r>
      <w:r>
        <w:rPr>
          <w:rFonts w:hint="eastAsia" w:ascii="宋体" w:hAnsi="宋体" w:eastAsia="宋体" w:cs="宋体"/>
          <w:bCs/>
          <w:color w:val="auto"/>
          <w:kern w:val="0"/>
          <w:szCs w:val="21"/>
          <w:highlight w:val="none"/>
          <w:lang w:eastAsia="zh-CN"/>
        </w:rPr>
        <w:t>获取</w:t>
      </w:r>
      <w:r>
        <w:rPr>
          <w:rFonts w:hint="eastAsia" w:ascii="宋体" w:hAnsi="宋体" w:eastAsia="宋体" w:cs="宋体"/>
          <w:bCs/>
          <w:color w:val="auto"/>
          <w:kern w:val="0"/>
          <w:szCs w:val="21"/>
          <w:highlight w:val="none"/>
        </w:rPr>
        <w:t>招标文件</w:t>
      </w:r>
      <w:r>
        <w:rPr>
          <w:rFonts w:hint="eastAsia" w:ascii="宋体" w:hAnsi="宋体" w:eastAsia="宋体" w:cs="宋体"/>
          <w:bCs/>
          <w:color w:val="auto"/>
          <w:kern w:val="0"/>
          <w:szCs w:val="21"/>
          <w:highlight w:val="none"/>
          <w:lang w:eastAsia="zh-CN"/>
        </w:rPr>
        <w:t>。招标文件每套售价</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eastAsia="zh-CN"/>
        </w:rPr>
        <w:t>00元（人民币），售后不退，在项目开标当天由招标代理机构现场收取。不缴纳招标文件费用的，均视为自动放弃投标权利。</w:t>
      </w:r>
    </w:p>
    <w:p>
      <w:pPr>
        <w:numPr>
          <w:ilvl w:val="0"/>
          <w:numId w:val="0"/>
        </w:numPr>
        <w:wordWrap w:val="0"/>
        <w:snapToGrid w:val="0"/>
        <w:spacing w:line="360" w:lineRule="auto"/>
        <w:ind w:left="425" w:leftChars="0"/>
        <w:rPr>
          <w:rFonts w:hint="eastAsia" w:hAnsi="宋体" w:cs="宋体"/>
          <w:bCs/>
          <w:color w:val="auto"/>
          <w:kern w:val="0"/>
          <w:szCs w:val="21"/>
          <w:highlight w:val="none"/>
        </w:rPr>
      </w:pPr>
      <w:r>
        <w:rPr>
          <w:rFonts w:hint="eastAsia" w:hAnsi="宋体" w:cs="宋体"/>
          <w:bCs/>
          <w:color w:val="auto"/>
          <w:kern w:val="0"/>
          <w:szCs w:val="21"/>
          <w:highlight w:val="none"/>
        </w:rPr>
        <w:t>备注：已办理</w:t>
      </w:r>
      <w:r>
        <w:rPr>
          <w:rFonts w:hint="eastAsia" w:hAnsi="宋体" w:cs="宋体"/>
          <w:bCs/>
          <w:color w:val="auto"/>
          <w:kern w:val="0"/>
          <w:szCs w:val="21"/>
          <w:highlight w:val="none"/>
          <w:lang w:eastAsia="zh-CN"/>
        </w:rPr>
        <w:t>登记</w:t>
      </w:r>
      <w:r>
        <w:rPr>
          <w:rFonts w:hint="eastAsia" w:hAnsi="宋体" w:cs="宋体"/>
          <w:bCs/>
          <w:color w:val="auto"/>
          <w:kern w:val="0"/>
          <w:szCs w:val="21"/>
          <w:highlight w:val="none"/>
        </w:rPr>
        <w:t>并成功购买</w:t>
      </w:r>
      <w:r>
        <w:rPr>
          <w:rFonts w:hint="eastAsia" w:hAnsi="宋体" w:cs="宋体"/>
          <w:bCs/>
          <w:color w:val="auto"/>
          <w:kern w:val="0"/>
          <w:szCs w:val="21"/>
          <w:highlight w:val="none"/>
          <w:lang w:val="en-US" w:eastAsia="zh-CN"/>
        </w:rPr>
        <w:t>招标</w:t>
      </w:r>
      <w:r>
        <w:rPr>
          <w:rFonts w:hint="eastAsia" w:hAnsi="宋体" w:cs="宋体"/>
          <w:bCs/>
          <w:color w:val="auto"/>
          <w:kern w:val="0"/>
          <w:szCs w:val="21"/>
          <w:highlight w:val="none"/>
        </w:rPr>
        <w:t>文件的供应商参加</w:t>
      </w:r>
      <w:r>
        <w:rPr>
          <w:rFonts w:hint="eastAsia" w:hAnsi="宋体" w:cs="宋体"/>
          <w:bCs/>
          <w:color w:val="auto"/>
          <w:kern w:val="0"/>
          <w:szCs w:val="21"/>
          <w:highlight w:val="none"/>
          <w:lang w:val="en-US" w:eastAsia="zh-CN"/>
        </w:rPr>
        <w:t>投标</w:t>
      </w:r>
      <w:r>
        <w:rPr>
          <w:rFonts w:hint="eastAsia" w:hAnsi="宋体" w:cs="宋体"/>
          <w:bCs/>
          <w:color w:val="auto"/>
          <w:kern w:val="0"/>
          <w:szCs w:val="21"/>
          <w:highlight w:val="none"/>
        </w:rPr>
        <w:t>的，不代表通过资格性</w:t>
      </w:r>
      <w:r>
        <w:rPr>
          <w:rFonts w:hint="eastAsia" w:hAnsi="宋体" w:cs="宋体"/>
          <w:bCs/>
          <w:color w:val="auto"/>
          <w:kern w:val="0"/>
          <w:szCs w:val="21"/>
          <w:highlight w:val="none"/>
          <w:lang w:eastAsia="zh-CN"/>
        </w:rPr>
        <w:t>和</w:t>
      </w:r>
      <w:r>
        <w:rPr>
          <w:rFonts w:hint="eastAsia" w:hAnsi="宋体" w:cs="宋体"/>
          <w:bCs/>
          <w:color w:val="auto"/>
          <w:kern w:val="0"/>
          <w:szCs w:val="21"/>
          <w:highlight w:val="none"/>
        </w:rPr>
        <w:t>符合性审查。</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投标文件递交时间：202</w:t>
      </w:r>
      <w:r>
        <w:rPr>
          <w:rFonts w:hint="eastAsia" w:ascii="宋体"/>
          <w:bCs/>
          <w:color w:val="auto"/>
          <w:szCs w:val="20"/>
          <w:highlight w:val="none"/>
          <w:lang w:val="en-US" w:eastAsia="zh-CN"/>
        </w:rPr>
        <w:t>2</w:t>
      </w:r>
      <w:r>
        <w:rPr>
          <w:rFonts w:hint="eastAsia" w:ascii="宋体"/>
          <w:bCs/>
          <w:color w:val="auto"/>
          <w:szCs w:val="20"/>
          <w:highlight w:val="none"/>
        </w:rPr>
        <w:t>年</w:t>
      </w:r>
      <w:r>
        <w:rPr>
          <w:rFonts w:hint="eastAsia" w:ascii="宋体"/>
          <w:bCs/>
          <w:color w:val="auto"/>
          <w:szCs w:val="20"/>
          <w:highlight w:val="none"/>
          <w:lang w:val="en-US" w:eastAsia="zh-CN"/>
        </w:rPr>
        <w:t>4</w:t>
      </w:r>
      <w:r>
        <w:rPr>
          <w:rFonts w:hint="eastAsia" w:ascii="宋体"/>
          <w:bCs/>
          <w:color w:val="auto"/>
          <w:szCs w:val="20"/>
          <w:highlight w:val="none"/>
        </w:rPr>
        <w:t>月</w:t>
      </w:r>
      <w:r>
        <w:rPr>
          <w:rFonts w:hint="eastAsia" w:ascii="宋体"/>
          <w:bCs/>
          <w:color w:val="auto"/>
          <w:szCs w:val="20"/>
          <w:highlight w:val="none"/>
          <w:lang w:val="en-US" w:eastAsia="zh-CN"/>
        </w:rPr>
        <w:t>2</w:t>
      </w:r>
      <w:r>
        <w:rPr>
          <w:rFonts w:hint="eastAsia" w:ascii="宋体"/>
          <w:bCs/>
          <w:color w:val="auto"/>
          <w:szCs w:val="20"/>
          <w:highlight w:val="none"/>
          <w:lang w:val="en-US" w:eastAsia="zh-CN"/>
        </w:rPr>
        <w:t>9</w:t>
      </w:r>
      <w:r>
        <w:rPr>
          <w:rFonts w:hint="eastAsia" w:ascii="宋体"/>
          <w:bCs/>
          <w:color w:val="auto"/>
          <w:szCs w:val="20"/>
          <w:highlight w:val="none"/>
        </w:rPr>
        <w:t>日</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0</w:t>
      </w:r>
      <w:r>
        <w:rPr>
          <w:rFonts w:hint="eastAsia" w:ascii="宋体"/>
          <w:bCs/>
          <w:color w:val="auto"/>
          <w:szCs w:val="20"/>
          <w:highlight w:val="none"/>
          <w:lang w:val="en-US" w:eastAsia="zh-CN"/>
        </w:rPr>
        <w:t>0</w:t>
      </w:r>
      <w:r>
        <w:rPr>
          <w:rFonts w:hint="eastAsia" w:ascii="宋体"/>
          <w:bCs/>
          <w:color w:val="auto"/>
          <w:szCs w:val="20"/>
          <w:highlight w:val="none"/>
        </w:rPr>
        <w:t>分—</w:t>
      </w:r>
      <w:r>
        <w:rPr>
          <w:rFonts w:hint="eastAsia" w:ascii="宋体"/>
          <w:bCs/>
          <w:color w:val="auto"/>
          <w:szCs w:val="20"/>
          <w:highlight w:val="none"/>
          <w:lang w:val="en-US" w:eastAsia="zh-CN"/>
        </w:rPr>
        <w:t>1</w:t>
      </w:r>
      <w:r>
        <w:rPr>
          <w:rFonts w:hint="eastAsia" w:ascii="宋体"/>
          <w:bCs/>
          <w:color w:val="auto"/>
          <w:szCs w:val="20"/>
          <w:highlight w:val="none"/>
          <w:lang w:val="en-US" w:eastAsia="zh-CN"/>
        </w:rPr>
        <w:t>0</w:t>
      </w:r>
      <w:r>
        <w:rPr>
          <w:rFonts w:hint="eastAsia" w:ascii="宋体"/>
          <w:bCs/>
          <w:color w:val="auto"/>
          <w:szCs w:val="20"/>
          <w:highlight w:val="none"/>
        </w:rPr>
        <w:t>时</w:t>
      </w:r>
      <w:r>
        <w:rPr>
          <w:rFonts w:hint="eastAsia" w:ascii="宋体"/>
          <w:bCs/>
          <w:color w:val="auto"/>
          <w:szCs w:val="20"/>
          <w:highlight w:val="none"/>
          <w:lang w:val="en-US" w:eastAsia="zh-CN"/>
        </w:rPr>
        <w:t>0</w:t>
      </w:r>
      <w:r>
        <w:rPr>
          <w:rFonts w:hint="eastAsia" w:ascii="宋体"/>
          <w:bCs/>
          <w:color w:val="auto"/>
          <w:szCs w:val="20"/>
          <w:highlight w:val="none"/>
          <w:lang w:val="en-US" w:eastAsia="zh-CN"/>
        </w:rPr>
        <w:t>0</w:t>
      </w:r>
      <w:r>
        <w:rPr>
          <w:rFonts w:hint="eastAsia" w:ascii="宋体"/>
          <w:bCs/>
          <w:color w:val="auto"/>
          <w:szCs w:val="20"/>
          <w:highlight w:val="none"/>
        </w:rPr>
        <w:t>分。</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提交投标文件地点：佛山市公共资源交易中心</w:t>
      </w:r>
      <w:r>
        <w:rPr>
          <w:rFonts w:hint="eastAsia" w:ascii="宋体"/>
          <w:bCs/>
          <w:color w:val="auto"/>
          <w:szCs w:val="20"/>
          <w:highlight w:val="none"/>
          <w:lang w:eastAsia="zh-CN"/>
        </w:rPr>
        <w:t>开标三室</w:t>
      </w:r>
      <w:r>
        <w:rPr>
          <w:rFonts w:hint="eastAsia" w:ascii="宋体"/>
          <w:bCs/>
          <w:color w:val="auto"/>
          <w:szCs w:val="20"/>
          <w:highlight w:val="none"/>
        </w:rPr>
        <w:t>（地址：佛山市禅城区季华五路公交大厦行政服务中心六楼）</w:t>
      </w:r>
      <w:r>
        <w:rPr>
          <w:rFonts w:hint="eastAsia" w:ascii="宋体"/>
          <w:bCs/>
          <w:color w:val="auto"/>
          <w:szCs w:val="20"/>
          <w:highlight w:val="none"/>
          <w:lang w:eastAsia="zh-CN"/>
        </w:rPr>
        <w:t>。</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投标截止及开标时间：202</w:t>
      </w:r>
      <w:r>
        <w:rPr>
          <w:rFonts w:hint="eastAsia" w:ascii="宋体"/>
          <w:bCs/>
          <w:color w:val="auto"/>
          <w:szCs w:val="20"/>
          <w:highlight w:val="none"/>
          <w:lang w:val="en-US" w:eastAsia="zh-CN"/>
        </w:rPr>
        <w:t>2</w:t>
      </w:r>
      <w:r>
        <w:rPr>
          <w:rFonts w:hint="eastAsia" w:ascii="宋体"/>
          <w:bCs/>
          <w:color w:val="auto"/>
          <w:szCs w:val="20"/>
          <w:highlight w:val="none"/>
        </w:rPr>
        <w:t>年</w:t>
      </w:r>
      <w:r>
        <w:rPr>
          <w:rFonts w:hint="eastAsia" w:ascii="宋体"/>
          <w:bCs/>
          <w:color w:val="auto"/>
          <w:szCs w:val="20"/>
          <w:highlight w:val="none"/>
          <w:lang w:val="en-US" w:eastAsia="zh-CN"/>
        </w:rPr>
        <w:t>4</w:t>
      </w:r>
      <w:r>
        <w:rPr>
          <w:rFonts w:hint="eastAsia" w:ascii="宋体"/>
          <w:bCs/>
          <w:color w:val="auto"/>
          <w:szCs w:val="20"/>
          <w:highlight w:val="none"/>
        </w:rPr>
        <w:t>月</w:t>
      </w:r>
      <w:r>
        <w:rPr>
          <w:rFonts w:hint="eastAsia" w:ascii="宋体"/>
          <w:bCs/>
          <w:color w:val="auto"/>
          <w:szCs w:val="20"/>
          <w:highlight w:val="none"/>
          <w:lang w:val="en-US" w:eastAsia="zh-CN"/>
        </w:rPr>
        <w:t>2</w:t>
      </w:r>
      <w:r>
        <w:rPr>
          <w:rFonts w:hint="eastAsia" w:ascii="宋体"/>
          <w:bCs/>
          <w:color w:val="auto"/>
          <w:szCs w:val="20"/>
          <w:highlight w:val="none"/>
          <w:lang w:val="en-US" w:eastAsia="zh-CN"/>
        </w:rPr>
        <w:t>9</w:t>
      </w:r>
      <w:r>
        <w:rPr>
          <w:rFonts w:hint="eastAsia" w:ascii="宋体"/>
          <w:bCs/>
          <w:color w:val="auto"/>
          <w:szCs w:val="20"/>
          <w:highlight w:val="none"/>
        </w:rPr>
        <w:t>日</w:t>
      </w:r>
      <w:r>
        <w:rPr>
          <w:rFonts w:hint="eastAsia" w:ascii="宋体"/>
          <w:bCs/>
          <w:color w:val="auto"/>
          <w:szCs w:val="20"/>
          <w:highlight w:val="none"/>
          <w:lang w:val="en-US" w:eastAsia="zh-CN"/>
        </w:rPr>
        <w:t>1</w:t>
      </w:r>
      <w:r>
        <w:rPr>
          <w:rFonts w:hint="eastAsia" w:ascii="宋体"/>
          <w:bCs/>
          <w:color w:val="auto"/>
          <w:szCs w:val="20"/>
          <w:highlight w:val="none"/>
          <w:lang w:val="en-US" w:eastAsia="zh-CN"/>
        </w:rPr>
        <w:t>0</w:t>
      </w:r>
      <w:r>
        <w:rPr>
          <w:rFonts w:hint="eastAsia" w:ascii="宋体"/>
          <w:bCs/>
          <w:color w:val="auto"/>
          <w:szCs w:val="20"/>
          <w:highlight w:val="none"/>
        </w:rPr>
        <w:t>时</w:t>
      </w:r>
      <w:r>
        <w:rPr>
          <w:rFonts w:hint="eastAsia" w:ascii="宋体"/>
          <w:bCs/>
          <w:color w:val="auto"/>
          <w:szCs w:val="20"/>
          <w:highlight w:val="none"/>
          <w:lang w:val="en-US" w:eastAsia="zh-CN"/>
        </w:rPr>
        <w:t>0</w:t>
      </w:r>
      <w:r>
        <w:rPr>
          <w:rFonts w:hint="eastAsia" w:ascii="宋体"/>
          <w:bCs/>
          <w:color w:val="auto"/>
          <w:szCs w:val="20"/>
          <w:highlight w:val="none"/>
          <w:lang w:val="en-US" w:eastAsia="zh-CN"/>
        </w:rPr>
        <w:t>0</w:t>
      </w:r>
      <w:r>
        <w:rPr>
          <w:rFonts w:hint="eastAsia" w:ascii="宋体"/>
          <w:bCs/>
          <w:color w:val="auto"/>
          <w:szCs w:val="20"/>
          <w:highlight w:val="none"/>
        </w:rPr>
        <w:t>分。</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开标地点：</w:t>
      </w:r>
      <w:r>
        <w:rPr>
          <w:rFonts w:hint="eastAsia" w:ascii="宋体"/>
          <w:bCs/>
          <w:color w:val="auto"/>
          <w:szCs w:val="20"/>
          <w:highlight w:val="none"/>
        </w:rPr>
        <w:t>佛山市公共资源交易中心</w:t>
      </w:r>
      <w:r>
        <w:rPr>
          <w:rFonts w:hint="eastAsia" w:ascii="宋体"/>
          <w:bCs/>
          <w:color w:val="auto"/>
          <w:szCs w:val="20"/>
          <w:highlight w:val="none"/>
          <w:lang w:eastAsia="zh-CN"/>
        </w:rPr>
        <w:t>开标三室</w:t>
      </w:r>
      <w:r>
        <w:rPr>
          <w:rFonts w:hint="eastAsia" w:ascii="宋体"/>
          <w:bCs/>
          <w:color w:val="auto"/>
          <w:szCs w:val="20"/>
          <w:highlight w:val="none"/>
        </w:rPr>
        <w:t>（地址：佛山市禅城区季华五路公交大厦行政服务中心六楼）</w:t>
      </w:r>
      <w:r>
        <w:rPr>
          <w:rFonts w:hint="eastAsia" w:ascii="宋体"/>
          <w:bCs/>
          <w:color w:val="auto"/>
          <w:szCs w:val="20"/>
          <w:highlight w:val="none"/>
          <w:lang w:eastAsia="zh-CN"/>
        </w:rPr>
        <w:t>。</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本公告期限（5个工作日）自202</w:t>
      </w:r>
      <w:r>
        <w:rPr>
          <w:rFonts w:hint="eastAsia" w:ascii="宋体"/>
          <w:bCs/>
          <w:color w:val="auto"/>
          <w:szCs w:val="20"/>
          <w:highlight w:val="none"/>
          <w:lang w:val="en-US" w:eastAsia="zh-CN"/>
        </w:rPr>
        <w:t>2</w:t>
      </w:r>
      <w:r>
        <w:rPr>
          <w:rFonts w:hint="eastAsia" w:ascii="宋体"/>
          <w:bCs/>
          <w:color w:val="auto"/>
          <w:szCs w:val="20"/>
          <w:highlight w:val="none"/>
        </w:rPr>
        <w:t>年</w:t>
      </w:r>
      <w:r>
        <w:rPr>
          <w:rFonts w:hint="eastAsia" w:ascii="宋体"/>
          <w:bCs/>
          <w:color w:val="auto"/>
          <w:szCs w:val="20"/>
          <w:highlight w:val="none"/>
          <w:lang w:val="en-US" w:eastAsia="zh-CN"/>
        </w:rPr>
        <w:t>4</w:t>
      </w:r>
      <w:r>
        <w:rPr>
          <w:rFonts w:hint="eastAsia" w:ascii="宋体"/>
          <w:bCs/>
          <w:color w:val="auto"/>
          <w:szCs w:val="20"/>
          <w:highlight w:val="none"/>
        </w:rPr>
        <w:t>月</w:t>
      </w:r>
      <w:r>
        <w:rPr>
          <w:rFonts w:hint="eastAsia" w:ascii="宋体"/>
          <w:bCs/>
          <w:color w:val="auto"/>
          <w:szCs w:val="20"/>
          <w:highlight w:val="none"/>
          <w:lang w:val="en-US" w:eastAsia="zh-CN"/>
        </w:rPr>
        <w:t>8</w:t>
      </w:r>
      <w:r>
        <w:rPr>
          <w:rFonts w:hint="eastAsia" w:ascii="宋体"/>
          <w:bCs/>
          <w:color w:val="auto"/>
          <w:szCs w:val="20"/>
          <w:highlight w:val="none"/>
        </w:rPr>
        <w:t>日至202</w:t>
      </w:r>
      <w:r>
        <w:rPr>
          <w:rFonts w:hint="eastAsia" w:ascii="宋体"/>
          <w:bCs/>
          <w:color w:val="auto"/>
          <w:szCs w:val="20"/>
          <w:highlight w:val="none"/>
          <w:lang w:val="en-US" w:eastAsia="zh-CN"/>
        </w:rPr>
        <w:t>2</w:t>
      </w:r>
      <w:r>
        <w:rPr>
          <w:rFonts w:hint="eastAsia" w:ascii="宋体"/>
          <w:bCs/>
          <w:color w:val="auto"/>
          <w:szCs w:val="20"/>
          <w:highlight w:val="none"/>
        </w:rPr>
        <w:t>年</w:t>
      </w:r>
      <w:r>
        <w:rPr>
          <w:rFonts w:hint="eastAsia" w:ascii="宋体"/>
          <w:bCs/>
          <w:color w:val="auto"/>
          <w:szCs w:val="20"/>
          <w:highlight w:val="none"/>
          <w:lang w:val="en-US" w:eastAsia="zh-CN"/>
        </w:rPr>
        <w:t>4</w:t>
      </w:r>
      <w:r>
        <w:rPr>
          <w:rFonts w:hint="eastAsia" w:ascii="宋体"/>
          <w:bCs/>
          <w:color w:val="auto"/>
          <w:szCs w:val="20"/>
          <w:highlight w:val="none"/>
        </w:rPr>
        <w:t>月</w:t>
      </w:r>
      <w:r>
        <w:rPr>
          <w:rFonts w:hint="eastAsia" w:ascii="宋体"/>
          <w:bCs/>
          <w:color w:val="auto"/>
          <w:szCs w:val="20"/>
          <w:highlight w:val="none"/>
          <w:lang w:val="en-US" w:eastAsia="zh-CN"/>
        </w:rPr>
        <w:t>1</w:t>
      </w:r>
      <w:r>
        <w:rPr>
          <w:rFonts w:hint="eastAsia" w:ascii="宋体"/>
          <w:bCs/>
          <w:color w:val="auto"/>
          <w:szCs w:val="20"/>
          <w:highlight w:val="none"/>
          <w:lang w:val="en-US" w:eastAsia="zh-CN"/>
        </w:rPr>
        <w:t>5</w:t>
      </w:r>
      <w:r>
        <w:rPr>
          <w:rFonts w:hint="eastAsia" w:ascii="宋体"/>
          <w:bCs/>
          <w:color w:val="auto"/>
          <w:szCs w:val="20"/>
          <w:highlight w:val="none"/>
        </w:rPr>
        <w:t>日止。</w:t>
      </w:r>
    </w:p>
    <w:p>
      <w:pPr>
        <w:numPr>
          <w:ilvl w:val="0"/>
          <w:numId w:val="2"/>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联系事项</w:t>
      </w:r>
    </w:p>
    <w:p>
      <w:pPr>
        <w:pStyle w:val="22"/>
        <w:widowControl w:val="0"/>
        <w:numPr>
          <w:ilvl w:val="0"/>
          <w:numId w:val="8"/>
        </w:numPr>
        <w:tabs>
          <w:tab w:val="left" w:pos="1050"/>
        </w:tabs>
        <w:snapToGrid w:val="0"/>
        <w:spacing w:before="0" w:beforeAutospacing="0" w:after="0" w:afterAutospacing="0" w:line="360" w:lineRule="auto"/>
        <w:ind w:firstLine="215"/>
        <w:jc w:val="both"/>
        <w:rPr>
          <w:rFonts w:hint="eastAsia"/>
          <w:bCs/>
          <w:color w:val="auto"/>
          <w:sz w:val="21"/>
          <w:szCs w:val="21"/>
          <w:highlight w:val="none"/>
        </w:rPr>
      </w:pPr>
      <w:r>
        <w:rPr>
          <w:rFonts w:hint="eastAsia"/>
          <w:color w:val="auto"/>
          <w:sz w:val="21"/>
          <w:szCs w:val="21"/>
          <w:highlight w:val="none"/>
        </w:rPr>
        <w:t>招标人：</w:t>
      </w:r>
      <w:r>
        <w:rPr>
          <w:rFonts w:hint="eastAsia"/>
          <w:color w:val="auto"/>
          <w:sz w:val="21"/>
          <w:szCs w:val="21"/>
          <w:highlight w:val="none"/>
          <w:lang w:eastAsia="zh-CN"/>
        </w:rPr>
        <w:t>佛山市机场建设开发有限公司</w:t>
      </w:r>
      <w:r>
        <w:rPr>
          <w:rFonts w:hint="eastAsia"/>
          <w:bCs/>
          <w:color w:val="auto"/>
          <w:sz w:val="21"/>
          <w:szCs w:val="21"/>
          <w:highlight w:val="none"/>
        </w:rPr>
        <w:t xml:space="preserve">      </w:t>
      </w:r>
    </w:p>
    <w:p>
      <w:pPr>
        <w:pStyle w:val="22"/>
        <w:widowControl w:val="0"/>
        <w:tabs>
          <w:tab w:val="left" w:pos="425"/>
          <w:tab w:val="left" w:pos="1050"/>
        </w:tabs>
        <w:snapToGrid w:val="0"/>
        <w:spacing w:before="0" w:beforeAutospacing="0" w:after="0" w:afterAutospacing="0" w:line="360" w:lineRule="auto"/>
        <w:ind w:left="640" w:leftChars="305" w:firstLine="315" w:firstLineChars="150"/>
        <w:jc w:val="both"/>
        <w:rPr>
          <w:rFonts w:hint="eastAsia"/>
          <w:color w:val="auto"/>
          <w:sz w:val="21"/>
          <w:szCs w:val="21"/>
          <w:highlight w:val="none"/>
        </w:rPr>
      </w:pPr>
      <w:r>
        <w:rPr>
          <w:rFonts w:hint="eastAsia"/>
          <w:bCs/>
          <w:color w:val="auto"/>
          <w:sz w:val="21"/>
          <w:szCs w:val="21"/>
          <w:highlight w:val="none"/>
        </w:rPr>
        <w:t xml:space="preserve"> </w:t>
      </w:r>
      <w:r>
        <w:rPr>
          <w:rFonts w:hint="eastAsia"/>
          <w:color w:val="auto"/>
          <w:sz w:val="21"/>
          <w:szCs w:val="21"/>
          <w:highlight w:val="none"/>
        </w:rPr>
        <w:t>地址</w:t>
      </w:r>
      <w:r>
        <w:rPr>
          <w:color w:val="auto"/>
          <w:sz w:val="21"/>
          <w:szCs w:val="21"/>
          <w:highlight w:val="none"/>
        </w:rPr>
        <w:t>：</w:t>
      </w:r>
      <w:r>
        <w:rPr>
          <w:rFonts w:hint="eastAsia"/>
          <w:color w:val="auto"/>
          <w:sz w:val="21"/>
          <w:szCs w:val="21"/>
          <w:highlight w:val="none"/>
        </w:rPr>
        <w:t>广东省佛山市禅城区季华五路20号</w:t>
      </w:r>
    </w:p>
    <w:p>
      <w:pPr>
        <w:adjustRightInd w:val="0"/>
        <w:snapToGrid w:val="0"/>
        <w:spacing w:line="360" w:lineRule="auto"/>
        <w:ind w:left="425"/>
        <w:rPr>
          <w:rFonts w:hint="default" w:ascii="宋体" w:hAnsi="宋体" w:eastAsia="宋体"/>
          <w:bCs/>
          <w:color w:val="auto"/>
          <w:szCs w:val="21"/>
          <w:highlight w:val="none"/>
          <w:lang w:val="en-US" w:eastAsia="zh-CN"/>
        </w:rPr>
      </w:pPr>
      <w:r>
        <w:rPr>
          <w:rFonts w:hint="eastAsia" w:ascii="宋体" w:hAnsi="宋体"/>
          <w:bCs/>
          <w:color w:val="auto"/>
          <w:szCs w:val="21"/>
          <w:highlight w:val="none"/>
        </w:rPr>
        <w:t xml:space="preserve">      联系人：</w:t>
      </w:r>
      <w:r>
        <w:rPr>
          <w:rFonts w:hint="eastAsia" w:ascii="宋体" w:hAnsi="宋体"/>
          <w:bCs/>
          <w:color w:val="auto"/>
          <w:szCs w:val="21"/>
          <w:highlight w:val="none"/>
          <w:lang w:val="en-US" w:eastAsia="zh-CN"/>
        </w:rPr>
        <w:t>盛超</w:t>
      </w:r>
      <w:r>
        <w:rPr>
          <w:rFonts w:hint="eastAsia" w:ascii="宋体" w:hAnsi="宋体"/>
          <w:bCs/>
          <w:color w:val="auto"/>
          <w:szCs w:val="21"/>
          <w:highlight w:val="none"/>
        </w:rPr>
        <w:t xml:space="preserve">               联系电话：0757-83139309</w:t>
      </w:r>
    </w:p>
    <w:p>
      <w:pPr>
        <w:adjustRightInd w:val="0"/>
        <w:snapToGrid w:val="0"/>
        <w:spacing w:line="360" w:lineRule="auto"/>
        <w:ind w:left="425"/>
        <w:rPr>
          <w:rFonts w:hint="eastAsia"/>
          <w:color w:val="auto"/>
          <w:szCs w:val="21"/>
          <w:highlight w:val="none"/>
        </w:rPr>
      </w:pPr>
      <w:r>
        <w:rPr>
          <w:rFonts w:hint="eastAsia" w:ascii="宋体" w:hAnsi="宋体"/>
          <w:bCs/>
          <w:color w:val="auto"/>
          <w:szCs w:val="21"/>
          <w:highlight w:val="none"/>
        </w:rPr>
        <w:t xml:space="preserve">      邮编：</w:t>
      </w:r>
      <w:r>
        <w:rPr>
          <w:rFonts w:ascii="宋体" w:hAnsi="宋体"/>
          <w:color w:val="auto"/>
          <w:highlight w:val="none"/>
        </w:rPr>
        <w:t>528</w:t>
      </w:r>
      <w:r>
        <w:rPr>
          <w:rFonts w:hint="eastAsia" w:ascii="宋体" w:hAnsi="宋体"/>
          <w:color w:val="auto"/>
          <w:highlight w:val="none"/>
          <w:lang w:val="en-US" w:eastAsia="zh-CN"/>
        </w:rPr>
        <w:t>0</w:t>
      </w:r>
      <w:r>
        <w:rPr>
          <w:rFonts w:ascii="宋体" w:hAnsi="宋体"/>
          <w:color w:val="auto"/>
          <w:highlight w:val="none"/>
        </w:rPr>
        <w:t>00</w:t>
      </w:r>
      <w:r>
        <w:rPr>
          <w:rFonts w:hint="eastAsia"/>
          <w:color w:val="auto"/>
          <w:highlight w:val="none"/>
        </w:rPr>
        <w:t xml:space="preserve"> </w:t>
      </w:r>
      <w:r>
        <w:rPr>
          <w:rFonts w:hint="eastAsia"/>
          <w:color w:val="auto"/>
          <w:szCs w:val="21"/>
          <w:highlight w:val="none"/>
        </w:rPr>
        <w:t xml:space="preserve"> </w:t>
      </w:r>
    </w:p>
    <w:p>
      <w:pPr>
        <w:numPr>
          <w:ilvl w:val="0"/>
          <w:numId w:val="8"/>
        </w:numPr>
        <w:tabs>
          <w:tab w:val="left" w:pos="1050"/>
        </w:tabs>
        <w:adjustRightInd w:val="0"/>
        <w:snapToGrid w:val="0"/>
        <w:spacing w:line="360" w:lineRule="auto"/>
        <w:ind w:firstLine="215"/>
        <w:rPr>
          <w:rFonts w:hint="eastAsia" w:ascii="宋体" w:hAnsi="宋体"/>
          <w:color w:val="auto"/>
          <w:highlight w:val="none"/>
        </w:rPr>
      </w:pPr>
      <w:r>
        <w:rPr>
          <w:rFonts w:hint="eastAsia"/>
          <w:color w:val="auto"/>
          <w:highlight w:val="none"/>
        </w:rPr>
        <w:t>招标代理机构：</w:t>
      </w:r>
      <w:r>
        <w:rPr>
          <w:rFonts w:hint="eastAsia" w:ascii="宋体" w:hAnsi="宋体"/>
          <w:color w:val="auto"/>
          <w:highlight w:val="none"/>
        </w:rPr>
        <w:t xml:space="preserve">广东中采招标有限公司    </w:t>
      </w:r>
    </w:p>
    <w:p>
      <w:pPr>
        <w:tabs>
          <w:tab w:val="left" w:pos="1050"/>
        </w:tabs>
        <w:adjustRightInd w:val="0"/>
        <w:snapToGrid w:val="0"/>
        <w:spacing w:line="360" w:lineRule="auto"/>
        <w:ind w:left="640" w:firstLine="420" w:firstLineChars="200"/>
        <w:rPr>
          <w:rFonts w:hint="eastAsia" w:ascii="宋体" w:hAnsi="宋体"/>
          <w:color w:val="auto"/>
          <w:highlight w:val="none"/>
        </w:rPr>
      </w:pPr>
      <w:r>
        <w:rPr>
          <w:rFonts w:hint="eastAsia" w:ascii="宋体" w:hAnsi="宋体"/>
          <w:color w:val="auto"/>
          <w:highlight w:val="none"/>
        </w:rPr>
        <w:t>地址：佛山市禅城区文华北路223号之一栋5层525、526、527单元</w:t>
      </w:r>
    </w:p>
    <w:p>
      <w:pPr>
        <w:adjustRightInd w:val="0"/>
        <w:snapToGrid w:val="0"/>
        <w:spacing w:line="360" w:lineRule="auto"/>
        <w:ind w:left="425"/>
        <w:rPr>
          <w:rFonts w:hint="eastAsia" w:ascii="宋体" w:hAnsi="宋体" w:eastAsia="宋体"/>
          <w:color w:val="auto"/>
          <w:highlight w:val="none"/>
          <w:lang w:eastAsia="zh-CN"/>
        </w:rPr>
      </w:pPr>
      <w:r>
        <w:rPr>
          <w:rFonts w:hint="eastAsia" w:ascii="宋体" w:hAnsi="宋体"/>
          <w:color w:val="auto"/>
          <w:highlight w:val="none"/>
        </w:rPr>
        <w:t xml:space="preserve">      联系人：</w:t>
      </w:r>
      <w:r>
        <w:rPr>
          <w:rFonts w:hint="eastAsia"/>
          <w:color w:val="auto"/>
          <w:highlight w:val="none"/>
          <w:lang w:val="en-US" w:eastAsia="zh-CN"/>
        </w:rPr>
        <w:t>李</w:t>
      </w:r>
      <w:r>
        <w:rPr>
          <w:rFonts w:hint="eastAsia" w:ascii="宋体" w:hAnsi="宋体"/>
          <w:color w:val="auto"/>
          <w:szCs w:val="21"/>
          <w:highlight w:val="none"/>
          <w:lang w:eastAsia="zh-CN"/>
        </w:rPr>
        <w:t>诗晴</w:t>
      </w:r>
      <w:r>
        <w:rPr>
          <w:rFonts w:hint="eastAsia" w:ascii="宋体" w:hAnsi="宋体"/>
          <w:color w:val="auto"/>
          <w:szCs w:val="21"/>
          <w:highlight w:val="none"/>
        </w:rPr>
        <w:t xml:space="preserve">             </w:t>
      </w:r>
      <w:r>
        <w:rPr>
          <w:rFonts w:hint="eastAsia" w:ascii="宋体" w:hAnsi="宋体"/>
          <w:color w:val="auto"/>
          <w:highlight w:val="none"/>
        </w:rPr>
        <w:t>联系方式：</w:t>
      </w:r>
      <w:r>
        <w:rPr>
          <w:rFonts w:ascii="宋体" w:hAnsi="宋体"/>
          <w:color w:val="auto"/>
          <w:highlight w:val="none"/>
        </w:rPr>
        <w:t>0757-81993027</w:t>
      </w:r>
      <w:r>
        <w:rPr>
          <w:rFonts w:hint="eastAsia" w:ascii="宋体" w:hAnsi="宋体"/>
          <w:color w:val="auto"/>
          <w:highlight w:val="none"/>
          <w:lang w:eastAsia="zh-CN"/>
        </w:rPr>
        <w:t>、</w:t>
      </w:r>
      <w:r>
        <w:rPr>
          <w:rFonts w:ascii="宋体" w:hAnsi="宋体"/>
          <w:color w:val="auto"/>
          <w:highlight w:val="none"/>
        </w:rPr>
        <w:t>0757-81279048</w:t>
      </w:r>
    </w:p>
    <w:p>
      <w:pPr>
        <w:adjustRightInd w:val="0"/>
        <w:snapToGrid w:val="0"/>
        <w:spacing w:line="360" w:lineRule="auto"/>
        <w:ind w:left="425"/>
        <w:rPr>
          <w:rStyle w:val="36"/>
          <w:color w:val="auto"/>
          <w:highlight w:val="none"/>
        </w:rPr>
      </w:pPr>
      <w:r>
        <w:rPr>
          <w:rFonts w:hint="eastAsia" w:ascii="宋体" w:hAnsi="宋体"/>
          <w:color w:val="auto"/>
          <w:highlight w:val="none"/>
        </w:rPr>
        <w:t xml:space="preserve">      邮政编码：</w:t>
      </w:r>
      <w:r>
        <w:rPr>
          <w:rFonts w:ascii="宋体" w:hAnsi="宋体"/>
          <w:color w:val="auto"/>
          <w:highlight w:val="none"/>
        </w:rPr>
        <w:t>528000</w:t>
      </w:r>
      <w:r>
        <w:rPr>
          <w:rFonts w:hint="eastAsia" w:ascii="宋体" w:hAnsi="宋体"/>
          <w:color w:val="auto"/>
          <w:highlight w:val="none"/>
        </w:rPr>
        <w:t xml:space="preserve">           电邮：</w:t>
      </w:r>
      <w:r>
        <w:rPr>
          <w:rFonts w:ascii="宋体" w:hAnsi="宋体"/>
          <w:color w:val="auto"/>
          <w:highlight w:val="none"/>
        </w:rPr>
        <w:fldChar w:fldCharType="begin"/>
      </w:r>
      <w:r>
        <w:rPr>
          <w:rFonts w:ascii="宋体" w:hAnsi="宋体"/>
          <w:color w:val="auto"/>
          <w:highlight w:val="none"/>
        </w:rPr>
        <w:instrText xml:space="preserve"> HYPERLINK "mailto:gdzczb@126.com" </w:instrText>
      </w:r>
      <w:r>
        <w:rPr>
          <w:rFonts w:ascii="宋体" w:hAnsi="宋体"/>
          <w:color w:val="auto"/>
          <w:highlight w:val="none"/>
        </w:rPr>
        <w:fldChar w:fldCharType="separate"/>
      </w:r>
      <w:r>
        <w:rPr>
          <w:rFonts w:hint="eastAsia" w:ascii="宋体" w:hAnsi="宋体"/>
          <w:color w:val="auto"/>
          <w:highlight w:val="none"/>
        </w:rPr>
        <w:t>gdzczb@126.com</w:t>
      </w:r>
      <w:r>
        <w:rPr>
          <w:rFonts w:ascii="宋体" w:hAnsi="宋体"/>
          <w:color w:val="auto"/>
          <w:highlight w:val="none"/>
        </w:rPr>
        <w:fldChar w:fldCharType="end"/>
      </w:r>
    </w:p>
    <w:p>
      <w:pPr>
        <w:numPr>
          <w:ilvl w:val="0"/>
          <w:numId w:val="2"/>
        </w:numPr>
        <w:snapToGrid w:val="0"/>
        <w:spacing w:line="360" w:lineRule="auto"/>
        <w:ind w:left="422" w:hanging="422" w:hangingChars="200"/>
        <w:rPr>
          <w:rFonts w:hint="eastAsia" w:ascii="宋体"/>
          <w:b/>
          <w:bCs w:val="0"/>
          <w:color w:val="auto"/>
          <w:sz w:val="21"/>
          <w:szCs w:val="21"/>
          <w:highlight w:val="none"/>
          <w:lang w:val="zh-CN"/>
        </w:rPr>
      </w:pPr>
      <w:r>
        <w:rPr>
          <w:rFonts w:hint="eastAsia" w:ascii="宋体"/>
          <w:b/>
          <w:bCs w:val="0"/>
          <w:color w:val="auto"/>
          <w:sz w:val="21"/>
          <w:szCs w:val="21"/>
          <w:highlight w:val="none"/>
        </w:rPr>
        <w:t>特别注意事项：</w:t>
      </w:r>
    </w:p>
    <w:p>
      <w:pPr>
        <w:pStyle w:val="22"/>
        <w:widowControl w:val="0"/>
        <w:numPr>
          <w:ilvl w:val="0"/>
          <w:numId w:val="9"/>
        </w:numPr>
        <w:tabs>
          <w:tab w:val="left" w:pos="1050"/>
        </w:tabs>
        <w:snapToGrid w:val="0"/>
        <w:spacing w:before="0" w:beforeAutospacing="0" w:after="0" w:afterAutospacing="0" w:line="360" w:lineRule="auto"/>
        <w:ind w:firstLine="215"/>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本项目为企业自主采购，不属于政府采购范畴</w:t>
      </w:r>
      <w:r>
        <w:rPr>
          <w:rFonts w:hint="eastAsia" w:cs="宋体"/>
          <w:b/>
          <w:bCs w:val="0"/>
          <w:color w:val="auto"/>
          <w:sz w:val="21"/>
          <w:szCs w:val="21"/>
          <w:highlight w:val="none"/>
          <w:lang w:eastAsia="zh-CN"/>
        </w:rPr>
        <w:t>。</w:t>
      </w:r>
    </w:p>
    <w:p>
      <w:pPr>
        <w:pStyle w:val="22"/>
        <w:widowControl w:val="0"/>
        <w:numPr>
          <w:ilvl w:val="0"/>
          <w:numId w:val="9"/>
        </w:numPr>
        <w:tabs>
          <w:tab w:val="left" w:pos="1050"/>
        </w:tabs>
        <w:snapToGrid w:val="0"/>
        <w:spacing w:before="0" w:beforeAutospacing="0" w:after="0" w:afterAutospacing="0" w:line="360" w:lineRule="auto"/>
        <w:ind w:firstLine="215"/>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为减少纸张浪费，节约环保，投标文件（正本和副本）请双面制作</w:t>
      </w:r>
      <w:r>
        <w:rPr>
          <w:rFonts w:hint="eastAsia" w:cs="宋体"/>
          <w:b/>
          <w:bCs w:val="0"/>
          <w:color w:val="auto"/>
          <w:sz w:val="21"/>
          <w:szCs w:val="21"/>
          <w:highlight w:val="none"/>
          <w:lang w:eastAsia="zh-CN"/>
        </w:rPr>
        <w:t>。</w:t>
      </w:r>
    </w:p>
    <w:p>
      <w:pPr>
        <w:pStyle w:val="22"/>
        <w:widowControl w:val="0"/>
        <w:numPr>
          <w:ilvl w:val="0"/>
          <w:numId w:val="9"/>
        </w:numPr>
        <w:tabs>
          <w:tab w:val="left" w:pos="1050"/>
        </w:tabs>
        <w:snapToGrid w:val="0"/>
        <w:spacing w:before="0" w:beforeAutospacing="0" w:after="0" w:afterAutospacing="0" w:line="360" w:lineRule="auto"/>
        <w:ind w:firstLine="215"/>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疫情防控提醒</w:t>
      </w:r>
    </w:p>
    <w:p>
      <w:pPr>
        <w:numPr>
          <w:ilvl w:val="0"/>
          <w:numId w:val="10"/>
        </w:numPr>
        <w:tabs>
          <w:tab w:val="left" w:pos="567"/>
        </w:tabs>
        <w:snapToGrid w:val="0"/>
        <w:spacing w:line="360" w:lineRule="auto"/>
        <w:ind w:left="840" w:leftChars="200" w:hanging="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进入交易中心前，需测量体温（37.2℃以下），出示绿色健康码、绿色行程卡、主动申报健康情况，否则不予进场。</w:t>
      </w:r>
    </w:p>
    <w:p>
      <w:pPr>
        <w:numPr>
          <w:ilvl w:val="0"/>
          <w:numId w:val="10"/>
        </w:numPr>
        <w:tabs>
          <w:tab w:val="left" w:pos="567"/>
        </w:tabs>
        <w:snapToGrid w:val="0"/>
        <w:spacing w:line="360" w:lineRule="auto"/>
        <w:ind w:left="840" w:leftChars="200" w:hanging="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近14天内到达或途经中高风险地区的（绿色行程卡显示有*标识的地区），需出示</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lang w:eastAsia="zh-CN"/>
        </w:rPr>
        <w:t>小时内的核酸检测阴性证明，否则不予进场。</w:t>
      </w:r>
    </w:p>
    <w:p>
      <w:pPr>
        <w:numPr>
          <w:ilvl w:val="0"/>
          <w:numId w:val="10"/>
        </w:numPr>
        <w:tabs>
          <w:tab w:val="left" w:pos="567"/>
        </w:tabs>
        <w:snapToGrid w:val="0"/>
        <w:spacing w:line="360" w:lineRule="auto"/>
        <w:ind w:left="840" w:leftChars="200" w:hanging="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体温异常（体温等于或大于37.3℃），粤康码（黄码或红码）异常，不得进入。</w:t>
      </w:r>
    </w:p>
    <w:p>
      <w:pPr>
        <w:numPr>
          <w:ilvl w:val="0"/>
          <w:numId w:val="10"/>
        </w:numPr>
        <w:tabs>
          <w:tab w:val="left" w:pos="567"/>
        </w:tabs>
        <w:snapToGrid w:val="0"/>
        <w:spacing w:line="360" w:lineRule="auto"/>
        <w:ind w:left="840" w:leftChars="200" w:hanging="42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疫情防控期间，投标人的授权代理人进入佛山市公共资源交易中心须佩戴口罩，未佩戴口罩者一律不得进入；投标人代表未佩戴口罩的，招标人将不予接收其投标文件。</w:t>
      </w:r>
    </w:p>
    <w:p>
      <w:pPr>
        <w:snapToGrid w:val="0"/>
        <w:spacing w:line="360" w:lineRule="auto"/>
        <w:ind w:firstLine="420" w:firstLineChars="200"/>
        <w:rPr>
          <w:rFonts w:hint="eastAsia"/>
          <w:color w:val="auto"/>
          <w:highlight w:val="none"/>
        </w:rPr>
      </w:pPr>
    </w:p>
    <w:p>
      <w:pPr>
        <w:snapToGrid w:val="0"/>
        <w:spacing w:line="360" w:lineRule="auto"/>
        <w:ind w:firstLine="435"/>
        <w:jc w:val="right"/>
        <w:rPr>
          <w:rFonts w:hint="eastAsia"/>
          <w:b/>
          <w:color w:val="auto"/>
          <w:highlight w:val="none"/>
        </w:rPr>
      </w:pPr>
      <w:r>
        <w:rPr>
          <w:rFonts w:hint="eastAsia"/>
          <w:b/>
          <w:color w:val="auto"/>
          <w:highlight w:val="none"/>
        </w:rPr>
        <w:t>广东中采招标有限公司</w:t>
      </w:r>
    </w:p>
    <w:p>
      <w:pPr>
        <w:wordWrap w:val="0"/>
        <w:snapToGrid w:val="0"/>
        <w:spacing w:line="360" w:lineRule="auto"/>
        <w:ind w:firstLine="435"/>
        <w:jc w:val="righ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lang w:val="en-US" w:eastAsia="zh-CN"/>
        </w:rPr>
        <w:t>022</w:t>
      </w:r>
      <w:r>
        <w:rPr>
          <w:rFonts w:hint="eastAsia" w:ascii="宋体" w:hAnsi="宋体" w:eastAsia="宋体" w:cs="宋体"/>
          <w:b/>
          <w:color w:val="auto"/>
          <w:highlight w:val="none"/>
        </w:rPr>
        <w:t>年</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月</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rPr>
        <w:t>日</w:t>
      </w:r>
    </w:p>
    <w:p>
      <w:pPr>
        <w:snapToGrid w:val="0"/>
        <w:spacing w:line="360" w:lineRule="auto"/>
        <w:jc w:val="right"/>
        <w:rPr>
          <w:b/>
          <w:color w:val="auto"/>
          <w:highlight w:val="none"/>
        </w:rPr>
        <w:sectPr>
          <w:footerReference r:id="rId9" w:type="first"/>
          <w:headerReference r:id="rId7" w:type="default"/>
          <w:footerReference r:id="rId8" w:type="default"/>
          <w:pgSz w:w="11906" w:h="16838"/>
          <w:pgMar w:top="1091" w:right="1466" w:bottom="1134" w:left="1260" w:header="623" w:footer="567" w:gutter="0"/>
          <w:pgNumType w:start="1"/>
          <w:cols w:space="720" w:num="1"/>
          <w:titlePg/>
          <w:docGrid w:type="lines" w:linePitch="312" w:charSpace="0"/>
        </w:sectPr>
      </w:pPr>
    </w:p>
    <w:p>
      <w:pPr>
        <w:adjustRightInd w:val="0"/>
        <w:snapToGrid w:val="0"/>
        <w:spacing w:before="156" w:beforeLines="50" w:after="156" w:afterLines="50" w:line="360" w:lineRule="auto"/>
        <w:jc w:val="center"/>
        <w:outlineLvl w:val="0"/>
        <w:rPr>
          <w:b/>
          <w:bCs/>
          <w:color w:val="auto"/>
          <w:sz w:val="28"/>
          <w:szCs w:val="28"/>
          <w:highlight w:val="none"/>
        </w:rPr>
      </w:pPr>
      <w:bookmarkStart w:id="1" w:name="_Toc28320"/>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  投标资料表</w:t>
      </w:r>
      <w:bookmarkEnd w:id="1"/>
    </w:p>
    <w:p>
      <w:pPr>
        <w:numPr>
          <w:ilvl w:val="0"/>
          <w:numId w:val="0"/>
        </w:numPr>
        <w:spacing w:line="360" w:lineRule="auto"/>
        <w:ind w:leftChars="0" w:right="-174" w:rightChars="-83" w:firstLine="420" w:firstLineChars="200"/>
        <w:rPr>
          <w:color w:val="auto"/>
          <w:highlight w:val="none"/>
        </w:rPr>
      </w:pPr>
      <w:r>
        <w:rPr>
          <w:rFonts w:hint="eastAsia"/>
          <w:color w:val="auto"/>
          <w:highlight w:val="none"/>
        </w:rPr>
        <w:t>该资料表的条款项号是与第五章《投标人须知》条款项号对应的，或增加的条款是对第五章《投标人须知》的补充、修改和完善。</w:t>
      </w:r>
    </w:p>
    <w:tbl>
      <w:tblPr>
        <w:tblStyle w:val="25"/>
        <w:tblW w:w="90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top w:val="single" w:color="auto" w:sz="12" w:space="0"/>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条款项号</w:t>
            </w:r>
          </w:p>
        </w:tc>
        <w:tc>
          <w:tcPr>
            <w:tcW w:w="7938" w:type="dxa"/>
            <w:tcBorders>
              <w:top w:val="single" w:color="auto" w:sz="12" w:space="0"/>
              <w:right w:val="single" w:color="auto" w:sz="12"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93" w:type="dxa"/>
            <w:gridSpan w:val="2"/>
            <w:tcBorders>
              <w:left w:val="single" w:color="auto" w:sz="12" w:space="0"/>
              <w:right w:val="single" w:color="auto" w:sz="12" w:space="0"/>
            </w:tcBorders>
            <w:noWrap w:val="0"/>
            <w:vAlign w:val="center"/>
          </w:tcPr>
          <w:p>
            <w:pPr>
              <w:jc w:val="left"/>
              <w:rPr>
                <w:rFonts w:hint="eastAsia" w:ascii="宋体" w:hAnsi="宋体" w:cs="宋体"/>
                <w:b/>
                <w:color w:val="auto"/>
                <w:szCs w:val="21"/>
                <w:highlight w:val="none"/>
              </w:rPr>
            </w:pPr>
            <w:r>
              <w:rPr>
                <w:rFonts w:hint="eastAsia" w:ascii="宋体" w:hAnsi="宋体" w:cs="宋体"/>
                <w:color w:val="auto"/>
                <w:szCs w:val="21"/>
                <w:highlight w:val="none"/>
              </w:rPr>
              <w:t>对第五章《投标人须知》的</w:t>
            </w:r>
            <w:r>
              <w:rPr>
                <w:rFonts w:hint="eastAsia"/>
                <w:color w:val="auto"/>
                <w:highlight w:val="none"/>
              </w:rPr>
              <w:t>补充、修改和完善</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7938" w:type="dxa"/>
            <w:tcBorders>
              <w:right w:val="single" w:color="auto" w:sz="12" w:space="0"/>
            </w:tcBorders>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招标人名称：</w:t>
            </w:r>
            <w:r>
              <w:rPr>
                <w:rFonts w:hint="eastAsia" w:ascii="宋体" w:hAnsi="宋体" w:cs="宋体"/>
                <w:color w:val="auto"/>
                <w:kern w:val="28"/>
                <w:szCs w:val="21"/>
                <w:highlight w:val="none"/>
                <w:lang w:eastAsia="zh-CN"/>
              </w:rPr>
              <w:t>佛山市机场建设开发有限公司</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7938" w:type="dxa"/>
            <w:tcBorders>
              <w:right w:val="single" w:color="auto" w:sz="12"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招标代理机构：广东中采招标有限公司</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地址：佛山市禅城区文华北路223号之一栋5层525、526、527单元</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电话：0757-81993027</w:t>
            </w:r>
            <w:r>
              <w:rPr>
                <w:rFonts w:hint="eastAsia" w:ascii="宋体" w:hAnsi="宋体" w:cs="宋体"/>
                <w:color w:val="auto"/>
                <w:szCs w:val="21"/>
                <w:highlight w:val="none"/>
                <w:lang w:eastAsia="zh-CN"/>
              </w:rPr>
              <w:t>、</w:t>
            </w:r>
            <w:r>
              <w:rPr>
                <w:rFonts w:hint="eastAsia" w:ascii="宋体" w:hAnsi="宋体" w:cs="宋体"/>
                <w:color w:val="auto"/>
                <w:szCs w:val="21"/>
                <w:highlight w:val="none"/>
              </w:rPr>
              <w:t>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投标截止日期和时间：按招标文件第一章规定。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12.4</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不允许有备选方案，否则将被视为无效投标。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12.5</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不允许附加条件报价，否则将被视为无效投标。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numPr>
                <w:ilvl w:val="0"/>
                <w:numId w:val="11"/>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投标保证金金额：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包组一：¥</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,000.00元（人民币</w:t>
            </w:r>
            <w:r>
              <w:rPr>
                <w:rFonts w:hint="eastAsia" w:ascii="宋体" w:hAnsi="宋体" w:cs="宋体"/>
                <w:color w:val="auto"/>
                <w:szCs w:val="21"/>
                <w:highlight w:val="none"/>
                <w:lang w:val="en-US" w:eastAsia="zh-CN"/>
              </w:rPr>
              <w:t>拾</w:t>
            </w:r>
            <w:r>
              <w:rPr>
                <w:rFonts w:hint="eastAsia" w:ascii="宋体" w:hAnsi="宋体" w:cs="宋体"/>
                <w:color w:val="auto"/>
                <w:szCs w:val="21"/>
                <w:highlight w:val="none"/>
              </w:rPr>
              <w:t>万元整）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包组二：¥</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0,000.00元（人民币</w:t>
            </w:r>
            <w:r>
              <w:rPr>
                <w:rFonts w:hint="eastAsia" w:ascii="宋体" w:hAnsi="宋体" w:cs="宋体"/>
                <w:color w:val="auto"/>
                <w:szCs w:val="21"/>
                <w:highlight w:val="none"/>
                <w:lang w:val="en-US" w:eastAsia="zh-CN"/>
              </w:rPr>
              <w:t>玖</w:t>
            </w:r>
            <w:r>
              <w:rPr>
                <w:rFonts w:hint="eastAsia" w:ascii="宋体" w:hAnsi="宋体" w:cs="宋体"/>
                <w:color w:val="auto"/>
                <w:szCs w:val="21"/>
                <w:highlight w:val="none"/>
              </w:rPr>
              <w:t>万元整）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包组三：¥</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.00元（人民币</w:t>
            </w:r>
            <w:r>
              <w:rPr>
                <w:rFonts w:hint="eastAsia" w:ascii="宋体" w:hAnsi="宋体" w:cs="宋体"/>
                <w:color w:val="auto"/>
                <w:szCs w:val="21"/>
                <w:highlight w:val="none"/>
                <w:lang w:val="en-US" w:eastAsia="zh-CN"/>
              </w:rPr>
              <w:t>捌</w:t>
            </w:r>
            <w:r>
              <w:rPr>
                <w:rFonts w:hint="eastAsia" w:ascii="宋体" w:hAnsi="宋体" w:cs="宋体"/>
                <w:color w:val="auto"/>
                <w:szCs w:val="21"/>
                <w:highlight w:val="none"/>
              </w:rPr>
              <w:t>万元整）</w:t>
            </w:r>
          </w:p>
          <w:p>
            <w:pPr>
              <w:numPr>
                <w:ilvl w:val="0"/>
                <w:numId w:val="11"/>
              </w:numPr>
              <w:spacing w:line="360" w:lineRule="auto"/>
              <w:rPr>
                <w:rFonts w:hint="eastAsia" w:ascii="宋体" w:hAnsi="宋体" w:cs="宋体"/>
                <w:color w:val="auto"/>
                <w:highlight w:val="none"/>
              </w:rPr>
            </w:pPr>
            <w:r>
              <w:rPr>
                <w:rFonts w:hint="eastAsia" w:ascii="宋体" w:hAnsi="宋体" w:cs="宋体"/>
                <w:color w:val="auto"/>
                <w:szCs w:val="21"/>
                <w:highlight w:val="none"/>
              </w:rPr>
              <w:t>缴纳方式：银行转账方式或投标担保方式。</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以银行转账方式提交投标保证金的：</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rPr>
              <w:t>1)投标保证金汇入账户详见投标人获取招标文件时在交易平台的打印回执。</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rPr>
              <w:t>2）投标保证金由投标人的基本账户一次性汇入到交易中心指定账户（即“缴纳保证金账户信息回执”上的内容，该账号是银行系统为本项目不同投标人随机生成的唯一子账号，仅限本项目投标人缴纳保证金使用），否则无效。</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rPr>
              <w:t>（2）以投标担保方式提交投标保证金时：</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rPr>
              <w:t>1）投标人选择纸质投标保函（保单）形式提交投标保证金的，应当按招标文件要求将纸质投标保函（保单）的复印件作为投标文件的内容一并提交。投标人须在投标截止时间前提交纸质投标保函（保单）原件。</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rPr>
              <w:t>2）纸质投标保函（保单）的核验</w:t>
            </w:r>
            <w:r>
              <w:rPr>
                <w:rFonts w:hint="eastAsia" w:ascii="宋体" w:hAnsi="宋体" w:cs="宋体"/>
                <w:color w:val="auto"/>
                <w:szCs w:val="21"/>
                <w:highlight w:val="none"/>
                <w:lang w:eastAsia="zh-CN"/>
              </w:rPr>
              <w:t>【</w:t>
            </w:r>
            <w:r>
              <w:rPr>
                <w:rFonts w:hint="eastAsia" w:ascii="宋体" w:hAnsi="宋体" w:cs="宋体"/>
                <w:color w:val="auto"/>
                <w:szCs w:val="21"/>
                <w:highlight w:val="none"/>
              </w:rPr>
              <w:t>纸质投标保函（保单）不需密封）</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招标人取得纸质投标保函（保单）原件后，对纸质投标保函（保单）是否采用市政务服务数据管理部门规定的格式</w:t>
            </w:r>
            <w:r>
              <w:rPr>
                <w:rFonts w:hint="eastAsia" w:ascii="宋体" w:hAnsi="宋体" w:cs="宋体"/>
                <w:b/>
                <w:bCs/>
                <w:color w:val="auto"/>
                <w:szCs w:val="21"/>
                <w:highlight w:val="none"/>
                <w:lang w:eastAsia="zh-CN"/>
              </w:rPr>
              <w:t>（详见第七章投标文件格式附件</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以及纸质投标保函（保单）载明的投标人名称、项目名称、担保金额、开立时间、有效期等内容进行核验。对符合招标文件要求的，视为提交投标保证金有效；对不符合招标文件要求的，视为未按规定提交投标保证金，招标人在保存纸质投标保函（保单）原件的复印件或影印件后予以退回，并记录退回原因。</w:t>
            </w:r>
          </w:p>
          <w:p>
            <w:pPr>
              <w:numPr>
                <w:ilvl w:val="0"/>
                <w:numId w:val="11"/>
              </w:num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有效期</w:t>
            </w:r>
            <w:r>
              <w:rPr>
                <w:rFonts w:hint="eastAsia" w:ascii="宋体" w:hAnsi="宋体" w:cs="宋体"/>
                <w:color w:val="auto"/>
                <w:szCs w:val="21"/>
                <w:highlight w:val="none"/>
              </w:rPr>
              <w:t>：投标保证金应在投标有效期内有效</w:t>
            </w:r>
            <w:r>
              <w:rPr>
                <w:rFonts w:hint="eastAsia" w:ascii="宋体" w:hAnsi="宋体" w:cs="宋体"/>
                <w:color w:val="auto"/>
                <w:szCs w:val="21"/>
                <w:highlight w:val="none"/>
                <w:lang w:eastAsia="zh-CN"/>
              </w:rPr>
              <w:t>。</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b/>
                <w:bCs/>
                <w:color w:val="auto"/>
                <w:highlight w:val="none"/>
                <w:lang w:val="en-US" w:eastAsia="zh-CN"/>
              </w:rPr>
              <w:t>备注：每个包组的保证金必须分别一次性转账或分开提交保函（保单），不可两个分包或以上的金额合并转账或提交。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17.2</w:t>
            </w:r>
          </w:p>
        </w:tc>
        <w:tc>
          <w:tcPr>
            <w:tcW w:w="7938" w:type="dxa"/>
            <w:tcBorders>
              <w:right w:val="single" w:color="auto" w:sz="12" w:space="0"/>
            </w:tcBorders>
            <w:noWrap w:val="0"/>
            <w:vAlign w:val="center"/>
          </w:tcPr>
          <w:p>
            <w:pPr>
              <w:numPr>
                <w:ilvl w:val="0"/>
                <w:numId w:val="12"/>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银行转账的：符合退付条件的投标保证金，将在规定的时间内全额无息退还到投标人原汇出账户。</w:t>
            </w:r>
          </w:p>
          <w:p>
            <w:pPr>
              <w:numPr>
                <w:ilvl w:val="0"/>
                <w:numId w:val="0"/>
              </w:numPr>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招标人在评标结束后，交易中心接到招标人退还投标保证金通知书后5个工作日内全额无息退还非中标候选人的投标保证金。</w:t>
            </w:r>
          </w:p>
          <w:p>
            <w:pPr>
              <w:numPr>
                <w:ilvl w:val="0"/>
                <w:numId w:val="0"/>
              </w:numPr>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招标人与中标人签订合同后，交易中心接到招标人退还投标保证金通知书后5个工作日内全额无息退还中标人及其他中标候选人的投标保证金。</w:t>
            </w:r>
          </w:p>
          <w:p>
            <w:pPr>
              <w:numPr>
                <w:ilvl w:val="0"/>
                <w:numId w:val="12"/>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投标保函（保单）的:</w:t>
            </w:r>
          </w:p>
          <w:p>
            <w:pPr>
              <w:numPr>
                <w:ilvl w:val="0"/>
                <w:numId w:val="0"/>
              </w:numPr>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招标人在评标结束后，代理机构接到招标人退还投标保证金通知书后5个工作日内全额无息退还非中标候选人的退还投标保函（保单）。</w:t>
            </w:r>
          </w:p>
          <w:p>
            <w:pPr>
              <w:numPr>
                <w:ilvl w:val="0"/>
                <w:numId w:val="0"/>
              </w:numPr>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招标人与中标人签订合同后，代理机构接到招标人退还投标保证金通知书后5个工作日内全额无息退还中标人及其他中标候选人的退还投标保函（保单）。</w:t>
            </w:r>
          </w:p>
          <w:p>
            <w:pPr>
              <w:numPr>
                <w:ilvl w:val="0"/>
                <w:numId w:val="0"/>
              </w:numPr>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退还方式</w:t>
            </w:r>
          </w:p>
          <w:p>
            <w:pPr>
              <w:numPr>
                <w:ilvl w:val="0"/>
                <w:numId w:val="0"/>
              </w:numPr>
              <w:spacing w:line="360" w:lineRule="auto"/>
              <w:ind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1）邮寄，寄回投标保函（保单）上载明的投标人地址，投标保函（保单）灭失风险、邮寄所产生费用由投标人自行负责。</w:t>
            </w:r>
          </w:p>
          <w:p>
            <w:pPr>
              <w:numPr>
                <w:ilvl w:val="0"/>
                <w:numId w:val="0"/>
              </w:numPr>
              <w:spacing w:line="360" w:lineRule="auto"/>
              <w:ind w:leftChars="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自取，自取地址：投标人凭加盖投标人公章的授权书原件自行到佛山市禅城区文华北路223号之1栋5层526室领回。若投标有效期后1个月内未领回，则由招标人自行处理。联系人：李工，联系电话：0757-81993027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投标文件份数：正本一份，副本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份，电子文件</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份</w:t>
            </w:r>
            <w:r>
              <w:rPr>
                <w:rFonts w:hint="eastAsia" w:ascii="宋体" w:hAnsi="宋体" w:cs="宋体"/>
                <w:color w:val="auto"/>
                <w:szCs w:val="21"/>
                <w:highlight w:val="none"/>
                <w:lang w:eastAsia="zh-CN"/>
              </w:rPr>
              <w:t>，开标信封一份</w:t>
            </w:r>
            <w:r>
              <w:rPr>
                <w:rFonts w:hint="eastAsia" w:ascii="宋体" w:hAnsi="宋体" w:cs="宋体"/>
                <w:color w:val="auto"/>
                <w:szCs w:val="21"/>
                <w:highlight w:val="none"/>
              </w:rPr>
              <w:t>。（注：电子文件</w:t>
            </w:r>
            <w:r>
              <w:rPr>
                <w:rFonts w:hint="eastAsia" w:ascii="宋体" w:hAnsi="宋体" w:cs="宋体"/>
                <w:color w:val="auto"/>
                <w:szCs w:val="21"/>
                <w:highlight w:val="none"/>
                <w:lang w:eastAsia="zh-CN"/>
              </w:rPr>
              <w:t>是指将按招标文件要求</w:t>
            </w:r>
            <w:r>
              <w:rPr>
                <w:rFonts w:hint="eastAsia" w:ascii="宋体" w:hAnsi="宋体" w:cs="宋体"/>
                <w:color w:val="auto"/>
                <w:szCs w:val="21"/>
                <w:highlight w:val="none"/>
              </w:rPr>
              <w:t>签署、盖章后的正本投标文件扫描成PDF格式后拷贝至无病毒无密码的U盘或光盘，提交后不退回。）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ind w:left="105" w:hanging="105" w:hangingChars="50"/>
              <w:rPr>
                <w:rFonts w:hint="eastAsia" w:ascii="宋体" w:hAnsi="宋体" w:cs="宋体"/>
                <w:color w:val="auto"/>
                <w:szCs w:val="21"/>
                <w:highlight w:val="none"/>
              </w:rPr>
            </w:pPr>
            <w:r>
              <w:rPr>
                <w:rFonts w:hint="eastAsia" w:ascii="宋体" w:hAnsi="宋体" w:cs="宋体"/>
                <w:color w:val="auto"/>
                <w:szCs w:val="21"/>
                <w:highlight w:val="none"/>
              </w:rPr>
              <w:t>投标文件递交地址：按招标文件第一章投标邀请中规定。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开标日期、时间和地点：按招标文件第一章投标邀请中规定。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rPr>
                <w:rFonts w:hint="eastAsia" w:ascii="宋体" w:hAnsi="宋体" w:cs="宋体"/>
                <w:color w:val="auto"/>
                <w:szCs w:val="21"/>
                <w:highlight w:val="none"/>
              </w:rPr>
            </w:pPr>
            <w:r>
              <w:rPr>
                <w:rFonts w:hint="eastAsia" w:ascii="宋体" w:hAnsi="宋体" w:cs="宋体"/>
                <w:color w:val="auto"/>
                <w:kern w:val="0"/>
                <w:szCs w:val="21"/>
                <w:highlight w:val="none"/>
                <w:lang w:val="zh-CN"/>
              </w:rPr>
              <w:t>评标委员会由</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val="zh-CN"/>
              </w:rPr>
              <w:t>名</w:t>
            </w:r>
            <w:r>
              <w:rPr>
                <w:rFonts w:hint="eastAsia" w:ascii="宋体" w:hAnsi="宋体" w:cs="宋体"/>
                <w:color w:val="auto"/>
                <w:kern w:val="0"/>
                <w:szCs w:val="21"/>
                <w:highlight w:val="none"/>
              </w:rPr>
              <w:t>成员（</w:t>
            </w:r>
            <w:r>
              <w:rPr>
                <w:rFonts w:hint="eastAsia" w:ascii="宋体" w:hAnsi="宋体" w:cs="宋体"/>
                <w:color w:val="auto"/>
                <w:kern w:val="0"/>
                <w:szCs w:val="21"/>
                <w:highlight w:val="none"/>
                <w:lang w:val="zh-CN"/>
              </w:rPr>
              <w:t>单数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组成</w:t>
            </w:r>
            <w:r>
              <w:rPr>
                <w:rFonts w:hint="eastAsia" w:ascii="宋体" w:hAnsi="宋体"/>
                <w:color w:val="auto"/>
                <w:sz w:val="21"/>
                <w:szCs w:val="21"/>
                <w:highlight w:val="none"/>
              </w:rPr>
              <w:t>；其中：评标专家</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人，</w:t>
            </w:r>
            <w:r>
              <w:rPr>
                <w:rFonts w:hint="eastAsia" w:ascii="宋体" w:hAnsi="宋体"/>
                <w:color w:val="auto"/>
                <w:sz w:val="21"/>
                <w:szCs w:val="21"/>
                <w:highlight w:val="none"/>
                <w:lang w:eastAsia="zh-CN"/>
              </w:rPr>
              <w:t>招标</w:t>
            </w:r>
            <w:r>
              <w:rPr>
                <w:rFonts w:hint="eastAsia" w:ascii="宋体" w:hAnsi="宋体"/>
                <w:color w:val="auto"/>
                <w:sz w:val="21"/>
                <w:szCs w:val="21"/>
                <w:highlight w:val="none"/>
              </w:rPr>
              <w:t>人代表</w:t>
            </w:r>
            <w:r>
              <w:rPr>
                <w:rFonts w:hint="eastAsia" w:ascii="宋体" w:hAnsi="宋体"/>
                <w:color w:val="auto"/>
                <w:sz w:val="21"/>
                <w:szCs w:val="21"/>
                <w:highlight w:val="none"/>
                <w:u w:val="single"/>
                <w:lang w:val="en-US" w:eastAsia="zh-CN"/>
              </w:rPr>
              <w:t>2</w:t>
            </w:r>
            <w:r>
              <w:rPr>
                <w:rFonts w:hint="eastAsia" w:ascii="宋体" w:hAnsi="宋体"/>
                <w:color w:val="auto"/>
                <w:sz w:val="21"/>
                <w:szCs w:val="21"/>
                <w:highlight w:val="none"/>
              </w:rPr>
              <w:t>人</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24.4</w:t>
            </w:r>
          </w:p>
        </w:tc>
        <w:tc>
          <w:tcPr>
            <w:tcW w:w="7938" w:type="dxa"/>
            <w:tcBorders>
              <w:right w:val="single" w:color="auto" w:sz="12" w:space="0"/>
            </w:tcBorders>
            <w:noWrap w:val="0"/>
            <w:vAlign w:val="center"/>
          </w:tcPr>
          <w:p>
            <w:pPr>
              <w:widowControl/>
              <w:numPr>
                <w:ilvl w:val="0"/>
                <w:numId w:val="0"/>
              </w:num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评标方法：各包组进行独立评审，均采用综合评分法。</w:t>
            </w:r>
          </w:p>
          <w:p>
            <w:pPr>
              <w:widowControl/>
              <w:numPr>
                <w:ilvl w:val="0"/>
                <w:numId w:val="13"/>
              </w:num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投标人可自行选择对本项目的任一包组或多个包组进行</w:t>
            </w:r>
            <w:r>
              <w:rPr>
                <w:rFonts w:hint="eastAsia" w:ascii="宋体" w:hAnsi="宋体" w:eastAsia="宋体" w:cs="宋体"/>
                <w:color w:val="auto"/>
                <w:kern w:val="0"/>
                <w:szCs w:val="21"/>
                <w:highlight w:val="none"/>
                <w:lang w:eastAsia="zh-CN" w:bidi="ar"/>
              </w:rPr>
              <w:t>投标</w:t>
            </w:r>
            <w:r>
              <w:rPr>
                <w:rFonts w:hint="eastAsia" w:ascii="宋体" w:hAnsi="宋体" w:eastAsia="宋体" w:cs="宋体"/>
                <w:color w:val="auto"/>
                <w:kern w:val="0"/>
                <w:szCs w:val="21"/>
                <w:highlight w:val="none"/>
                <w:lang w:bidi="ar"/>
              </w:rPr>
              <w:t>，但最多只能获得一个包组的中标资格。</w:t>
            </w:r>
          </w:p>
          <w:p>
            <w:pPr>
              <w:widowControl/>
              <w:numPr>
                <w:ilvl w:val="0"/>
                <w:numId w:val="13"/>
              </w:num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包组一、包组二、包组三的顺序进行评审，依次按照评标总得分由高到低的顺序，每包组推荐两名中标候选人。已获得包组一的第一中标候选人资格的，将不具有包组二的候选人推荐资格，但参与评分和排名；包组二从具有中标候选人资格的投标人中，排名最高的投标人为第一中标候选人，排名次高的投标人为第二中标候选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以此类推</w:t>
            </w:r>
            <w:r>
              <w:rPr>
                <w:rFonts w:hint="eastAsia" w:ascii="宋体" w:hAnsi="宋体" w:eastAsia="宋体" w:cs="宋体"/>
                <w:color w:val="auto"/>
                <w:kern w:val="0"/>
                <w:szCs w:val="21"/>
                <w:highlight w:val="none"/>
                <w:lang w:eastAsia="zh-CN" w:bidi="ar"/>
              </w:rPr>
              <w:t>。</w:t>
            </w:r>
          </w:p>
          <w:p>
            <w:pPr>
              <w:widowControl/>
              <w:numPr>
                <w:ilvl w:val="0"/>
                <w:numId w:val="13"/>
              </w:numPr>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 xml:space="preserve">本项目包组一至少3个投标人通过资格性、符合性审查，否则该包组采购失败；包组二至少3个投标人通过资格性、符合性审查（已取得前一个包组的第一中标候选人不作计算），否则该包组采购失败；包组三至少3个投标人通过资格性、符合性审查（已取得前两个包组的第一中标候选人不作计算），否则该包组采购失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left w:val="single" w:color="auto" w:sz="12"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28.2</w:t>
            </w:r>
          </w:p>
        </w:tc>
        <w:tc>
          <w:tcPr>
            <w:tcW w:w="7938" w:type="dxa"/>
            <w:tcBorders>
              <w:right w:val="single" w:color="auto" w:sz="12" w:space="0"/>
            </w:tcBorders>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各包组定标原则：推荐综合得分排名第一的投标人为第一中标候选人，排名第二的投标人为第二中标候选人。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93" w:type="dxa"/>
            <w:gridSpan w:val="2"/>
            <w:tcBorders>
              <w:left w:val="single" w:color="auto" w:sz="12" w:space="0"/>
              <w:righ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合同签订时间：自《中标通知书》发出之日起三十日内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adjustRightInd w:val="0"/>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.1</w:t>
            </w:r>
          </w:p>
        </w:tc>
        <w:tc>
          <w:tcPr>
            <w:tcW w:w="7938" w:type="dxa"/>
            <w:tcBorders>
              <w:right w:val="single" w:color="auto" w:sz="12" w:space="0"/>
            </w:tcBorders>
            <w:noWrap w:val="0"/>
            <w:vAlign w:val="center"/>
          </w:tcPr>
          <w:p>
            <w:pPr>
              <w:adjustRightInd w:val="0"/>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履约保证金：签约合同价的10%</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5" w:type="dxa"/>
            <w:tcBorders>
              <w:left w:val="single" w:color="auto" w:sz="12" w:space="0"/>
            </w:tcBorders>
            <w:noWrap w:val="0"/>
            <w:vAlign w:val="center"/>
          </w:tcPr>
          <w:p>
            <w:pPr>
              <w:adjustRightInd w:val="0"/>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w:t>
            </w:r>
          </w:p>
        </w:tc>
        <w:tc>
          <w:tcPr>
            <w:tcW w:w="7938" w:type="dxa"/>
            <w:tcBorders>
              <w:right w:val="single" w:color="auto" w:sz="12" w:space="0"/>
            </w:tcBorders>
            <w:noWrap w:val="0"/>
            <w:vAlign w:val="top"/>
          </w:tcPr>
          <w:p>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color w:val="auto"/>
                <w:szCs w:val="21"/>
                <w:highlight w:val="none"/>
                <w:lang w:eastAsia="zh-CN"/>
              </w:rPr>
              <w:t>本项目招标代理服务费由招标人支付。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9093" w:type="dxa"/>
            <w:gridSpan w:val="2"/>
            <w:tcBorders>
              <w:left w:val="single" w:color="auto" w:sz="12" w:space="0"/>
              <w:bottom w:val="single" w:color="auto" w:sz="12" w:space="0"/>
              <w:right w:val="single" w:color="auto" w:sz="12" w:space="0"/>
            </w:tcBorders>
            <w:noWrap w:val="0"/>
            <w:vAlign w:val="center"/>
          </w:tcPr>
          <w:p>
            <w:pPr>
              <w:wordWrap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bCs/>
                <w:color w:val="auto"/>
                <w:szCs w:val="21"/>
                <w:highlight w:val="none"/>
              </w:rPr>
              <w:t>本项目相关公告在以下媒体发布：佛山市公共资源交易网（http://ggzy.foshan.gov.cn）</w:t>
            </w:r>
            <w:r>
              <w:rPr>
                <w:rFonts w:hint="eastAsia" w:ascii="宋体" w:hAnsi="宋体" w:cs="宋体"/>
                <w:color w:val="auto"/>
                <w:szCs w:val="21"/>
                <w:highlight w:val="none"/>
              </w:rPr>
              <w:t>及招标代理机构网站（http://www.gdzczb.com/）。相关公告在媒体上公布之日即视为有效送达，不再另行通知。</w:t>
            </w:r>
          </w:p>
        </w:tc>
      </w:tr>
    </w:tbl>
    <w:p>
      <w:pPr>
        <w:adjustRightInd w:val="0"/>
        <w:snapToGrid w:val="0"/>
        <w:spacing w:before="156" w:beforeLines="50" w:after="156" w:afterLines="50" w:line="360" w:lineRule="auto"/>
        <w:jc w:val="center"/>
        <w:outlineLvl w:val="0"/>
        <w:rPr>
          <w:rFonts w:hint="eastAsia"/>
          <w:color w:val="auto"/>
          <w:highlight w:val="none"/>
        </w:rPr>
      </w:pPr>
      <w:r>
        <w:rPr>
          <w:color w:val="auto"/>
          <w:highlight w:val="none"/>
        </w:rPr>
        <w:br w:type="page"/>
      </w:r>
      <w:bookmarkStart w:id="2" w:name="_Toc8417"/>
      <w:r>
        <w:rPr>
          <w:rFonts w:hint="eastAsia"/>
          <w:b/>
          <w:bCs/>
          <w:color w:val="auto"/>
          <w:sz w:val="28"/>
          <w:szCs w:val="28"/>
          <w:highlight w:val="none"/>
        </w:rPr>
        <w:t>第三章  用户需求书</w:t>
      </w:r>
      <w:bookmarkEnd w:id="2"/>
    </w:p>
    <w:p>
      <w:pPr>
        <w:snapToGrid w:val="0"/>
        <w:spacing w:line="360" w:lineRule="auto"/>
        <w:rPr>
          <w:rFonts w:hint="eastAsia" w:ascii="宋体"/>
          <w:b/>
          <w:bCs/>
          <w:color w:val="auto"/>
          <w:szCs w:val="20"/>
          <w:highlight w:val="none"/>
        </w:rPr>
      </w:pPr>
      <w:r>
        <w:rPr>
          <w:rFonts w:hint="eastAsia" w:ascii="宋体"/>
          <w:b/>
          <w:bCs/>
          <w:color w:val="auto"/>
          <w:szCs w:val="20"/>
          <w:highlight w:val="none"/>
        </w:rPr>
        <w:t>说明：</w:t>
      </w:r>
    </w:p>
    <w:p>
      <w:pPr>
        <w:numPr>
          <w:ilvl w:val="0"/>
          <w:numId w:val="14"/>
        </w:numPr>
        <w:spacing w:line="360" w:lineRule="auto"/>
        <w:rPr>
          <w:rFonts w:hint="eastAsia" w:ascii="宋体" w:hAnsi="宋体" w:cs="宋体"/>
          <w:b/>
          <w:bCs/>
          <w:color w:val="auto"/>
          <w:highlight w:val="none"/>
        </w:rPr>
      </w:pPr>
      <w:r>
        <w:rPr>
          <w:rFonts w:hint="eastAsia" w:ascii="宋体" w:hAnsi="宋体" w:cs="宋体"/>
          <w:b/>
          <w:bCs/>
          <w:color w:val="auto"/>
          <w:highlight w:val="none"/>
        </w:rPr>
        <w:t>用户需求书中打“★”号条款</w:t>
      </w:r>
      <w:r>
        <w:rPr>
          <w:rFonts w:hint="eastAsia" w:ascii="宋体" w:hAnsi="宋体" w:cs="宋体"/>
          <w:b/>
          <w:bCs/>
          <w:color w:val="auto"/>
          <w:highlight w:val="none"/>
          <w:lang w:eastAsia="zh-CN"/>
        </w:rPr>
        <w:t>（如有）</w:t>
      </w:r>
      <w:r>
        <w:rPr>
          <w:rFonts w:hint="eastAsia" w:ascii="宋体" w:hAnsi="宋体" w:cs="宋体"/>
          <w:b/>
          <w:bCs/>
          <w:color w:val="auto"/>
          <w:highlight w:val="none"/>
          <w:lang w:val="en-US" w:eastAsia="zh-CN"/>
        </w:rPr>
        <w:t>及商务条款均</w:t>
      </w:r>
      <w:r>
        <w:rPr>
          <w:rFonts w:hint="eastAsia" w:ascii="宋体" w:hAnsi="宋体" w:cs="宋体"/>
          <w:b/>
          <w:bCs/>
          <w:color w:val="auto"/>
          <w:highlight w:val="none"/>
        </w:rPr>
        <w:t>为实质性条款，投标人如有任何一条负偏离则导致投标无效。</w:t>
      </w:r>
    </w:p>
    <w:p>
      <w:pPr>
        <w:numPr>
          <w:ilvl w:val="0"/>
          <w:numId w:val="14"/>
        </w:numPr>
        <w:spacing w:line="360" w:lineRule="auto"/>
        <w:rPr>
          <w:rFonts w:hint="eastAsia"/>
          <w:b/>
          <w:bCs/>
          <w:color w:val="auto"/>
          <w:highlight w:val="none"/>
        </w:rPr>
      </w:pPr>
      <w:r>
        <w:rPr>
          <w:rFonts w:hint="eastAsia"/>
          <w:b/>
          <w:bCs/>
          <w:color w:val="auto"/>
          <w:highlight w:val="none"/>
        </w:rPr>
        <w:t>同义词语解释：构成招标文件组成部分的“用户需求书”中出现的“发包人”</w:t>
      </w:r>
      <w:r>
        <w:rPr>
          <w:rFonts w:hint="eastAsia"/>
          <w:b/>
          <w:bCs/>
          <w:color w:val="auto"/>
          <w:highlight w:val="none"/>
          <w:lang w:eastAsia="zh-CN"/>
        </w:rPr>
        <w:t>、</w:t>
      </w:r>
      <w:r>
        <w:rPr>
          <w:rFonts w:hint="eastAsia"/>
          <w:b/>
          <w:bCs/>
          <w:color w:val="auto"/>
          <w:highlight w:val="none"/>
        </w:rPr>
        <w:t>“委托人”和“招标人”同义</w:t>
      </w:r>
      <w:r>
        <w:rPr>
          <w:rFonts w:hint="eastAsia"/>
          <w:b/>
          <w:bCs/>
          <w:color w:val="auto"/>
          <w:highlight w:val="none"/>
          <w:lang w:eastAsia="zh-CN"/>
        </w:rPr>
        <w:t>；“</w:t>
      </w:r>
      <w:r>
        <w:rPr>
          <w:rFonts w:hint="eastAsia"/>
          <w:b/>
          <w:bCs/>
          <w:color w:val="auto"/>
          <w:highlight w:val="none"/>
          <w:lang w:val="en-US" w:eastAsia="zh-CN"/>
        </w:rPr>
        <w:t>承包人</w:t>
      </w:r>
      <w:r>
        <w:rPr>
          <w:rFonts w:hint="eastAsia"/>
          <w:b/>
          <w:bCs/>
          <w:color w:val="auto"/>
          <w:highlight w:val="none"/>
          <w:lang w:eastAsia="zh-CN"/>
        </w:rPr>
        <w:t>”、</w:t>
      </w:r>
      <w:r>
        <w:rPr>
          <w:rFonts w:hint="eastAsia"/>
          <w:b/>
          <w:bCs/>
          <w:color w:val="auto"/>
          <w:highlight w:val="none"/>
        </w:rPr>
        <w:t>“</w:t>
      </w:r>
      <w:r>
        <w:rPr>
          <w:rFonts w:hint="eastAsia"/>
          <w:b/>
          <w:bCs/>
          <w:color w:val="auto"/>
          <w:highlight w:val="none"/>
          <w:lang w:val="en-US" w:eastAsia="zh-CN"/>
        </w:rPr>
        <w:t>勘察</w:t>
      </w:r>
      <w:r>
        <w:rPr>
          <w:rFonts w:hint="eastAsia"/>
          <w:b/>
          <w:bCs/>
          <w:color w:val="auto"/>
          <w:highlight w:val="none"/>
        </w:rPr>
        <w:t>人”与“中标人”同义。</w:t>
      </w:r>
    </w:p>
    <w:p>
      <w:pPr>
        <w:numPr>
          <w:ilvl w:val="0"/>
          <w:numId w:val="14"/>
        </w:numPr>
        <w:spacing w:line="360" w:lineRule="auto"/>
        <w:rPr>
          <w:rFonts w:hint="eastAsia" w:ascii="宋体" w:hAnsi="宋体" w:cs="宋体"/>
          <w:b/>
          <w:bCs/>
          <w:color w:val="auto"/>
          <w:highlight w:val="none"/>
        </w:rPr>
      </w:pPr>
      <w:r>
        <w:rPr>
          <w:rFonts w:hint="eastAsia" w:ascii="宋体" w:hAnsi="宋体" w:cs="宋体"/>
          <w:b/>
          <w:bCs/>
          <w:color w:val="auto"/>
          <w:highlight w:val="none"/>
        </w:rPr>
        <w:t>项目内容</w:t>
      </w:r>
    </w:p>
    <w:tbl>
      <w:tblPr>
        <w:tblStyle w:val="25"/>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989"/>
        <w:gridCol w:w="686"/>
        <w:gridCol w:w="2089"/>
        <w:gridCol w:w="1291"/>
        <w:gridCol w:w="1507"/>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366"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包组号</w:t>
            </w:r>
          </w:p>
        </w:tc>
        <w:tc>
          <w:tcPr>
            <w:tcW w:w="527"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365"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数量</w:t>
            </w:r>
          </w:p>
        </w:tc>
        <w:tc>
          <w:tcPr>
            <w:tcW w:w="1112" w:type="pct"/>
            <w:shd w:val="clear" w:color="auto" w:fill="EEECE1"/>
            <w:noWrap w:val="0"/>
            <w:vAlign w:val="center"/>
          </w:tcPr>
          <w:p>
            <w:pPr>
              <w:spacing w:line="360" w:lineRule="auto"/>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最高限价</w:t>
            </w:r>
          </w:p>
        </w:tc>
        <w:tc>
          <w:tcPr>
            <w:tcW w:w="1489" w:type="pct"/>
            <w:gridSpan w:val="2"/>
            <w:shd w:val="clear" w:color="auto" w:fill="EEECE1"/>
            <w:noWrap w:val="0"/>
            <w:vAlign w:val="center"/>
          </w:tcPr>
          <w:p>
            <w:pPr>
              <w:spacing w:line="360" w:lineRule="auto"/>
              <w:jc w:val="center"/>
              <w:rPr>
                <w:rFonts w:hint="eastAsia" w:ascii="宋体"/>
                <w:b/>
                <w:color w:val="auto"/>
                <w:szCs w:val="21"/>
                <w:highlight w:val="none"/>
                <w:lang w:val="en-US" w:eastAsia="zh-CN"/>
              </w:rPr>
            </w:pPr>
            <w:r>
              <w:rPr>
                <w:rFonts w:hint="eastAsia" w:ascii="宋体"/>
                <w:b/>
                <w:color w:val="auto"/>
                <w:szCs w:val="21"/>
                <w:highlight w:val="none"/>
                <w:lang w:val="en-US" w:eastAsia="zh-CN"/>
              </w:rPr>
              <w:t>最高单价限价</w:t>
            </w:r>
          </w:p>
          <w:p>
            <w:pPr>
              <w:spacing w:line="360" w:lineRule="auto"/>
              <w:jc w:val="center"/>
              <w:rPr>
                <w:rFonts w:hint="eastAsia" w:ascii="宋体"/>
                <w:b/>
                <w:color w:val="auto"/>
                <w:szCs w:val="21"/>
                <w:highlight w:val="none"/>
              </w:rPr>
            </w:pPr>
            <w:r>
              <w:rPr>
                <w:rFonts w:hint="eastAsia" w:ascii="宋体"/>
                <w:b/>
                <w:color w:val="auto"/>
                <w:szCs w:val="21"/>
                <w:highlight w:val="none"/>
                <w:lang w:val="en-US" w:eastAsia="zh-CN"/>
              </w:rPr>
              <w:t>（人民币 元）</w:t>
            </w:r>
          </w:p>
        </w:tc>
        <w:tc>
          <w:tcPr>
            <w:tcW w:w="1138" w:type="pct"/>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包组一</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料源区及填方区</w:t>
            </w:r>
            <w:r>
              <w:rPr>
                <w:rFonts w:hint="eastAsia" w:ascii="宋体" w:hAnsi="宋体" w:eastAsia="宋体" w:cs="宋体"/>
                <w:bCs/>
                <w:color w:val="auto"/>
                <w:szCs w:val="21"/>
                <w:highlight w:val="none"/>
              </w:rPr>
              <w:t>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人民币</w:t>
            </w:r>
            <w:r>
              <w:rPr>
                <w:rFonts w:hint="eastAsia" w:ascii="宋体" w:hAnsi="宋体" w:eastAsia="宋体" w:cs="宋体"/>
                <w:snapToGrid/>
                <w:color w:val="auto"/>
                <w:spacing w:val="0"/>
                <w:kern w:val="2"/>
                <w:sz w:val="21"/>
                <w:szCs w:val="24"/>
                <w:highlight w:val="none"/>
              </w:rPr>
              <w:t>9,753,367.66元【含岩溶勘察部分预留金（或称暂列金额）¥1,000,000.00元】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eastAsia="zh-CN"/>
              </w:rPr>
              <w:t>主体协调工作部分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788,909.66</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rPr>
              <w:t>自招标人发出开工令之日起90日历天内提交最终勘察成果报告，包括：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eastAsia="zh-CN"/>
              </w:rPr>
              <w:t>机场料源区及填方区岩土工程初步勘察工作部分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rPr>
              <w:t>7,964,458.00</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钻孔综合单价（钻孔总进尺暂按29450米计算）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270.44元/延米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包组二</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航站区勘察服务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人民币</w:t>
            </w:r>
            <w:r>
              <w:rPr>
                <w:rFonts w:hint="eastAsia" w:ascii="宋体" w:hAnsi="宋体" w:eastAsia="宋体" w:cs="宋体"/>
                <w:snapToGrid/>
                <w:color w:val="auto"/>
                <w:spacing w:val="0"/>
                <w:kern w:val="2"/>
                <w:sz w:val="21"/>
                <w:szCs w:val="24"/>
                <w:highlight w:val="none"/>
              </w:rPr>
              <w:t>5,469,203.00元【含岩溶勘察部分预留金（或称暂列金额）¥800,000.00元】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机场航站区岩土工程初步勘察工作部分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4,669,203.00</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rPr>
              <w:t>自招标人发出开工令之日起</w:t>
            </w:r>
            <w:r>
              <w:rPr>
                <w:rFonts w:hint="eastAsia" w:ascii="宋体" w:hAnsi="宋体" w:eastAsia="宋体" w:cs="宋体"/>
                <w:snapToGrid/>
                <w:color w:val="auto"/>
                <w:spacing w:val="0"/>
                <w:kern w:val="2"/>
                <w:sz w:val="21"/>
                <w:szCs w:val="24"/>
                <w:highlight w:val="none"/>
                <w:lang w:val="en-US" w:eastAsia="zh-CN"/>
              </w:rPr>
              <w:t>60</w:t>
            </w:r>
            <w:r>
              <w:rPr>
                <w:rFonts w:hint="eastAsia" w:ascii="宋体" w:hAnsi="宋体" w:eastAsia="宋体" w:cs="宋体"/>
                <w:snapToGrid/>
                <w:color w:val="auto"/>
                <w:spacing w:val="0"/>
                <w:kern w:val="2"/>
                <w:sz w:val="21"/>
                <w:szCs w:val="24"/>
                <w:highlight w:val="none"/>
              </w:rPr>
              <w:t>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钻孔综合单价（钻孔总进尺暂按17850米计算）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r>
              <w:rPr>
                <w:rFonts w:hint="eastAsia" w:ascii="宋体" w:hAnsi="宋体" w:eastAsia="宋体" w:cs="宋体"/>
                <w:snapToGrid/>
                <w:color w:val="auto"/>
                <w:spacing w:val="0"/>
                <w:kern w:val="2"/>
                <w:sz w:val="21"/>
                <w:szCs w:val="24"/>
                <w:highlight w:val="none"/>
                <w:lang w:val="en-US" w:eastAsia="zh-CN"/>
              </w:rPr>
              <w:t>261.58元/延米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包组三</w:t>
            </w:r>
          </w:p>
        </w:tc>
        <w:tc>
          <w:tcPr>
            <w:tcW w:w="527"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工作区勘察服务</w:t>
            </w:r>
          </w:p>
        </w:tc>
        <w:tc>
          <w:tcPr>
            <w:tcW w:w="365" w:type="pct"/>
            <w:vMerge w:val="restart"/>
            <w:noWrap w:val="0"/>
            <w:vAlign w:val="center"/>
          </w:tcPr>
          <w:p>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1112"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val="en-US" w:eastAsia="zh-CN"/>
              </w:rPr>
              <w:t>人民币4,182,144.00元【含岩溶勘察部分预留金（或称暂列金额）¥700,000.00元】</w:t>
            </w: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机场工作区岩土工程初步勘察工作部分</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4"/>
                <w:highlight w:val="none"/>
                <w:lang w:val="en-US" w:eastAsia="zh-CN"/>
              </w:rPr>
            </w:pPr>
            <w:r>
              <w:rPr>
                <w:rFonts w:hint="eastAsia" w:ascii="宋体" w:hAnsi="宋体" w:eastAsia="宋体" w:cs="宋体"/>
                <w:snapToGrid/>
                <w:color w:val="auto"/>
                <w:spacing w:val="0"/>
                <w:kern w:val="2"/>
                <w:sz w:val="21"/>
                <w:szCs w:val="24"/>
                <w:highlight w:val="none"/>
                <w:lang w:val="en-US" w:eastAsia="zh-CN"/>
              </w:rPr>
              <w:t>3,482,144.00</w:t>
            </w:r>
          </w:p>
        </w:tc>
        <w:tc>
          <w:tcPr>
            <w:tcW w:w="1138" w:type="pct"/>
            <w:vMerge w:val="restart"/>
            <w:noWrap w:val="0"/>
            <w:vAlign w:val="center"/>
          </w:tcPr>
          <w:p>
            <w:pPr>
              <w:pStyle w:val="48"/>
              <w:spacing w:line="440" w:lineRule="exact"/>
              <w:rPr>
                <w:rFonts w:hint="eastAsia" w:ascii="宋体" w:hAnsi="宋体" w:eastAsia="宋体" w:cs="宋体"/>
                <w:snapToGrid/>
                <w:color w:val="auto"/>
                <w:spacing w:val="0"/>
                <w:kern w:val="2"/>
                <w:sz w:val="21"/>
                <w:szCs w:val="21"/>
                <w:highlight w:val="none"/>
              </w:rPr>
            </w:pPr>
            <w:r>
              <w:rPr>
                <w:rFonts w:hint="eastAsia" w:ascii="宋体" w:hAnsi="宋体" w:eastAsia="宋体" w:cs="宋体"/>
                <w:snapToGrid/>
                <w:color w:val="auto"/>
                <w:spacing w:val="0"/>
                <w:kern w:val="2"/>
                <w:sz w:val="21"/>
                <w:szCs w:val="21"/>
                <w:highlight w:val="none"/>
                <w:lang w:val="en-US" w:eastAsia="zh-CN"/>
              </w:rPr>
              <w:t>自招标人发出开工令之日起60日历天内提交最终勘察成果报告，包括：本包组勘察服务报告（含试验测试成果资料）、工程物探报告及其他专题勘察报告资料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366"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527"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365"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1112"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p>
        </w:tc>
        <w:tc>
          <w:tcPr>
            <w:tcW w:w="687" w:type="pc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4"/>
                <w:highlight w:val="none"/>
                <w:lang w:val="en-US" w:eastAsia="zh-CN"/>
              </w:rPr>
              <w:t>钻孔综合单价（钻孔总进尺暂按13600米计算）</w:t>
            </w:r>
          </w:p>
        </w:tc>
        <w:tc>
          <w:tcPr>
            <w:tcW w:w="801" w:type="pct"/>
            <w:noWrap w:val="0"/>
            <w:vAlign w:val="center"/>
          </w:tcPr>
          <w:p>
            <w:pPr>
              <w:pStyle w:val="48"/>
              <w:spacing w:line="440" w:lineRule="exact"/>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4"/>
                <w:highlight w:val="none"/>
                <w:lang w:val="en-US" w:eastAsia="zh-CN"/>
              </w:rPr>
              <w:t>256.04元/延米</w:t>
            </w:r>
          </w:p>
        </w:tc>
        <w:tc>
          <w:tcPr>
            <w:tcW w:w="1138" w:type="pct"/>
            <w:vMerge w:val="continue"/>
            <w:noWrap w:val="0"/>
            <w:vAlign w:val="center"/>
          </w:tcPr>
          <w:p>
            <w:pPr>
              <w:pStyle w:val="48"/>
              <w:spacing w:line="440" w:lineRule="exact"/>
              <w:rPr>
                <w:rFonts w:hint="eastAsia" w:ascii="宋体" w:hAnsi="宋体" w:eastAsia="宋体" w:cs="宋体"/>
                <w:snapToGrid/>
                <w:color w:val="auto"/>
                <w:spacing w:val="0"/>
                <w:kern w:val="2"/>
                <w:sz w:val="21"/>
                <w:szCs w:val="21"/>
                <w:highlight w:val="none"/>
              </w:rPr>
            </w:pPr>
          </w:p>
        </w:tc>
      </w:tr>
    </w:tbl>
    <w:p>
      <w:pPr>
        <w:widowControl/>
        <w:numPr>
          <w:ilvl w:val="0"/>
          <w:numId w:val="14"/>
        </w:numPr>
        <w:spacing w:line="360" w:lineRule="auto"/>
        <w:jc w:val="left"/>
        <w:rPr>
          <w:rFonts w:hint="eastAsia" w:ascii="宋体" w:hAnsi="宋体" w:cs="宋体"/>
          <w:b/>
          <w:bCs/>
          <w:color w:val="auto"/>
          <w:szCs w:val="24"/>
          <w:highlight w:val="none"/>
        </w:rPr>
      </w:pPr>
      <w:r>
        <w:rPr>
          <w:rFonts w:hint="eastAsia" w:ascii="宋体" w:hAnsi="宋体" w:cs="宋体"/>
          <w:b/>
          <w:bCs/>
          <w:color w:val="auto"/>
          <w:kern w:val="2"/>
          <w:sz w:val="21"/>
          <w:szCs w:val="24"/>
          <w:highlight w:val="none"/>
          <w:lang w:bidi="ar-SA"/>
        </w:rPr>
        <w:t>计算方法：</w:t>
      </w:r>
    </w:p>
    <w:p>
      <w:pPr>
        <w:widowControl/>
        <w:numPr>
          <w:ilvl w:val="0"/>
          <w:numId w:val="0"/>
        </w:numPr>
        <w:spacing w:line="360" w:lineRule="auto"/>
        <w:ind w:left="0" w:firstLine="420" w:firstLineChars="200"/>
        <w:jc w:val="left"/>
        <w:rPr>
          <w:rFonts w:hint="eastAsia" w:ascii="宋体" w:hAnsi="宋体" w:cs="宋体"/>
          <w:b w:val="0"/>
          <w:bCs w:val="0"/>
          <w:color w:val="auto"/>
          <w:szCs w:val="24"/>
          <w:highlight w:val="none"/>
        </w:rPr>
      </w:pPr>
      <w:r>
        <w:rPr>
          <w:rFonts w:hint="eastAsia" w:ascii="宋体" w:hAnsi="宋体" w:cs="宋体"/>
          <w:b w:val="0"/>
          <w:bCs w:val="0"/>
          <w:color w:val="auto"/>
          <w:kern w:val="2"/>
          <w:sz w:val="21"/>
          <w:szCs w:val="24"/>
          <w:highlight w:val="none"/>
          <w:lang w:bidi="ar-SA"/>
        </w:rPr>
        <w:t xml:space="preserve">根据发改价格〔2015〕299 号文件规定，放开相应实行政府指导价管理的建设项目专业服务价格，实行市场调节价。参照国家计委、建设部关于发布《工程勘察设计收费管理规定》的通知（计价格[2002]10号）等相关规定以及本招标文件规定的钻探、物探、测量工作内容和计划工作量计算，包括但不限于： </w:t>
      </w:r>
    </w:p>
    <w:p>
      <w:pPr>
        <w:widowControl/>
        <w:numPr>
          <w:ilvl w:val="0"/>
          <w:numId w:val="0"/>
        </w:numPr>
        <w:spacing w:line="360" w:lineRule="auto"/>
        <w:ind w:left="0" w:firstLine="420" w:firstLineChars="200"/>
        <w:jc w:val="left"/>
        <w:rPr>
          <w:rFonts w:hint="eastAsia" w:ascii="宋体" w:hAnsi="宋体" w:cs="宋体"/>
          <w:b w:val="0"/>
          <w:bCs w:val="0"/>
          <w:color w:val="auto"/>
          <w:szCs w:val="24"/>
          <w:highlight w:val="none"/>
        </w:rPr>
      </w:pPr>
      <w:r>
        <w:rPr>
          <w:rFonts w:hint="eastAsia" w:ascii="宋体" w:hAnsi="宋体" w:cs="宋体"/>
          <w:b w:val="0"/>
          <w:bCs w:val="0"/>
          <w:color w:val="auto"/>
          <w:kern w:val="2"/>
          <w:sz w:val="21"/>
          <w:szCs w:val="24"/>
          <w:highlight w:val="none"/>
          <w:lang w:bidi="ar-SA"/>
        </w:rPr>
        <w:t>①人工、勘察材料以及加工、技术工作收费以及办理工程勘察相关许可、购买有关资料、工程测量、水中作业平台、水上作业用船及水监、机械设备进退场和搬运费、施工操作平台搭设、技术报告费（包含但不限于专家交通费、住宿费、场地租用费、会议餐费、专家评审费等）、试验、安全技术、青苗补偿等勘察及管理费用、税金</w:t>
      </w:r>
      <w:r>
        <w:rPr>
          <w:rFonts w:hint="eastAsia" w:ascii="宋体" w:hAnsi="宋体" w:cs="宋体"/>
          <w:b w:val="0"/>
          <w:bCs w:val="0"/>
          <w:color w:val="auto"/>
          <w:kern w:val="2"/>
          <w:sz w:val="21"/>
          <w:szCs w:val="24"/>
          <w:highlight w:val="none"/>
          <w:lang w:eastAsia="zh-CN" w:bidi="ar-SA"/>
        </w:rPr>
        <w:t>等</w:t>
      </w:r>
      <w:r>
        <w:rPr>
          <w:rFonts w:hint="eastAsia" w:ascii="宋体" w:hAnsi="宋体" w:cs="宋体"/>
          <w:b w:val="0"/>
          <w:bCs w:val="0"/>
          <w:color w:val="auto"/>
          <w:kern w:val="2"/>
          <w:sz w:val="21"/>
          <w:szCs w:val="24"/>
          <w:highlight w:val="none"/>
          <w:lang w:bidi="ar-SA"/>
        </w:rPr>
        <w:t xml:space="preserve">全部费用； </w:t>
      </w:r>
    </w:p>
    <w:p>
      <w:pPr>
        <w:widowControl/>
        <w:numPr>
          <w:ilvl w:val="0"/>
          <w:numId w:val="0"/>
        </w:numPr>
        <w:spacing w:line="360" w:lineRule="auto"/>
        <w:ind w:left="0" w:firstLine="420" w:firstLineChars="200"/>
        <w:jc w:val="left"/>
        <w:rPr>
          <w:rFonts w:hint="eastAsia" w:ascii="宋体" w:hAnsi="宋体" w:cs="宋体"/>
          <w:b w:val="0"/>
          <w:bCs w:val="0"/>
          <w:color w:val="auto"/>
          <w:kern w:val="2"/>
          <w:sz w:val="21"/>
          <w:szCs w:val="24"/>
          <w:highlight w:val="none"/>
          <w:lang w:bidi="ar-SA"/>
        </w:rPr>
      </w:pPr>
      <w:r>
        <w:rPr>
          <w:rFonts w:hint="eastAsia" w:ascii="宋体" w:hAnsi="宋体" w:cs="宋体"/>
          <w:b w:val="0"/>
          <w:bCs w:val="0"/>
          <w:color w:val="auto"/>
          <w:kern w:val="2"/>
          <w:sz w:val="21"/>
          <w:szCs w:val="24"/>
          <w:highlight w:val="none"/>
          <w:lang w:bidi="ar-SA"/>
        </w:rPr>
        <w:t xml:space="preserve">② </w:t>
      </w:r>
      <w:r>
        <w:rPr>
          <w:rFonts w:hint="eastAsia" w:ascii="宋体" w:hAnsi="宋体" w:cs="宋体"/>
          <w:b w:val="0"/>
          <w:bCs w:val="0"/>
          <w:color w:val="auto"/>
          <w:szCs w:val="24"/>
          <w:highlight w:val="none"/>
        </w:rPr>
        <w:t>包组一</w:t>
      </w:r>
      <w:r>
        <w:rPr>
          <w:rFonts w:hint="eastAsia" w:ascii="宋体" w:hAnsi="宋体" w:cs="宋体"/>
          <w:b w:val="0"/>
          <w:bCs w:val="0"/>
          <w:color w:val="auto"/>
          <w:sz w:val="21"/>
          <w:szCs w:val="24"/>
          <w:highlight w:val="none"/>
        </w:rPr>
        <w:t>机场</w:t>
      </w:r>
      <w:r>
        <w:rPr>
          <w:rFonts w:hint="eastAsia" w:ascii="宋体" w:hAnsi="宋体" w:cs="宋体"/>
          <w:b w:val="0"/>
          <w:bCs w:val="0"/>
          <w:color w:val="auto"/>
          <w:szCs w:val="24"/>
          <w:highlight w:val="none"/>
        </w:rPr>
        <w:t>料源区及填方区岩土工程</w:t>
      </w:r>
      <w:r>
        <w:rPr>
          <w:rFonts w:hint="eastAsia" w:ascii="宋体" w:hAnsi="宋体" w:cs="宋体"/>
          <w:b w:val="0"/>
          <w:bCs w:val="0"/>
          <w:color w:val="auto"/>
          <w:highlight w:val="none"/>
        </w:rPr>
        <w:t>初步勘察</w:t>
      </w:r>
      <w:r>
        <w:rPr>
          <w:rFonts w:hint="eastAsia" w:ascii="宋体" w:hAnsi="宋体" w:cs="宋体"/>
          <w:b w:val="0"/>
          <w:bCs w:val="0"/>
          <w:color w:val="auto"/>
          <w:sz w:val="21"/>
          <w:szCs w:val="24"/>
          <w:highlight w:val="none"/>
        </w:rPr>
        <w:t>工作部分</w:t>
      </w:r>
      <w:r>
        <w:rPr>
          <w:rFonts w:hint="eastAsia" w:ascii="宋体" w:hAnsi="宋体" w:cs="宋体"/>
          <w:b w:val="0"/>
          <w:bCs w:val="0"/>
          <w:color w:val="auto"/>
          <w:sz w:val="21"/>
          <w:szCs w:val="24"/>
          <w:highlight w:val="none"/>
          <w:lang w:val="en-US" w:eastAsia="zh-CN"/>
        </w:rPr>
        <w:t>最高单价限价</w:t>
      </w:r>
      <w:r>
        <w:rPr>
          <w:rFonts w:hint="eastAsia" w:ascii="宋体" w:hAnsi="宋体" w:cs="宋体"/>
          <w:b w:val="0"/>
          <w:bCs w:val="0"/>
          <w:color w:val="auto"/>
          <w:sz w:val="21"/>
          <w:szCs w:val="24"/>
          <w:highlight w:val="none"/>
        </w:rPr>
        <w:t>=270.44</w:t>
      </w:r>
      <w:r>
        <w:rPr>
          <w:rFonts w:hint="eastAsia" w:ascii="宋体" w:hAnsi="宋体" w:cs="宋体"/>
          <w:b w:val="0"/>
          <w:bCs w:val="0"/>
          <w:color w:val="auto"/>
          <w:kern w:val="2"/>
          <w:sz w:val="21"/>
          <w:szCs w:val="24"/>
          <w:highlight w:val="none"/>
          <w:lang w:bidi="ar-SA"/>
        </w:rPr>
        <w:t>元/延米×29450米＝</w:t>
      </w:r>
      <w:r>
        <w:rPr>
          <w:rFonts w:hint="eastAsia" w:ascii="宋体" w:hAnsi="宋体" w:cs="宋体"/>
          <w:b w:val="0"/>
          <w:bCs w:val="0"/>
          <w:color w:val="auto"/>
          <w:sz w:val="21"/>
          <w:szCs w:val="24"/>
          <w:highlight w:val="none"/>
        </w:rPr>
        <w:t>7,964,458.00</w:t>
      </w:r>
      <w:r>
        <w:rPr>
          <w:rFonts w:hint="eastAsia" w:ascii="宋体" w:hAnsi="宋体" w:cs="宋体"/>
          <w:b w:val="0"/>
          <w:bCs w:val="0"/>
          <w:color w:val="auto"/>
          <w:szCs w:val="24"/>
          <w:highlight w:val="none"/>
        </w:rPr>
        <w:t>元；包组二机场航站区</w:t>
      </w:r>
      <w:r>
        <w:rPr>
          <w:rFonts w:hint="eastAsia" w:ascii="宋体" w:hAnsi="宋体" w:cs="宋体"/>
          <w:b w:val="0"/>
          <w:bCs w:val="0"/>
          <w:color w:val="auto"/>
          <w:highlight w:val="none"/>
        </w:rPr>
        <w:t>岩土工程初步勘察</w:t>
      </w:r>
      <w:r>
        <w:rPr>
          <w:rFonts w:hint="eastAsia" w:ascii="宋体" w:hAnsi="宋体" w:cs="宋体"/>
          <w:b w:val="0"/>
          <w:bCs w:val="0"/>
          <w:color w:val="auto"/>
          <w:szCs w:val="24"/>
          <w:highlight w:val="none"/>
        </w:rPr>
        <w:t>工作部分</w:t>
      </w:r>
      <w:r>
        <w:rPr>
          <w:rFonts w:hint="eastAsia" w:ascii="宋体" w:hAnsi="宋体" w:cs="宋体"/>
          <w:b w:val="0"/>
          <w:bCs w:val="0"/>
          <w:color w:val="auto"/>
          <w:sz w:val="21"/>
          <w:szCs w:val="24"/>
          <w:highlight w:val="none"/>
          <w:lang w:val="en-US" w:eastAsia="zh-CN"/>
        </w:rPr>
        <w:t>最高单价限价</w:t>
      </w:r>
      <w:r>
        <w:rPr>
          <w:rFonts w:hint="eastAsia" w:ascii="宋体" w:hAnsi="宋体" w:cs="宋体"/>
          <w:b w:val="0"/>
          <w:bCs w:val="0"/>
          <w:color w:val="auto"/>
          <w:szCs w:val="24"/>
          <w:highlight w:val="none"/>
        </w:rPr>
        <w:t>=</w:t>
      </w:r>
      <w:r>
        <w:rPr>
          <w:rFonts w:hint="eastAsia" w:ascii="宋体" w:hAnsi="宋体" w:cs="宋体"/>
          <w:b w:val="0"/>
          <w:bCs w:val="0"/>
          <w:color w:val="auto"/>
          <w:highlight w:val="none"/>
        </w:rPr>
        <w:t>261.58</w:t>
      </w:r>
      <w:r>
        <w:rPr>
          <w:rFonts w:hint="eastAsia" w:ascii="宋体" w:hAnsi="宋体" w:cs="宋体"/>
          <w:b w:val="0"/>
          <w:bCs w:val="0"/>
          <w:color w:val="auto"/>
          <w:szCs w:val="24"/>
          <w:highlight w:val="none"/>
        </w:rPr>
        <w:t>元/延米×</w:t>
      </w:r>
      <w:r>
        <w:rPr>
          <w:rFonts w:hint="eastAsia" w:ascii="宋体" w:hAnsi="宋体" w:cs="宋体"/>
          <w:b w:val="0"/>
          <w:bCs w:val="0"/>
          <w:color w:val="auto"/>
          <w:highlight w:val="none"/>
        </w:rPr>
        <w:t>17850</w:t>
      </w:r>
      <w:r>
        <w:rPr>
          <w:rFonts w:hint="eastAsia" w:ascii="宋体" w:hAnsi="宋体" w:cs="宋体"/>
          <w:b w:val="0"/>
          <w:bCs w:val="0"/>
          <w:color w:val="auto"/>
          <w:szCs w:val="24"/>
          <w:highlight w:val="none"/>
        </w:rPr>
        <w:t>米＝</w:t>
      </w:r>
      <w:r>
        <w:rPr>
          <w:rFonts w:hint="eastAsia" w:ascii="宋体" w:hAnsi="宋体" w:cs="宋体"/>
          <w:b w:val="0"/>
          <w:bCs w:val="0"/>
          <w:color w:val="auto"/>
          <w:highlight w:val="none"/>
        </w:rPr>
        <w:t>4,669,203.00</w:t>
      </w:r>
      <w:r>
        <w:rPr>
          <w:rFonts w:hint="eastAsia" w:ascii="宋体" w:hAnsi="宋体" w:cs="宋体"/>
          <w:b w:val="0"/>
          <w:bCs w:val="0"/>
          <w:color w:val="auto"/>
          <w:szCs w:val="24"/>
          <w:highlight w:val="none"/>
        </w:rPr>
        <w:t>元；包组三机场工作区</w:t>
      </w:r>
      <w:r>
        <w:rPr>
          <w:rFonts w:hint="eastAsia" w:ascii="宋体" w:hAnsi="宋体" w:cs="宋体"/>
          <w:b w:val="0"/>
          <w:bCs w:val="0"/>
          <w:color w:val="auto"/>
          <w:highlight w:val="none"/>
        </w:rPr>
        <w:t>岩土工程初步勘察</w:t>
      </w:r>
      <w:r>
        <w:rPr>
          <w:rFonts w:hint="eastAsia" w:ascii="宋体" w:hAnsi="宋体" w:cs="宋体"/>
          <w:b w:val="0"/>
          <w:bCs w:val="0"/>
          <w:color w:val="auto"/>
          <w:szCs w:val="24"/>
          <w:highlight w:val="none"/>
        </w:rPr>
        <w:t>工作部分</w:t>
      </w:r>
      <w:r>
        <w:rPr>
          <w:rFonts w:hint="eastAsia" w:ascii="宋体" w:hAnsi="宋体" w:cs="宋体"/>
          <w:b w:val="0"/>
          <w:bCs w:val="0"/>
          <w:color w:val="auto"/>
          <w:sz w:val="21"/>
          <w:szCs w:val="24"/>
          <w:highlight w:val="none"/>
          <w:lang w:val="en-US" w:eastAsia="zh-CN"/>
        </w:rPr>
        <w:t>最高单价限价</w:t>
      </w:r>
      <w:r>
        <w:rPr>
          <w:rFonts w:hint="eastAsia" w:ascii="宋体" w:hAnsi="宋体" w:cs="宋体"/>
          <w:b w:val="0"/>
          <w:bCs w:val="0"/>
          <w:color w:val="auto"/>
          <w:szCs w:val="24"/>
          <w:highlight w:val="none"/>
        </w:rPr>
        <w:t>=</w:t>
      </w:r>
      <w:r>
        <w:rPr>
          <w:rFonts w:hint="eastAsia" w:ascii="宋体" w:hAnsi="宋体" w:cs="宋体"/>
          <w:b w:val="0"/>
          <w:bCs w:val="0"/>
          <w:color w:val="auto"/>
          <w:highlight w:val="none"/>
        </w:rPr>
        <w:t>256.04</w:t>
      </w:r>
      <w:r>
        <w:rPr>
          <w:rFonts w:hint="eastAsia" w:ascii="宋体" w:hAnsi="宋体" w:cs="宋体"/>
          <w:b w:val="0"/>
          <w:bCs w:val="0"/>
          <w:color w:val="auto"/>
          <w:szCs w:val="24"/>
          <w:highlight w:val="none"/>
        </w:rPr>
        <w:t>元/延米×</w:t>
      </w:r>
      <w:r>
        <w:rPr>
          <w:rFonts w:hint="eastAsia" w:ascii="宋体" w:hAnsi="宋体" w:cs="宋体"/>
          <w:b w:val="0"/>
          <w:bCs w:val="0"/>
          <w:color w:val="auto"/>
          <w:highlight w:val="none"/>
        </w:rPr>
        <w:t>13600</w:t>
      </w:r>
      <w:r>
        <w:rPr>
          <w:rFonts w:hint="eastAsia" w:ascii="宋体" w:hAnsi="宋体" w:cs="宋体"/>
          <w:b w:val="0"/>
          <w:bCs w:val="0"/>
          <w:color w:val="auto"/>
          <w:szCs w:val="24"/>
          <w:highlight w:val="none"/>
        </w:rPr>
        <w:t>米＝</w:t>
      </w:r>
      <w:r>
        <w:rPr>
          <w:rFonts w:hint="eastAsia" w:ascii="宋体" w:hAnsi="宋体" w:cs="宋体"/>
          <w:b w:val="0"/>
          <w:bCs w:val="0"/>
          <w:color w:val="auto"/>
          <w:highlight w:val="none"/>
        </w:rPr>
        <w:t>3,482,144.00</w:t>
      </w:r>
      <w:r>
        <w:rPr>
          <w:rFonts w:hint="eastAsia" w:ascii="宋体" w:hAnsi="宋体" w:cs="宋体"/>
          <w:b w:val="0"/>
          <w:bCs w:val="0"/>
          <w:color w:val="auto"/>
          <w:szCs w:val="24"/>
          <w:highlight w:val="none"/>
        </w:rPr>
        <w:t>元。</w:t>
      </w:r>
    </w:p>
    <w:p>
      <w:pPr>
        <w:spacing w:line="360" w:lineRule="auto"/>
        <w:ind w:firstLine="482" w:firstLineChars="200"/>
        <w:jc w:val="center"/>
        <w:rPr>
          <w:rFonts w:hint="eastAsia" w:ascii="宋体" w:hAnsi="宋体" w:cs="宋体"/>
          <w:b/>
          <w:bCs/>
          <w:color w:val="auto"/>
          <w:sz w:val="24"/>
          <w:szCs w:val="24"/>
          <w:highlight w:val="none"/>
          <w:lang w:val="en-US" w:eastAsia="zh-CN"/>
        </w:rPr>
      </w:pPr>
    </w:p>
    <w:p>
      <w:pPr>
        <w:spacing w:line="360" w:lineRule="auto"/>
        <w:ind w:firstLine="482" w:firstLineChars="20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技术条款</w:t>
      </w:r>
    </w:p>
    <w:p>
      <w:pPr>
        <w:spacing w:line="360" w:lineRule="auto"/>
        <w:ind w:firstLine="442" w:firstLineChars="200"/>
        <w:jc w:val="center"/>
        <w:rPr>
          <w:rFonts w:ascii="宋体" w:hAnsi="宋体" w:cs="宋体"/>
          <w:color w:val="auto"/>
          <w:sz w:val="22"/>
          <w:szCs w:val="22"/>
          <w:highlight w:val="none"/>
        </w:rPr>
      </w:pPr>
      <w:r>
        <w:rPr>
          <w:rFonts w:hint="eastAsia" w:ascii="宋体" w:hAnsi="宋体" w:cs="宋体"/>
          <w:b/>
          <w:bCs/>
          <w:color w:val="auto"/>
          <w:sz w:val="22"/>
          <w:szCs w:val="22"/>
          <w:highlight w:val="none"/>
        </w:rPr>
        <w:t>包组一</w:t>
      </w:r>
      <w:r>
        <w:rPr>
          <w:rFonts w:hint="eastAsia" w:ascii="宋体" w:hAnsi="宋体" w:cs="宋体"/>
          <w:b/>
          <w:bCs/>
          <w:color w:val="auto"/>
          <w:sz w:val="22"/>
          <w:szCs w:val="22"/>
          <w:highlight w:val="none"/>
          <w:lang w:eastAsia="zh-CN"/>
        </w:rPr>
        <w:t>：料源区及填方区勘察服务</w:t>
      </w:r>
    </w:p>
    <w:p>
      <w:pPr>
        <w:pStyle w:val="3"/>
        <w:bidi w:val="0"/>
        <w:spacing w:line="360" w:lineRule="auto"/>
        <w:ind w:left="0" w:leftChars="0" w:firstLine="0" w:firstLineChars="0"/>
        <w:rPr>
          <w:rFonts w:hint="eastAsia"/>
          <w:sz w:val="21"/>
          <w:szCs w:val="21"/>
          <w:highlight w:val="none"/>
        </w:rPr>
      </w:pPr>
      <w:bookmarkStart w:id="3" w:name="_Toc24131"/>
      <w:r>
        <w:rPr>
          <w:rFonts w:hint="eastAsia"/>
          <w:sz w:val="21"/>
          <w:szCs w:val="21"/>
          <w:highlight w:val="none"/>
          <w:lang w:eastAsia="zh-CN"/>
        </w:rPr>
        <w:t>服务内容</w:t>
      </w:r>
      <w:bookmarkEnd w:id="3"/>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珠三角枢纽（广州新）机场料源区及填方区可研阶段勘察服务，应充分利用本项目已有的勘察资料，针对场区存在的岩土工程问题，采取合适的勘察方法和手段进一步查明。除完成本包组勘察范围内的勘察工作外，还应</w:t>
      </w:r>
      <w:r>
        <w:rPr>
          <w:rFonts w:hint="eastAsia" w:ascii="宋体" w:hAnsi="宋体" w:eastAsia="宋体" w:cs="宋体"/>
          <w:color w:val="000000"/>
          <w:sz w:val="21"/>
          <w:szCs w:val="21"/>
          <w:highlight w:val="none"/>
        </w:rPr>
        <w:t>协助招标人</w:t>
      </w:r>
      <w:r>
        <w:rPr>
          <w:rFonts w:hint="eastAsia" w:ascii="宋体" w:hAnsi="宋体" w:eastAsia="宋体" w:cs="宋体"/>
          <w:color w:val="000000"/>
          <w:sz w:val="21"/>
          <w:szCs w:val="21"/>
          <w:highlight w:val="none"/>
          <w:lang w:val="en-US" w:eastAsia="zh-CN"/>
        </w:rPr>
        <w:t>统筹协调本项目包组二、包组三、珠三角枢纽（广州新）机场水文地质与沟塘专项研究的相关勘察</w:t>
      </w:r>
      <w:r>
        <w:rPr>
          <w:rFonts w:hint="eastAsia" w:ascii="宋体" w:hAnsi="宋体" w:eastAsia="宋体" w:cs="宋体"/>
          <w:color w:val="000000"/>
          <w:sz w:val="21"/>
          <w:szCs w:val="21"/>
          <w:highlight w:val="none"/>
        </w:rPr>
        <w:t>和研究</w:t>
      </w:r>
      <w:r>
        <w:rPr>
          <w:rFonts w:hint="eastAsia" w:ascii="宋体" w:hAnsi="宋体" w:eastAsia="宋体" w:cs="宋体"/>
          <w:color w:val="000000"/>
          <w:sz w:val="21"/>
          <w:szCs w:val="21"/>
          <w:highlight w:val="none"/>
          <w:lang w:val="en-US" w:eastAsia="zh-CN"/>
        </w:rPr>
        <w:t>工作</w:t>
      </w:r>
      <w:r>
        <w:rPr>
          <w:rFonts w:hint="eastAsia" w:ascii="宋体" w:hAnsi="宋体" w:eastAsia="宋体" w:cs="宋体"/>
          <w:color w:val="000000"/>
          <w:sz w:val="21"/>
          <w:szCs w:val="21"/>
          <w:highlight w:val="none"/>
        </w:rPr>
        <w:t>，审查并汇总所有</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的勘察和研究成果（包括三维数字化成果），完成汇总勘察报告并</w:t>
      </w:r>
      <w:r>
        <w:rPr>
          <w:rFonts w:hint="eastAsia" w:ascii="宋体" w:hAnsi="宋体" w:eastAsia="宋体" w:cs="宋体"/>
          <w:color w:val="000000"/>
          <w:sz w:val="21"/>
          <w:szCs w:val="21"/>
          <w:highlight w:val="none"/>
          <w:lang w:eastAsia="zh-CN"/>
        </w:rPr>
        <w:t>按时</w:t>
      </w:r>
      <w:r>
        <w:rPr>
          <w:rFonts w:hint="eastAsia" w:ascii="宋体" w:hAnsi="宋体" w:eastAsia="宋体" w:cs="宋体"/>
          <w:color w:val="000000"/>
          <w:sz w:val="21"/>
          <w:szCs w:val="21"/>
          <w:highlight w:val="none"/>
        </w:rPr>
        <w:t>通过专家评审</w:t>
      </w:r>
      <w:r>
        <w:rPr>
          <w:rFonts w:hint="eastAsia" w:ascii="宋体" w:hAnsi="宋体" w:eastAsia="宋体" w:cs="宋体"/>
          <w:color w:val="000000"/>
          <w:sz w:val="21"/>
          <w:szCs w:val="21"/>
          <w:highlight w:val="none"/>
          <w:lang w:eastAsia="zh-CN"/>
        </w:rPr>
        <w:t>。</w:t>
      </w:r>
    </w:p>
    <w:p>
      <w:pPr>
        <w:pStyle w:val="3"/>
        <w:bidi w:val="0"/>
        <w:spacing w:line="360" w:lineRule="auto"/>
        <w:ind w:left="0" w:leftChars="0" w:firstLine="0" w:firstLineChars="0"/>
        <w:rPr>
          <w:rFonts w:hint="eastAsia"/>
          <w:sz w:val="21"/>
          <w:szCs w:val="21"/>
          <w:highlight w:val="none"/>
        </w:rPr>
      </w:pPr>
      <w:bookmarkStart w:id="4" w:name="_Toc29530"/>
      <w:r>
        <w:rPr>
          <w:rFonts w:hint="eastAsia"/>
          <w:sz w:val="21"/>
          <w:szCs w:val="21"/>
          <w:highlight w:val="none"/>
        </w:rPr>
        <w:t>勘察说明</w:t>
      </w:r>
      <w:bookmarkEnd w:id="4"/>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除完成勘察范围内的勘察工作外，还应统筹协调</w:t>
      </w:r>
      <w:r>
        <w:rPr>
          <w:rFonts w:hint="eastAsia" w:ascii="宋体" w:hAnsi="宋体" w:eastAsia="宋体" w:cs="宋体"/>
          <w:color w:val="000000"/>
          <w:sz w:val="21"/>
          <w:szCs w:val="21"/>
          <w:highlight w:val="none"/>
          <w:lang w:eastAsia="zh-CN"/>
        </w:rPr>
        <w:t>本项目包组二、包组三、</w:t>
      </w:r>
      <w:r>
        <w:rPr>
          <w:rFonts w:hint="eastAsia" w:ascii="宋体" w:hAnsi="宋体" w:eastAsia="宋体" w:cs="宋体"/>
          <w:color w:val="000000"/>
          <w:sz w:val="21"/>
          <w:szCs w:val="21"/>
          <w:highlight w:val="none"/>
        </w:rPr>
        <w:t>珠三角枢纽（广州新）机场水文地质与沟塘专项</w:t>
      </w:r>
      <w:r>
        <w:rPr>
          <w:rFonts w:hint="eastAsia" w:ascii="宋体" w:hAnsi="宋体" w:eastAsia="宋体" w:cs="宋体"/>
          <w:color w:val="000000"/>
          <w:sz w:val="21"/>
          <w:szCs w:val="21"/>
          <w:highlight w:val="none"/>
          <w:lang w:eastAsia="zh-CN"/>
        </w:rPr>
        <w:t>研究</w:t>
      </w:r>
      <w:r>
        <w:rPr>
          <w:rFonts w:hint="eastAsia" w:ascii="宋体" w:hAnsi="宋体" w:eastAsia="宋体" w:cs="宋体"/>
          <w:color w:val="000000"/>
          <w:sz w:val="21"/>
          <w:szCs w:val="21"/>
          <w:highlight w:val="none"/>
        </w:rPr>
        <w:t>的下列勘察工作：全场地质条件的描述、三维BIM地质建模、岩土体力学参数、勘察工作的计量方法、勘察报告的审查、勘察主报告的汇总等。</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本</w:t>
      </w:r>
      <w:r>
        <w:rPr>
          <w:rFonts w:hint="eastAsia" w:ascii="宋体" w:hAnsi="宋体" w:eastAsia="宋体" w:cs="宋体"/>
          <w:b w:val="0"/>
          <w:bCs/>
          <w:color w:val="000000"/>
          <w:sz w:val="21"/>
          <w:szCs w:val="21"/>
          <w:highlight w:val="none"/>
          <w:u w:val="none"/>
          <w:lang w:eastAsia="zh-CN"/>
        </w:rPr>
        <w:t>包组</w:t>
      </w:r>
      <w:r>
        <w:rPr>
          <w:rFonts w:hint="eastAsia" w:ascii="宋体" w:hAnsi="宋体" w:eastAsia="宋体" w:cs="宋体"/>
          <w:b w:val="0"/>
          <w:bCs/>
          <w:color w:val="000000"/>
          <w:sz w:val="21"/>
          <w:szCs w:val="21"/>
          <w:highlight w:val="none"/>
          <w:u w:val="none"/>
        </w:rPr>
        <w:t>的勘察为珠三角枢纽（广州新）机场</w:t>
      </w:r>
      <w:r>
        <w:rPr>
          <w:rFonts w:hint="eastAsia" w:ascii="宋体" w:hAnsi="宋体" w:eastAsia="宋体" w:cs="宋体"/>
          <w:bCs/>
          <w:color w:val="000000"/>
          <w:sz w:val="21"/>
          <w:szCs w:val="21"/>
          <w:highlight w:val="none"/>
        </w:rPr>
        <w:t>净空处理区（料源区）和除航站区、工作区外的其他区域</w:t>
      </w:r>
      <w:r>
        <w:rPr>
          <w:rFonts w:hint="eastAsia" w:ascii="宋体" w:hAnsi="宋体" w:eastAsia="宋体" w:cs="宋体"/>
          <w:b w:val="0"/>
          <w:bCs/>
          <w:color w:val="000000"/>
          <w:sz w:val="21"/>
          <w:szCs w:val="21"/>
          <w:highlight w:val="none"/>
          <w:u w:val="none"/>
        </w:rPr>
        <w:t>的岩土工程勘察，应充分利用该工程已有的勘察资料，针对场区存在的岩土工程问题，采取合适的勘察方法和手段进一步查明。</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因目前该项目的工作进度及计划要求，本次勘察范围暂按照目前最新的总平面图、地势设计条件等资料而编制，后续应根据上述资料的变化而更新勘察工作量的布置。</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勘察前，应向</w:t>
      </w:r>
      <w:r>
        <w:rPr>
          <w:rFonts w:hint="eastAsia" w:ascii="宋体" w:hAnsi="宋体" w:eastAsia="宋体" w:cs="宋体"/>
          <w:b w:val="0"/>
          <w:bCs/>
          <w:color w:val="000000"/>
          <w:sz w:val="21"/>
          <w:szCs w:val="21"/>
          <w:highlight w:val="none"/>
          <w:u w:val="none"/>
          <w:lang w:eastAsia="zh-CN"/>
        </w:rPr>
        <w:t>招标人</w:t>
      </w:r>
      <w:r>
        <w:rPr>
          <w:rFonts w:hint="eastAsia" w:ascii="宋体" w:hAnsi="宋体" w:eastAsia="宋体" w:cs="宋体"/>
          <w:b w:val="0"/>
          <w:bCs/>
          <w:color w:val="000000"/>
          <w:sz w:val="21"/>
          <w:szCs w:val="21"/>
          <w:highlight w:val="none"/>
          <w:u w:val="none"/>
        </w:rPr>
        <w:t>索要最新的设计资料编制勘察大纲（方案），并经</w:t>
      </w:r>
      <w:r>
        <w:rPr>
          <w:rFonts w:hint="eastAsia" w:ascii="宋体" w:hAnsi="宋体" w:eastAsia="宋体" w:cs="宋体"/>
          <w:b w:val="0"/>
          <w:bCs/>
          <w:color w:val="000000"/>
          <w:sz w:val="21"/>
          <w:szCs w:val="21"/>
          <w:highlight w:val="none"/>
          <w:u w:val="none"/>
          <w:lang w:eastAsia="zh-CN"/>
        </w:rPr>
        <w:t>招标人</w:t>
      </w:r>
      <w:r>
        <w:rPr>
          <w:rFonts w:hint="eastAsia" w:ascii="宋体" w:hAnsi="宋体" w:eastAsia="宋体" w:cs="宋体"/>
          <w:b w:val="0"/>
          <w:bCs/>
          <w:color w:val="000000"/>
          <w:sz w:val="21"/>
          <w:szCs w:val="21"/>
          <w:highlight w:val="none"/>
          <w:u w:val="none"/>
        </w:rPr>
        <w:t>认可或评审后方可实施。</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本勘察中的专项勘察应充分结合工程地质勘察，防止重复布置勘察工作量。</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挖方区料源区目前暂只针对地表土、土石材料性质及土石比等布置填料的专项勘察，其他勘察工作在开挖至相应设计标高后进行。</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除挖方区料源区勘察外，填方区需布置工程地质勘察与其他专项勘察。</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b w:val="0"/>
          <w:bCs/>
          <w:color w:val="000000"/>
          <w:sz w:val="21"/>
          <w:szCs w:val="21"/>
          <w:highlight w:val="none"/>
          <w:u w:val="none"/>
        </w:rPr>
        <w:t>小型建筑单体、桥梁、场内道路、飞行区下穿通道等建（构）筑物，本阶段暂不布置专门的勘察工作，待后续阶段建设条件明确时再开展相应的勘察。</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5" w:name="_Toc531711788"/>
      <w:bookmarkStart w:id="6" w:name="_Toc12114"/>
      <w:r>
        <w:rPr>
          <w:rFonts w:hint="eastAsia" w:ascii="Times New Roman" w:hAnsi="Times New Roman" w:eastAsia="宋体" w:cs="Times New Roman"/>
          <w:sz w:val="21"/>
          <w:szCs w:val="21"/>
          <w:highlight w:val="none"/>
        </w:rPr>
        <w:t>勘察任务</w:t>
      </w:r>
      <w:bookmarkEnd w:id="5"/>
      <w:bookmarkEnd w:id="6"/>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对机场建设的场地适宜性，从区域地质、水文地质、工程地质和环境工程地质条件角度，进行深入分析与评价。</w:t>
      </w:r>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进行机场环境工程地质评价和地质灾害预测，提出不良地质作用的防治和监测措施。</w:t>
      </w:r>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对不良地质体和特殊性岩土做出分析、评价及处理建议。</w:t>
      </w:r>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对场地和地基的地震效应做出评价。</w:t>
      </w:r>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提供场地的岩土工程资料和主要的岩土设计参数。</w:t>
      </w:r>
    </w:p>
    <w:p>
      <w:pPr>
        <w:keepNext w:val="0"/>
        <w:keepLines w:val="0"/>
        <w:pageBreakBefore w:val="0"/>
        <w:widowControl w:val="0"/>
        <w:numPr>
          <w:ilvl w:val="0"/>
          <w:numId w:val="1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评价场地稳定性和适宜性，对主要岩土工程问题提出技术解决方案建议。</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7" w:name="_Toc8421"/>
      <w:bookmarkStart w:id="8" w:name="_Toc531711789"/>
      <w:r>
        <w:rPr>
          <w:rFonts w:hint="eastAsia" w:ascii="Times New Roman" w:hAnsi="Times New Roman" w:eastAsia="宋体" w:cs="Times New Roman"/>
          <w:sz w:val="21"/>
          <w:szCs w:val="21"/>
          <w:highlight w:val="none"/>
        </w:rPr>
        <w:t>勘察范围</w:t>
      </w:r>
      <w:bookmarkEnd w:id="7"/>
      <w:bookmarkEnd w:id="8"/>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范围包括净空处理区（料源区）和除航站区、工作区外的其他区域等，并应根据现场建（构）筑物的实际位置调整勘察范围，不得损坏现有建（构）筑物。其中：</w:t>
      </w:r>
    </w:p>
    <w:p>
      <w:pPr>
        <w:keepNext w:val="0"/>
        <w:keepLines w:val="0"/>
        <w:pageBreakBefore w:val="0"/>
        <w:widowControl w:val="0"/>
        <w:numPr>
          <w:ilvl w:val="0"/>
          <w:numId w:val="1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挖方区暂只针对地表土、土石材料性质及土石比等布置填料的专项勘察，待其开挖至场地平整标高后再进行相应的勘察工作。</w:t>
      </w:r>
    </w:p>
    <w:p>
      <w:pPr>
        <w:keepNext w:val="0"/>
        <w:keepLines w:val="0"/>
        <w:pageBreakBefore w:val="0"/>
        <w:widowControl w:val="0"/>
        <w:numPr>
          <w:ilvl w:val="0"/>
          <w:numId w:val="1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填方区按本技术要求中的“</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、工程地质勘察”与“</w:t>
      </w:r>
      <w:r>
        <w:rPr>
          <w:rFonts w:hint="eastAsia" w:ascii="宋体" w:hAnsi="宋体" w:eastAsia="宋体" w:cs="宋体"/>
          <w:color w:val="000000"/>
          <w:sz w:val="21"/>
          <w:szCs w:val="21"/>
          <w:highlight w:val="none"/>
          <w:lang w:eastAsia="zh-CN"/>
        </w:rPr>
        <w:t>七</w:t>
      </w:r>
      <w:r>
        <w:rPr>
          <w:rFonts w:hint="eastAsia" w:ascii="宋体" w:hAnsi="宋体" w:eastAsia="宋体" w:cs="宋体"/>
          <w:color w:val="000000"/>
          <w:sz w:val="21"/>
          <w:szCs w:val="21"/>
          <w:highlight w:val="none"/>
        </w:rPr>
        <w:t>、专项勘察”布置勘察工作。</w:t>
      </w:r>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应予以特别说明的是，随着本项目工作的开展，勘察范围后续可能会发生变化，勘察工作应随时按最新的勘察范围调整。</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9" w:name="_Toc531711790"/>
      <w:bookmarkStart w:id="10" w:name="_Toc22055"/>
      <w:r>
        <w:rPr>
          <w:rFonts w:hint="eastAsia" w:ascii="Times New Roman" w:hAnsi="Times New Roman" w:eastAsia="宋体" w:cs="Times New Roman"/>
          <w:sz w:val="21"/>
          <w:szCs w:val="21"/>
          <w:highlight w:val="none"/>
        </w:rPr>
        <w:t>工程地质测绘与调查</w:t>
      </w:r>
      <w:bookmarkEnd w:id="9"/>
      <w:bookmarkEnd w:id="10"/>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对地形、地貌、地质条件复杂的场地应进行工程地质测绘，地形、地貌、地质条件简单的场地，可用调查代替。</w:t>
      </w:r>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工程地质测绘与调查的范围应为勘察范围及其周围区域。</w:t>
      </w:r>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工程地质测绘与调查的内容包含：</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调查研究地形、地貌特征，划分地貌单元，分析各地貌单元的形成过程及其与地层、构造、不良地质作用的因果关系。</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查明场地主要地质构造、新构造活动的行迹及其与地震活动的关系。</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查明岩土的年代、成因、性质厚度和分布范围，以及各种特殊性岩土的类别和工程地质特征。</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查明岩体结构类型、风化程度、各类结构面（尤其是软弱结构面）的产状和性质，岩、土接触面和软弱夹层的特性等。</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查明场地土的标准冻结深度等。</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调查洞穴、地面沉降、断裂、场地的地震效应等不良地质作用的形成、分布、形态、规模、发育程度及其对工程建设的影响。</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调查人类活动对场地稳定性的影响，包括大填大挖、人工洞穴、地下采空等。</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边坡区测绘与调查内容包括地形形态和微地貌特征、冲洪积堆积物、坡积物、崩塌堆积物的分布与性状以及边坡区周边的自然坡度、性状与坡面情况。</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调查场地地下水的类型、补给来源、排泄条件、历年最高地下水位，确定水位变化幅度和主要影响因素，并实测地下水位。</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调查场地附近的河流、水系、水源及水的流向、流速、流量、常水位，洪水位及其发生时间、淹没范围。</w:t>
      </w:r>
    </w:p>
    <w:p>
      <w:pPr>
        <w:pStyle w:val="47"/>
        <w:keepNext w:val="0"/>
        <w:keepLines w:val="0"/>
        <w:pageBreakBefore w:val="0"/>
        <w:widowControl w:val="0"/>
        <w:numPr>
          <w:ilvl w:val="0"/>
          <w:numId w:val="1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收集气象、水文、植被及建筑材料等资料。</w:t>
      </w:r>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成果资料宜包括综合工程地质图、工程地质分区图以及各种素描图、遥感影像解译资料、照片和文字说明等。工程地质测绘与调查的比例尺可选用1：1000，对工程有重要影响的滑坡、断层、软弱夹层、洞穴等地质单元，可采用扩大比例尺表示。</w:t>
      </w:r>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利用遥感影像资料解译进行工程地质测绘时，应有适量的现场检验地质观测点。野外工作应包括检查解译标志、解译结果和外推结果，并对室内解译难以获得的资料进行野外补充。</w:t>
      </w:r>
    </w:p>
    <w:p>
      <w:pPr>
        <w:keepNext w:val="0"/>
        <w:keepLines w:val="0"/>
        <w:pageBreakBefore w:val="0"/>
        <w:widowControl w:val="0"/>
        <w:numPr>
          <w:ilvl w:val="0"/>
          <w:numId w:val="1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地质观测点的布置、密度和定位应满足下列要求：</w:t>
      </w:r>
    </w:p>
    <w:p>
      <w:pPr>
        <w:pStyle w:val="47"/>
        <w:keepNext w:val="0"/>
        <w:keepLines w:val="0"/>
        <w:pageBreakBefore w:val="0"/>
        <w:widowControl w:val="0"/>
        <w:numPr>
          <w:ilvl w:val="0"/>
          <w:numId w:val="2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在地质构造线、地层接触线、岩性分界线、标准层位和每个地质单元体应有地质观测点。</w:t>
      </w:r>
    </w:p>
    <w:p>
      <w:pPr>
        <w:pStyle w:val="47"/>
        <w:keepNext w:val="0"/>
        <w:keepLines w:val="0"/>
        <w:pageBreakBefore w:val="0"/>
        <w:widowControl w:val="0"/>
        <w:numPr>
          <w:ilvl w:val="0"/>
          <w:numId w:val="2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地质观测点的密度应根据场地的地貌、地质条件、成图比例尺和工程要求等确定，并应具代表性。</w:t>
      </w:r>
    </w:p>
    <w:p>
      <w:pPr>
        <w:pStyle w:val="47"/>
        <w:keepNext w:val="0"/>
        <w:keepLines w:val="0"/>
        <w:pageBreakBefore w:val="0"/>
        <w:widowControl w:val="0"/>
        <w:numPr>
          <w:ilvl w:val="0"/>
          <w:numId w:val="2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地质观测点应充分利用天然和已有的人工露头，当露头少时，应根据具体情况布置一定数量的探坑（井）或探槽。</w:t>
      </w:r>
    </w:p>
    <w:p>
      <w:pPr>
        <w:pStyle w:val="47"/>
        <w:keepNext w:val="0"/>
        <w:keepLines w:val="0"/>
        <w:pageBreakBefore w:val="0"/>
        <w:widowControl w:val="0"/>
        <w:numPr>
          <w:ilvl w:val="0"/>
          <w:numId w:val="2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地质观测点的定位应根据精度要求选用适当方法；地质构造线、地层接触线、岩性分界线、软弱夹层、地下水露头和不良地质作用等特殊地质观测点，宜用仪器定位。</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11" w:name="_Toc531711791"/>
      <w:bookmarkStart w:id="12" w:name="_Toc26909"/>
      <w:r>
        <w:rPr>
          <w:rFonts w:hint="eastAsia" w:ascii="Times New Roman" w:hAnsi="Times New Roman" w:eastAsia="宋体" w:cs="Times New Roman"/>
          <w:sz w:val="21"/>
          <w:szCs w:val="21"/>
          <w:highlight w:val="none"/>
        </w:rPr>
        <w:t>工程地质勘察</w:t>
      </w:r>
      <w:bookmarkEnd w:id="11"/>
      <w:bookmarkEnd w:id="12"/>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本节技术要求主要应用于填方区工程地质勘察，有关拟建场地填方区的分布范围以招标人确认的为准</w:t>
      </w:r>
      <w:r>
        <w:rPr>
          <w:rFonts w:hint="eastAsia" w:ascii="宋体" w:hAnsi="宋体" w:eastAsia="宋体" w:cs="宋体"/>
          <w:b/>
          <w:color w:val="000000"/>
          <w:sz w:val="21"/>
          <w:szCs w:val="21"/>
          <w:highlight w:val="none"/>
          <w:u w:val="single"/>
          <w:lang w:eastAsia="zh-CN"/>
        </w:rPr>
        <w:t>。若挖方区需要开展土工试验和原位测试以查明填料物理力学性能，可按本节中相关要求开展</w:t>
      </w:r>
      <w:r>
        <w:rPr>
          <w:rFonts w:hint="eastAsia" w:ascii="宋体" w:hAnsi="宋体" w:eastAsia="宋体" w:cs="宋体"/>
          <w:b/>
          <w:color w:val="000000"/>
          <w:sz w:val="21"/>
          <w:szCs w:val="21"/>
          <w:highlight w:val="none"/>
          <w:u w:val="single"/>
        </w:rPr>
        <w:t>。</w:t>
      </w:r>
    </w:p>
    <w:p>
      <w:pPr>
        <w:keepNext w:val="0"/>
        <w:keepLines w:val="0"/>
        <w:pageBreakBefore w:val="0"/>
        <w:widowControl w:val="0"/>
        <w:numPr>
          <w:ilvl w:val="0"/>
          <w:numId w:val="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工程地质勘察的内容包含：</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查明场地的地形特征、地貌类型。</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查明场地主要地质构造、断层与性质、地震烈度、工程地震特征。</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查明场地环境工程地质概况，进行环境工程地质评价和地质灾害预测，提出防治和监测措施。</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查明场地的岩土类型、成因、时代、分布规律及一般物理力学性质指标。</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查明场地有无特殊性岩土和需进行处理的不良地质作用、地质灾害等岩土工程问题。</w:t>
      </w:r>
    </w:p>
    <w:p>
      <w:pPr>
        <w:pStyle w:val="47"/>
        <w:keepNext w:val="0"/>
        <w:keepLines w:val="0"/>
        <w:pageBreakBefore w:val="0"/>
        <w:widowControl w:val="0"/>
        <w:numPr>
          <w:ilvl w:val="0"/>
          <w:numId w:val="2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提供高填方及地基处理设计所需的基本岩土参数</w:t>
      </w:r>
      <w:r>
        <w:rPr>
          <w:rFonts w:hint="eastAsia" w:ascii="宋体" w:hAnsi="宋体" w:eastAsia="宋体" w:cs="宋体"/>
          <w:color w:val="000000"/>
          <w:sz w:val="21"/>
          <w:szCs w:val="21"/>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勘探点（线）布置</w:t>
      </w:r>
    </w:p>
    <w:p>
      <w:pPr>
        <w:pStyle w:val="47"/>
        <w:keepNext w:val="0"/>
        <w:keepLines w:val="0"/>
        <w:pageBreakBefore w:val="0"/>
        <w:widowControl w:val="0"/>
        <w:numPr>
          <w:ilvl w:val="0"/>
          <w:numId w:val="2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勘探线沿跑道中心线、滑行道中心线等跑滑中心线布置，机坪按方格网布置。根据地形地貌条件，必要时可在垂直于跑道方向布置适量勘探线。高填方边坡（填方高度不小于20m）的勘察要求详见“</w:t>
      </w: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、专项勘察”</w:t>
      </w:r>
      <w:r>
        <w:rPr>
          <w:rFonts w:hint="eastAsia" w:ascii="宋体" w:hAnsi="宋体" w:eastAsia="宋体" w:cs="宋体"/>
          <w:color w:val="000000"/>
          <w:sz w:val="21"/>
          <w:szCs w:val="21"/>
          <w:highlight w:val="none"/>
          <w:lang w:eastAsia="zh-CN"/>
        </w:rPr>
        <w:t>。</w:t>
      </w:r>
    </w:p>
    <w:p>
      <w:pPr>
        <w:pStyle w:val="47"/>
        <w:keepNext w:val="0"/>
        <w:keepLines w:val="0"/>
        <w:pageBreakBefore w:val="0"/>
        <w:widowControl w:val="0"/>
        <w:numPr>
          <w:ilvl w:val="0"/>
          <w:numId w:val="2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勘探线上的勘探点间距可按表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.1确定，局部异常地段应予以适当加密</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2"/>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1</w:t>
      </w:r>
      <w:r>
        <w:rPr>
          <w:rFonts w:hint="eastAsia" w:ascii="宋体" w:hAnsi="宋体" w:eastAsia="宋体" w:cs="宋体"/>
          <w:b/>
          <w:color w:val="000000"/>
          <w:sz w:val="21"/>
          <w:szCs w:val="21"/>
          <w:highlight w:val="none"/>
        </w:rPr>
        <w:t xml:space="preserve">  </w:t>
      </w:r>
      <w:r>
        <w:rPr>
          <w:rFonts w:hint="eastAsia" w:ascii="宋体" w:hAnsi="宋体" w:eastAsia="宋体" w:cs="宋体"/>
          <w:b/>
          <w:color w:val="000000"/>
          <w:sz w:val="21"/>
          <w:szCs w:val="21"/>
          <w:highlight w:val="none"/>
          <w:lang w:val="en-US" w:eastAsia="zh-CN"/>
        </w:rPr>
        <w:t>勘察</w:t>
      </w:r>
      <w:r>
        <w:rPr>
          <w:rFonts w:hint="eastAsia" w:ascii="宋体" w:hAnsi="宋体" w:eastAsia="宋体" w:cs="宋体"/>
          <w:b/>
          <w:color w:val="000000"/>
          <w:sz w:val="21"/>
          <w:szCs w:val="21"/>
          <w:highlight w:val="none"/>
        </w:rPr>
        <w:t>范围勘探点间距</w:t>
      </w:r>
    </w:p>
    <w:tbl>
      <w:tblPr>
        <w:tblStyle w:val="25"/>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696"/>
        <w:gridCol w:w="4696"/>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中心线勘探点（m）</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方格网勘探点（m）</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150</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150</w:t>
            </w:r>
          </w:p>
        </w:tc>
      </w:tr>
    </w:tbl>
    <w:p>
      <w:pPr>
        <w:pStyle w:val="47"/>
        <w:keepNext w:val="0"/>
        <w:keepLines w:val="0"/>
        <w:pageBreakBefore w:val="0"/>
        <w:widowControl w:val="0"/>
        <w:numPr>
          <w:ilvl w:val="0"/>
          <w:numId w:val="2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勘探点应沿勘探线布置，具体位置可根据现场地形地质条件适当调整。在每个地貌单元和不同地貌单元交接部位，应布置勘探点。</w:t>
      </w:r>
    </w:p>
    <w:p>
      <w:pPr>
        <w:keepNext w:val="0"/>
        <w:keepLines w:val="0"/>
        <w:pageBreakBefore w:val="0"/>
        <w:widowControl w:val="0"/>
        <w:numPr>
          <w:ilvl w:val="0"/>
          <w:numId w:val="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勘探深度应符合：</w:t>
      </w:r>
    </w:p>
    <w:p>
      <w:pPr>
        <w:pStyle w:val="47"/>
        <w:keepNext w:val="0"/>
        <w:keepLines w:val="0"/>
        <w:pageBreakBefore w:val="0"/>
        <w:widowControl w:val="0"/>
        <w:numPr>
          <w:ilvl w:val="0"/>
          <w:numId w:val="2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钻孔可分控制性钻孔和一般性钻孔。控制性钻孔宜占勘探孔总数的1/3，并且每个地貌单元宜有控制性钻孔。</w:t>
      </w:r>
    </w:p>
    <w:p>
      <w:pPr>
        <w:pStyle w:val="47"/>
        <w:keepNext w:val="0"/>
        <w:keepLines w:val="0"/>
        <w:pageBreakBefore w:val="0"/>
        <w:widowControl w:val="0"/>
        <w:numPr>
          <w:ilvl w:val="0"/>
          <w:numId w:val="2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一般条件下，钻孔深度按表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确定。</w:t>
      </w:r>
    </w:p>
    <w:p>
      <w:pPr>
        <w:pStyle w:val="47"/>
        <w:keepNext w:val="0"/>
        <w:keepLines w:val="0"/>
        <w:pageBreakBefore w:val="0"/>
        <w:widowControl w:val="0"/>
        <w:kinsoku/>
        <w:wordWrap/>
        <w:overflowPunct/>
        <w:topLinePunct w:val="0"/>
        <w:autoSpaceDE/>
        <w:autoSpaceDN/>
        <w:bidi w:val="0"/>
        <w:adjustRightInd/>
        <w:spacing w:line="360" w:lineRule="auto"/>
        <w:ind w:firstLine="242"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 xml:space="preserve">  勘察钻孔深度</w:t>
      </w:r>
    </w:p>
    <w:tbl>
      <w:tblPr>
        <w:tblStyle w:val="2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5272"/>
        <w:gridCol w:w="324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CellMar>
            <w:top w:w="0" w:type="dxa"/>
            <w:left w:w="108" w:type="dxa"/>
            <w:bottom w:w="0" w:type="dxa"/>
            <w:right w:w="108" w:type="dxa"/>
          </w:tblCellMar>
        </w:tblPrEx>
        <w:trPr>
          <w:tblHeade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控制性钻孔深度</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一般性钻孔深度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至中微风化基岩内3m；基岩埋藏较深时，至较硬的稳定土层5m且不小于25m</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至中微风化基岩内2m；基岩埋藏较深时，不小于20m</w:t>
            </w:r>
          </w:p>
        </w:tc>
      </w:tr>
    </w:tbl>
    <w:p>
      <w:pPr>
        <w:pStyle w:val="47"/>
        <w:keepNext w:val="0"/>
        <w:keepLines w:val="0"/>
        <w:pageBreakBefore w:val="0"/>
        <w:widowControl w:val="0"/>
        <w:numPr>
          <w:ilvl w:val="0"/>
          <w:numId w:val="2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查明地质构造的钻孔深度，按实际情况确定。</w:t>
      </w:r>
    </w:p>
    <w:p>
      <w:pPr>
        <w:keepNext w:val="0"/>
        <w:keepLines w:val="0"/>
        <w:pageBreakBefore w:val="0"/>
        <w:widowControl w:val="0"/>
        <w:numPr>
          <w:ilvl w:val="0"/>
          <w:numId w:val="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取样测试应符合：</w:t>
      </w:r>
    </w:p>
    <w:p>
      <w:pPr>
        <w:pStyle w:val="47"/>
        <w:keepNext w:val="0"/>
        <w:keepLines w:val="0"/>
        <w:pageBreakBefore w:val="0"/>
        <w:widowControl w:val="0"/>
        <w:numPr>
          <w:ilvl w:val="0"/>
          <w:numId w:val="2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取样的孔、坑在划定的工程地质单元内应均匀布置，其数量应不少于勘探点总数的1/4。</w:t>
      </w:r>
    </w:p>
    <w:p>
      <w:pPr>
        <w:pStyle w:val="47"/>
        <w:keepNext w:val="0"/>
        <w:keepLines w:val="0"/>
        <w:pageBreakBefore w:val="0"/>
        <w:widowControl w:val="0"/>
        <w:numPr>
          <w:ilvl w:val="0"/>
          <w:numId w:val="2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钻孔和探坑竖向取土样间距，应按地层特点和岩土的均匀程度确定，每一土层均应取样。</w:t>
      </w:r>
    </w:p>
    <w:p>
      <w:pPr>
        <w:pStyle w:val="47"/>
        <w:keepNext w:val="0"/>
        <w:keepLines w:val="0"/>
        <w:pageBreakBefore w:val="0"/>
        <w:widowControl w:val="0"/>
        <w:numPr>
          <w:ilvl w:val="0"/>
          <w:numId w:val="2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室内试验应提供工程分析评价所需的下列参数：</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常规物理性质试验，主要包括颗料级配（应提供级配数据表及级配曲线）、比重、天然含水量、重力密度、液限、塑限等。</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固结试验：提供各土层的压缩系数</w:t>
      </w:r>
      <w:r>
        <w:rPr>
          <w:rFonts w:hint="eastAsia" w:ascii="宋体" w:hAnsi="宋体" w:eastAsia="宋体" w:cs="宋体"/>
          <w:i/>
          <w:color w:val="000000"/>
          <w:sz w:val="21"/>
          <w:szCs w:val="21"/>
          <w:highlight w:val="none"/>
        </w:rPr>
        <w:t>a</w:t>
      </w:r>
      <w:r>
        <w:rPr>
          <w:rFonts w:hint="eastAsia" w:ascii="宋体" w:hAnsi="宋体" w:eastAsia="宋体" w:cs="宋体"/>
          <w:color w:val="000000"/>
          <w:sz w:val="21"/>
          <w:szCs w:val="21"/>
          <w:highlight w:val="none"/>
        </w:rPr>
        <w:t>、压缩模量Es及固结系数</w:t>
      </w:r>
      <w:r>
        <w:rPr>
          <w:rFonts w:hint="eastAsia" w:ascii="宋体" w:hAnsi="宋体" w:eastAsia="宋体" w:cs="宋体"/>
          <w:i/>
          <w:color w:val="000000"/>
          <w:sz w:val="21"/>
          <w:szCs w:val="21"/>
          <w:highlight w:val="none"/>
        </w:rPr>
        <w:t>Cv</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Ch</w:t>
      </w:r>
      <w:r>
        <w:rPr>
          <w:rFonts w:hint="eastAsia" w:ascii="宋体" w:hAnsi="宋体" w:eastAsia="宋体" w:cs="宋体"/>
          <w:color w:val="000000"/>
          <w:sz w:val="21"/>
          <w:szCs w:val="21"/>
          <w:highlight w:val="none"/>
        </w:rPr>
        <w:t>、次固结系数</w:t>
      </w:r>
      <w:r>
        <w:rPr>
          <w:rFonts w:hint="eastAsia" w:ascii="宋体" w:hAnsi="宋体" w:eastAsia="宋体" w:cs="宋体"/>
          <w:i/>
          <w:color w:val="000000"/>
          <w:sz w:val="21"/>
          <w:szCs w:val="21"/>
          <w:highlight w:val="none"/>
        </w:rPr>
        <w:t>Ca</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e-p</w:t>
      </w:r>
      <w:r>
        <w:rPr>
          <w:rFonts w:hint="eastAsia" w:ascii="宋体" w:hAnsi="宋体" w:eastAsia="宋体" w:cs="宋体"/>
          <w:color w:val="000000"/>
          <w:sz w:val="21"/>
          <w:szCs w:val="21"/>
          <w:highlight w:val="none"/>
        </w:rPr>
        <w:t>曲线。</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高压固结试验：</w:t>
      </w:r>
      <w:r>
        <w:rPr>
          <w:rFonts w:hint="eastAsia" w:ascii="宋体" w:hAnsi="宋体" w:eastAsia="宋体" w:cs="宋体"/>
          <w:i/>
          <w:color w:val="000000"/>
          <w:sz w:val="21"/>
          <w:szCs w:val="21"/>
          <w:highlight w:val="none"/>
        </w:rPr>
        <w:t>e-lgp</w:t>
      </w:r>
      <w:r>
        <w:rPr>
          <w:rFonts w:hint="eastAsia" w:ascii="宋体" w:hAnsi="宋体" w:eastAsia="宋体" w:cs="宋体"/>
          <w:color w:val="000000"/>
          <w:sz w:val="21"/>
          <w:szCs w:val="21"/>
          <w:highlight w:val="none"/>
        </w:rPr>
        <w:t>曲线，提供前期固结压力</w:t>
      </w:r>
      <w:r>
        <w:rPr>
          <w:rFonts w:hint="eastAsia" w:ascii="宋体" w:hAnsi="宋体" w:eastAsia="宋体" w:cs="宋体"/>
          <w:i/>
          <w:color w:val="000000"/>
          <w:sz w:val="21"/>
          <w:szCs w:val="21"/>
          <w:highlight w:val="none"/>
        </w:rPr>
        <w:t>Pc</w:t>
      </w:r>
      <w:r>
        <w:rPr>
          <w:rFonts w:hint="eastAsia" w:ascii="宋体" w:hAnsi="宋体" w:eastAsia="宋体" w:cs="宋体"/>
          <w:color w:val="000000"/>
          <w:sz w:val="21"/>
          <w:szCs w:val="21"/>
          <w:highlight w:val="none"/>
        </w:rPr>
        <w:t>、压缩指数</w:t>
      </w:r>
      <w:r>
        <w:rPr>
          <w:rFonts w:hint="eastAsia" w:ascii="宋体" w:hAnsi="宋体" w:eastAsia="宋体" w:cs="宋体"/>
          <w:i/>
          <w:color w:val="000000"/>
          <w:sz w:val="21"/>
          <w:szCs w:val="21"/>
          <w:highlight w:val="none"/>
        </w:rPr>
        <w:t>Cc</w:t>
      </w:r>
      <w:r>
        <w:rPr>
          <w:rFonts w:hint="eastAsia" w:ascii="宋体" w:hAnsi="宋体" w:eastAsia="宋体" w:cs="宋体"/>
          <w:color w:val="000000"/>
          <w:sz w:val="21"/>
          <w:szCs w:val="21"/>
          <w:highlight w:val="none"/>
        </w:rPr>
        <w:t>、回弹指数</w:t>
      </w:r>
      <w:r>
        <w:rPr>
          <w:rFonts w:hint="eastAsia" w:ascii="宋体" w:hAnsi="宋体" w:eastAsia="宋体" w:cs="宋体"/>
          <w:i/>
          <w:color w:val="000000"/>
          <w:sz w:val="21"/>
          <w:szCs w:val="21"/>
          <w:highlight w:val="none"/>
        </w:rPr>
        <w:t>Cs</w:t>
      </w:r>
      <w:r>
        <w:rPr>
          <w:rFonts w:hint="eastAsia" w:ascii="宋体" w:hAnsi="宋体" w:eastAsia="宋体" w:cs="宋体"/>
          <w:color w:val="000000"/>
          <w:sz w:val="21"/>
          <w:szCs w:val="21"/>
          <w:highlight w:val="none"/>
        </w:rPr>
        <w:t>及超固结比OCR。</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直剪固结快剪试验：提供土层的抗剪强度</w:t>
      </w:r>
      <w:r>
        <w:rPr>
          <w:rFonts w:hint="eastAsia" w:ascii="宋体" w:hAnsi="宋体" w:eastAsia="宋体" w:cs="宋体"/>
          <w:i/>
          <w:color w:val="000000"/>
          <w:sz w:val="21"/>
          <w:szCs w:val="21"/>
          <w:highlight w:val="none"/>
        </w:rPr>
        <w:t>c、φ</w:t>
      </w:r>
      <w:r>
        <w:rPr>
          <w:rFonts w:hint="eastAsia" w:ascii="宋体" w:hAnsi="宋体" w:eastAsia="宋体" w:cs="宋体"/>
          <w:color w:val="000000"/>
          <w:sz w:val="21"/>
          <w:szCs w:val="21"/>
          <w:highlight w:val="none"/>
        </w:rPr>
        <w:t>值。</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三轴剪切试验（固结不排水、不固结不排水）：除提供抗剪强度指标值外，尚应提供孔隙水压力。</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渗透试验：提供土的渗透系数。</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地基土基底摩擦系数试验：提供地基土对挡土墙基底摩擦系数μ。</w:t>
      </w:r>
    </w:p>
    <w:p>
      <w:pPr>
        <w:keepNext w:val="0"/>
        <w:keepLines w:val="0"/>
        <w:pageBreakBefore w:val="0"/>
        <w:widowControl w:val="0"/>
        <w:numPr>
          <w:ilvl w:val="0"/>
          <w:numId w:val="2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岩石单轴（天然与饱和状态）抗压强度试验。</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应予以特别说明的是，地基土固结试验最大加压值应不小于上覆荷载值（包含填筑体与道面结构层自重），高压固结试验施加的最大压力应满足绘制完整的</w:t>
      </w:r>
      <w:r>
        <w:rPr>
          <w:rFonts w:hint="eastAsia" w:ascii="宋体" w:hAnsi="宋体" w:eastAsia="宋体" w:cs="宋体"/>
          <w:b/>
          <w:i/>
          <w:color w:val="000000"/>
          <w:sz w:val="21"/>
          <w:szCs w:val="21"/>
          <w:highlight w:val="none"/>
          <w:u w:val="single"/>
        </w:rPr>
        <w:t>e-</w:t>
      </w:r>
      <w:r>
        <w:rPr>
          <w:rFonts w:hint="eastAsia" w:ascii="宋体" w:hAnsi="宋体" w:eastAsia="宋体" w:cs="宋体"/>
          <w:b/>
          <w:color w:val="000000"/>
          <w:sz w:val="21"/>
          <w:szCs w:val="21"/>
          <w:highlight w:val="none"/>
          <w:u w:val="single"/>
        </w:rPr>
        <w:t>lg</w:t>
      </w:r>
      <w:r>
        <w:rPr>
          <w:rFonts w:hint="eastAsia" w:ascii="宋体" w:hAnsi="宋体" w:eastAsia="宋体" w:cs="宋体"/>
          <w:b/>
          <w:i/>
          <w:color w:val="000000"/>
          <w:sz w:val="21"/>
          <w:szCs w:val="21"/>
          <w:highlight w:val="none"/>
          <w:u w:val="single"/>
        </w:rPr>
        <w:t>p</w:t>
      </w:r>
      <w:r>
        <w:rPr>
          <w:rFonts w:hint="eastAsia" w:ascii="宋体" w:hAnsi="宋体" w:eastAsia="宋体" w:cs="宋体"/>
          <w:b/>
          <w:color w:val="000000"/>
          <w:sz w:val="21"/>
          <w:szCs w:val="21"/>
          <w:highlight w:val="none"/>
          <w:u w:val="single"/>
        </w:rPr>
        <w:t>曲线的要求。</w:t>
      </w:r>
    </w:p>
    <w:p>
      <w:pPr>
        <w:keepNext w:val="0"/>
        <w:keepLines w:val="0"/>
        <w:pageBreakBefore w:val="0"/>
        <w:widowControl w:val="0"/>
        <w:numPr>
          <w:ilvl w:val="0"/>
          <w:numId w:val="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原位测试应符合：</w:t>
      </w:r>
    </w:p>
    <w:p>
      <w:pPr>
        <w:pStyle w:val="47"/>
        <w:keepNext w:val="0"/>
        <w:keepLines w:val="0"/>
        <w:pageBreakBefore w:val="0"/>
        <w:widowControl w:val="0"/>
        <w:numPr>
          <w:ilvl w:val="0"/>
          <w:numId w:val="2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标准贯入试验</w:t>
      </w:r>
    </w:p>
    <w:p>
      <w:pPr>
        <w:keepNext w:val="0"/>
        <w:keepLines w:val="0"/>
        <w:pageBreakBefore w:val="0"/>
        <w:widowControl w:val="0"/>
        <w:numPr>
          <w:ilvl w:val="0"/>
          <w:numId w:val="2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标贯间距：竖向间距按地层特点和土的均匀程度确定。</w:t>
      </w:r>
    </w:p>
    <w:p>
      <w:pPr>
        <w:keepNext w:val="0"/>
        <w:keepLines w:val="0"/>
        <w:pageBreakBefore w:val="0"/>
        <w:widowControl w:val="0"/>
        <w:numPr>
          <w:ilvl w:val="0"/>
          <w:numId w:val="2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根据标贯结果评价土的物理力学状态。</w:t>
      </w:r>
    </w:p>
    <w:p>
      <w:pPr>
        <w:pStyle w:val="47"/>
        <w:keepNext w:val="0"/>
        <w:keepLines w:val="0"/>
        <w:pageBreakBefore w:val="0"/>
        <w:widowControl w:val="0"/>
        <w:numPr>
          <w:ilvl w:val="0"/>
          <w:numId w:val="2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静力触探试验</w:t>
      </w:r>
    </w:p>
    <w:p>
      <w:pPr>
        <w:keepNext w:val="0"/>
        <w:keepLines w:val="0"/>
        <w:pageBreakBefore w:val="0"/>
        <w:widowControl w:val="0"/>
        <w:numPr>
          <w:ilvl w:val="0"/>
          <w:numId w:val="2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勘察范围内若有软弱土层，应进行带孔隙水压力量测的双桥静力触探试验。</w:t>
      </w:r>
    </w:p>
    <w:p>
      <w:pPr>
        <w:keepNext w:val="0"/>
        <w:keepLines w:val="0"/>
        <w:pageBreakBefore w:val="0"/>
        <w:widowControl w:val="0"/>
        <w:numPr>
          <w:ilvl w:val="0"/>
          <w:numId w:val="2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估算土的强度、压缩性及承载力。</w:t>
      </w:r>
    </w:p>
    <w:p>
      <w:pPr>
        <w:keepNext w:val="0"/>
        <w:keepLines w:val="0"/>
        <w:pageBreakBefore w:val="0"/>
        <w:widowControl w:val="0"/>
        <w:numPr>
          <w:ilvl w:val="0"/>
          <w:numId w:val="2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根据孔压消散曲线估算水平向固结系数。</w:t>
      </w:r>
    </w:p>
    <w:p>
      <w:pPr>
        <w:pStyle w:val="47"/>
        <w:keepNext w:val="0"/>
        <w:keepLines w:val="0"/>
        <w:pageBreakBefore w:val="0"/>
        <w:widowControl w:val="0"/>
        <w:numPr>
          <w:ilvl w:val="0"/>
          <w:numId w:val="2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动力触探试验</w:t>
      </w:r>
    </w:p>
    <w:p>
      <w:pPr>
        <w:keepNext w:val="0"/>
        <w:keepLines w:val="0"/>
        <w:pageBreakBefore w:val="0"/>
        <w:widowControl w:val="0"/>
        <w:numPr>
          <w:ilvl w:val="0"/>
          <w:numId w:val="3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应对素填土或碎石土等粗颗粒土进行动力触探试验。</w:t>
      </w:r>
    </w:p>
    <w:p>
      <w:pPr>
        <w:keepNext w:val="0"/>
        <w:keepLines w:val="0"/>
        <w:pageBreakBefore w:val="0"/>
        <w:widowControl w:val="0"/>
        <w:numPr>
          <w:ilvl w:val="0"/>
          <w:numId w:val="3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根据土的颗粒级配选用动力触探试验的类型。</w:t>
      </w:r>
    </w:p>
    <w:p>
      <w:pPr>
        <w:keepNext w:val="0"/>
        <w:keepLines w:val="0"/>
        <w:pageBreakBefore w:val="0"/>
        <w:widowControl w:val="0"/>
        <w:numPr>
          <w:ilvl w:val="0"/>
          <w:numId w:val="3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根据动力触探击数评价土的物理力学状态。</w:t>
      </w:r>
    </w:p>
    <w:p>
      <w:pPr>
        <w:pStyle w:val="47"/>
        <w:keepNext w:val="0"/>
        <w:keepLines w:val="0"/>
        <w:pageBreakBefore w:val="0"/>
        <w:widowControl w:val="0"/>
        <w:numPr>
          <w:ilvl w:val="0"/>
          <w:numId w:val="2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其他原位试验</w:t>
      </w:r>
    </w:p>
    <w:p>
      <w:pPr>
        <w:pStyle w:val="47"/>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应符合《岩土工程勘察规范》（2009年版）GB50021的相关规定。</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13" w:name="_Toc531711792"/>
      <w:bookmarkStart w:id="14" w:name="_Toc26107"/>
      <w:r>
        <w:rPr>
          <w:rFonts w:hint="eastAsia" w:ascii="Times New Roman" w:hAnsi="Times New Roman" w:eastAsia="宋体" w:cs="Times New Roman"/>
          <w:sz w:val="21"/>
          <w:szCs w:val="21"/>
          <w:highlight w:val="none"/>
        </w:rPr>
        <w:t>专项勘察</w:t>
      </w:r>
      <w:bookmarkEnd w:id="13"/>
      <w:bookmarkEnd w:id="14"/>
    </w:p>
    <w:p>
      <w:pPr>
        <w:keepNext w:val="0"/>
        <w:keepLines w:val="0"/>
        <w:pageBreakBefore w:val="0"/>
        <w:widowControl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u w:val="single"/>
        </w:rPr>
        <w:t>本专项勘察应充分结合填方区中的工程地质勘察，防止专项勘察重复布置勘察工作量。</w:t>
      </w:r>
    </w:p>
    <w:p>
      <w:pPr>
        <w:keepNext w:val="0"/>
        <w:keepLines w:val="0"/>
        <w:pageBreakBefore w:val="0"/>
        <w:widowControl w:val="0"/>
        <w:numPr>
          <w:ilvl w:val="0"/>
          <w:numId w:val="3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地表素填土的勘察要求参见“4、素填土专项勘察”，其他地表土的专项勘察应符合下列要求：</w:t>
      </w:r>
    </w:p>
    <w:p>
      <w:pPr>
        <w:pStyle w:val="47"/>
        <w:keepNext w:val="0"/>
        <w:keepLines w:val="0"/>
        <w:pageBreakBefore w:val="0"/>
        <w:widowControl w:val="0"/>
        <w:numPr>
          <w:ilvl w:val="0"/>
          <w:numId w:val="3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分布于场区表面，含植物根茎和有机杂质，结构松散、稳定性差的土应判定为植物土。</w:t>
      </w:r>
    </w:p>
    <w:p>
      <w:pPr>
        <w:pStyle w:val="47"/>
        <w:keepNext w:val="0"/>
        <w:keepLines w:val="0"/>
        <w:pageBreakBefore w:val="0"/>
        <w:widowControl w:val="0"/>
        <w:numPr>
          <w:ilvl w:val="0"/>
          <w:numId w:val="3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地表土勘察应符合以下要求：</w:t>
      </w:r>
    </w:p>
    <w:p>
      <w:pPr>
        <w:keepNext w:val="0"/>
        <w:keepLines w:val="0"/>
        <w:pageBreakBefore w:val="0"/>
        <w:widowControl w:val="0"/>
        <w:numPr>
          <w:ilvl w:val="0"/>
          <w:numId w:val="3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应结合钻探进行，必要时宜布置适量的坑探。探坑的深度应穿透地表土层。</w:t>
      </w:r>
    </w:p>
    <w:p>
      <w:pPr>
        <w:keepNext w:val="0"/>
        <w:keepLines w:val="0"/>
        <w:pageBreakBefore w:val="0"/>
        <w:widowControl w:val="0"/>
        <w:numPr>
          <w:ilvl w:val="0"/>
          <w:numId w:val="3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查明地表土的分布、厚度、含水量、有机质含量、物质成分、颗粒级配、均匀性和密实性。</w:t>
      </w:r>
    </w:p>
    <w:p>
      <w:pPr>
        <w:keepNext w:val="0"/>
        <w:keepLines w:val="0"/>
        <w:pageBreakBefore w:val="0"/>
        <w:widowControl w:val="0"/>
        <w:numPr>
          <w:ilvl w:val="0"/>
          <w:numId w:val="3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对场区有机质含量低于5%的植物土进行重型击实试验，测定其最优含水量和最大干密度。</w:t>
      </w:r>
    </w:p>
    <w:p>
      <w:pPr>
        <w:pStyle w:val="47"/>
        <w:keepNext w:val="0"/>
        <w:keepLines w:val="0"/>
        <w:pageBreakBefore w:val="0"/>
        <w:widowControl w:val="0"/>
        <w:numPr>
          <w:ilvl w:val="0"/>
          <w:numId w:val="3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地表土的岩土工程评价应符合下列要求：</w:t>
      </w:r>
    </w:p>
    <w:p>
      <w:pPr>
        <w:keepNext w:val="0"/>
        <w:keepLines w:val="0"/>
        <w:pageBreakBefore w:val="0"/>
        <w:widowControl w:val="0"/>
        <w:numPr>
          <w:ilvl w:val="0"/>
          <w:numId w:val="3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对有机质含量低于3%的植物土，阐明其分布、成分，计算其储量，判定其均匀性，评价其压缩性和密实度，分析植物土中有机质降解对工程的影响。</w:t>
      </w:r>
    </w:p>
    <w:p>
      <w:pPr>
        <w:keepNext w:val="0"/>
        <w:keepLines w:val="0"/>
        <w:pageBreakBefore w:val="0"/>
        <w:widowControl w:val="0"/>
        <w:numPr>
          <w:ilvl w:val="0"/>
          <w:numId w:val="3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对有机质含量3%～5%的植物土，阐明其分布、成分，计算其储量，并对其作为场内填料的适宜性进行分析和评价。</w:t>
      </w:r>
    </w:p>
    <w:p>
      <w:pPr>
        <w:keepNext w:val="0"/>
        <w:keepLines w:val="0"/>
        <w:pageBreakBefore w:val="0"/>
        <w:widowControl w:val="0"/>
        <w:numPr>
          <w:ilvl w:val="0"/>
          <w:numId w:val="3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对有机质含量大于5%的植物土，阐明其分布、成分，计算其储量。</w:t>
      </w:r>
    </w:p>
    <w:p>
      <w:pPr>
        <w:keepNext w:val="0"/>
        <w:keepLines w:val="0"/>
        <w:pageBreakBefore w:val="0"/>
        <w:widowControl w:val="0"/>
        <w:numPr>
          <w:ilvl w:val="0"/>
          <w:numId w:val="3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bookmarkStart w:id="15" w:name="_Toc277591124"/>
      <w:r>
        <w:rPr>
          <w:rFonts w:hint="eastAsia" w:ascii="宋体" w:hAnsi="宋体" w:eastAsia="宋体" w:cs="宋体"/>
          <w:color w:val="000000"/>
          <w:sz w:val="21"/>
          <w:szCs w:val="21"/>
          <w:highlight w:val="none"/>
        </w:rPr>
        <w:t>挖方区土石材料性质及土石比勘察</w:t>
      </w:r>
      <w:bookmarkEnd w:id="15"/>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勘察范围原则上为场地设计标高面以上的挖方区（含挖方边坡区）；当发现岩体强度较高，预计可作为机场道面结构层的原料时，勘探深度可适当增大，具体勘探深度须经</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等相关单位确认后方可加深勘探深度。</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应根据其工程地质特性、填筑特性等进行土石填料分类。</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应充分结合已有勘察资料成果，采取综合的勘察手段和勘察方法，进行土石材料性质及土石比勘察。</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对用于场区填料的各类土、石，应提供其不同压实度（85%～96%）或固体体积率（75%～85%）下的填挖比。</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rPr>
        <w:t>当“五、工程地质勘察”中的土工试验、原位测试等工作取得的土体物理力学性质参数成果可适用于挖方区填料时，则挖方区不再另行开展土工试验与原位测试等项目。若挖方区确有需要开展土工试验和原位测试以查明填料的物理力学性能，则需报请招标人和监理人同意后按“五、工程地质勘察”中的相关要求开展。</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的土石比勘察，应优先采用综合的物探手段，查明岩石面分布情况，并在有代表性地段，有针对性地布置钻孔，验证物探成果。在岩石面起伏大以及存在大量孤石、风化石的地区，应以钻孔方法为主、物探方法为辅查明土、石分界面。</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当土、石分界面在设计标高面以上时，勘探孔深度进入土、石分界面以下1～2m；当土、石分界面在设计标高面以下时，勘探孔深度进入设计标高面以下1～2m。</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勘探点间距不宜大于80m。</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计算各挖方分区的土石方储量及其土石比，并说明采用的计算方法及计算过程。</w:t>
      </w:r>
    </w:p>
    <w:p>
      <w:pPr>
        <w:pStyle w:val="47"/>
        <w:keepNext w:val="0"/>
        <w:keepLines w:val="0"/>
        <w:pageBreakBefore w:val="0"/>
        <w:widowControl w:val="0"/>
        <w:numPr>
          <w:ilvl w:val="0"/>
          <w:numId w:val="3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对各类土、石作为场内填料的适宜性进行分析和评价。</w:t>
      </w:r>
    </w:p>
    <w:p>
      <w:pPr>
        <w:keepNext w:val="0"/>
        <w:keepLines w:val="0"/>
        <w:pageBreakBefore w:val="0"/>
        <w:widowControl w:val="0"/>
        <w:numPr>
          <w:ilvl w:val="0"/>
          <w:numId w:val="3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w:t>
      </w:r>
    </w:p>
    <w:p>
      <w:pPr>
        <w:keepNext w:val="0"/>
        <w:keepLines w:val="0"/>
        <w:pageBreakBefore w:val="0"/>
        <w:widowControl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高填方边坡勘察范围为边坡高度为不小于20m的区域。</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勘察应依据下列图纸和资料：</w:t>
      </w:r>
    </w:p>
    <w:p>
      <w:pPr>
        <w:keepNext w:val="0"/>
        <w:keepLines w:val="0"/>
        <w:pageBreakBefore w:val="0"/>
        <w:widowControl w:val="0"/>
        <w:numPr>
          <w:ilvl w:val="0"/>
          <w:numId w:val="3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地势设计资料、场地平整设计标高或土石方工作高。</w:t>
      </w:r>
    </w:p>
    <w:p>
      <w:pPr>
        <w:keepNext w:val="0"/>
        <w:keepLines w:val="0"/>
        <w:pageBreakBefore w:val="0"/>
        <w:widowControl w:val="0"/>
        <w:numPr>
          <w:ilvl w:val="0"/>
          <w:numId w:val="3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坡顶填方高度、边坡区范围。</w:t>
      </w:r>
    </w:p>
    <w:p>
      <w:pPr>
        <w:keepNext w:val="0"/>
        <w:keepLines w:val="0"/>
        <w:pageBreakBefore w:val="0"/>
        <w:widowControl w:val="0"/>
        <w:numPr>
          <w:ilvl w:val="0"/>
          <w:numId w:val="3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高填方边坡区及周围区域的地形图。</w:t>
      </w:r>
    </w:p>
    <w:p>
      <w:pPr>
        <w:keepNext w:val="0"/>
        <w:keepLines w:val="0"/>
        <w:pageBreakBefore w:val="0"/>
        <w:widowControl w:val="0"/>
        <w:numPr>
          <w:ilvl w:val="0"/>
          <w:numId w:val="3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场地及其附近已有的勘察资料、环境条件资料。</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高填方边坡工程勘察应满足下列要求：</w:t>
      </w:r>
    </w:p>
    <w:p>
      <w:pPr>
        <w:keepNext w:val="0"/>
        <w:keepLines w:val="0"/>
        <w:pageBreakBefore w:val="0"/>
        <w:widowControl w:val="0"/>
        <w:numPr>
          <w:ilvl w:val="0"/>
          <w:numId w:val="3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查明高填方边坡区及周边区域的地形地貌特征。</w:t>
      </w:r>
    </w:p>
    <w:p>
      <w:pPr>
        <w:keepNext w:val="0"/>
        <w:keepLines w:val="0"/>
        <w:pageBreakBefore w:val="0"/>
        <w:widowControl w:val="0"/>
        <w:numPr>
          <w:ilvl w:val="0"/>
          <w:numId w:val="3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查明有无影响边坡稳定的不良地质作用。</w:t>
      </w:r>
    </w:p>
    <w:p>
      <w:pPr>
        <w:keepNext w:val="0"/>
        <w:keepLines w:val="0"/>
        <w:pageBreakBefore w:val="0"/>
        <w:widowControl w:val="0"/>
        <w:numPr>
          <w:ilvl w:val="0"/>
          <w:numId w:val="3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查明各土层的类型、分布、厚度、状态和结构特征，特别是相对软弱土层的形态特征、分布规律、坡度。</w:t>
      </w:r>
    </w:p>
    <w:p>
      <w:pPr>
        <w:keepNext w:val="0"/>
        <w:keepLines w:val="0"/>
        <w:pageBreakBefore w:val="0"/>
        <w:widowControl w:val="0"/>
        <w:numPr>
          <w:ilvl w:val="0"/>
          <w:numId w:val="3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查明岩土的物理力学性质，重点查明各土层的抗剪强度指标。</w:t>
      </w:r>
    </w:p>
    <w:p>
      <w:pPr>
        <w:keepNext w:val="0"/>
        <w:keepLines w:val="0"/>
        <w:pageBreakBefore w:val="0"/>
        <w:widowControl w:val="0"/>
        <w:numPr>
          <w:ilvl w:val="0"/>
          <w:numId w:val="3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查明地下水分布特征及其与地表水的相互关系。</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和勘探点的布置应根据边坡范围、工程地质条件、地下水情况和地形地貌确定。除沿高边坡主要典型断面布置勘探线外，在其两侧可根据边坡高度、地形地貌等情况布置一定数量的勘探线。一般宜在坡顶、坡脚及其中间位置布置勘探点，地基土较软弱时，应在坡脚外增加勘探点以满足稳定性分析。勘探点间距不宜大于50m，在地形突变和预计采取工程措施的地段，应布置勘探点。勘探方法除钻探和静力触探外，可根据土质条件，布置一定数量的探井。</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勘探深度应满足边坡稳定分析和工程治理的需要。所有勘探孔应穿过相对软弱层并穿过最深潜在滑裂面进入稳定地层一定深度。进入稳定地层的深度应满足表</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.1的规定。</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表</w:t>
      </w: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.1  边坡勘察勘探深度进入稳定地层的要求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28"/>
        <w:gridCol w:w="3844"/>
        <w:gridCol w:w="15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3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稳定地层情况</w:t>
            </w:r>
          </w:p>
        </w:tc>
        <w:tc>
          <w:tcPr>
            <w:tcW w:w="2969"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勘探孔进入</w:t>
            </w:r>
            <w:bookmarkStart w:id="16" w:name="OLE_LINK16"/>
            <w:r>
              <w:rPr>
                <w:rFonts w:hint="eastAsia" w:ascii="宋体" w:hAnsi="宋体" w:eastAsia="宋体" w:cs="宋体"/>
                <w:b/>
                <w:color w:val="000000"/>
                <w:sz w:val="21"/>
                <w:szCs w:val="21"/>
                <w:highlight w:val="none"/>
              </w:rPr>
              <w:t>稳定地层深度</w:t>
            </w:r>
            <w:bookmarkEnd w:id="16"/>
            <w:r>
              <w:rPr>
                <w:rFonts w:hint="eastAsia" w:ascii="宋体" w:hAnsi="宋体" w:eastAsia="宋体" w:cs="宋体"/>
                <w:b/>
                <w:color w:val="00000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软硬等级</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岩土类别</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代表性土石名称</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控制性勘探孔</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一般勘探孔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Ⅱ</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普通土</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稍密或松散的碎石土（不包括块石或漂石）、密实的砂土和粉土、可塑的粘性土</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5.0～10.0</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Ⅲ</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硬  土</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中密的碎石土、硬塑粘性土、风化成土块的岩石</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3.0～5.0</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Ⅳ</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软  岩</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块石或漂石碎石土、泥岩、泥质砂岩、弱胶结砾岩，中风化～强风化的坚硬岩或较硬岩</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Ⅴ</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次硬岩</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砂岩、硅质页岩、微风化～中等风化的灰岩、玄武岩、花岗岩、正长岩</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Ⅵ</w:t>
            </w:r>
          </w:p>
        </w:tc>
        <w:tc>
          <w:tcPr>
            <w:tcW w:w="92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坚硬岩</w:t>
            </w:r>
          </w:p>
        </w:tc>
        <w:tc>
          <w:tcPr>
            <w:tcW w:w="3844" w:type="dxa"/>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未风化～微风化的玄武岩、石灰岩、白云岩、大理岩、石英岩、闪长岩、花岗岩、正长岩、硅质砾岩等</w:t>
            </w:r>
          </w:p>
        </w:tc>
        <w:tc>
          <w:tcPr>
            <w:tcW w:w="1501"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c>
          <w:tcPr>
            <w:tcW w:w="1468"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bl>
    <w:p>
      <w:pPr>
        <w:keepNext w:val="0"/>
        <w:keepLines w:val="0"/>
        <w:pageBreakBefore w:val="0"/>
        <w:widowControl w:val="0"/>
        <w:kinsoku/>
        <w:wordWrap/>
        <w:overflowPunct/>
        <w:topLinePunct w:val="0"/>
        <w:autoSpaceDE/>
        <w:autoSpaceDN/>
        <w:bidi w:val="0"/>
        <w:adjustRightInd/>
        <w:spacing w:line="360" w:lineRule="auto"/>
        <w:ind w:left="-210" w:leftChars="-100"/>
        <w:textAlignment w:val="auto"/>
        <w:rPr>
          <w:rFonts w:hint="eastAsia" w:ascii="宋体" w:hAnsi="宋体" w:eastAsia="宋体" w:cs="宋体"/>
          <w:i/>
          <w:iCs/>
          <w:color w:val="000000"/>
          <w:sz w:val="21"/>
          <w:szCs w:val="21"/>
          <w:highlight w:val="none"/>
        </w:rPr>
      </w:pPr>
      <w:r>
        <w:rPr>
          <w:rFonts w:hint="eastAsia" w:ascii="宋体" w:hAnsi="宋体" w:eastAsia="宋体" w:cs="宋体"/>
          <w:color w:val="000000"/>
          <w:sz w:val="21"/>
          <w:szCs w:val="21"/>
          <w:highlight w:val="none"/>
        </w:rPr>
        <w:t>注：地形条件不利时取大值、坡高超过50m时取大值。</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在边坡稳定影响深度内，根据土质条件分别进行动力触探试验、静力触探试验和十字板剪切试验；当边坡高度超过20m，顺坡填筑且土质条件复杂（如软弱土、混合土等），宜进行地基土的现场剪切试验。</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地基土的强度试验应根据岩土条件和实际情况确定，应符合以下要求：</w:t>
      </w:r>
    </w:p>
    <w:p>
      <w:pPr>
        <w:keepNext w:val="0"/>
        <w:keepLines w:val="0"/>
        <w:pageBreakBefore w:val="0"/>
        <w:widowControl w:val="0"/>
        <w:numPr>
          <w:ilvl w:val="0"/>
          <w:numId w:val="3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进行室内快剪和固结快剪试验；</w:t>
      </w:r>
    </w:p>
    <w:p>
      <w:pPr>
        <w:keepNext w:val="0"/>
        <w:keepLines w:val="0"/>
        <w:pageBreakBefore w:val="0"/>
        <w:widowControl w:val="0"/>
        <w:numPr>
          <w:ilvl w:val="0"/>
          <w:numId w:val="3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应有一定数量的三轴剪切试验；</w:t>
      </w:r>
    </w:p>
    <w:p>
      <w:pPr>
        <w:keepNext w:val="0"/>
        <w:keepLines w:val="0"/>
        <w:pageBreakBefore w:val="0"/>
        <w:widowControl w:val="0"/>
        <w:numPr>
          <w:ilvl w:val="0"/>
          <w:numId w:val="3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剪切试验的最大竖向压力应不低于高填方边坡填筑体自重应力之和。</w:t>
      </w:r>
    </w:p>
    <w:p>
      <w:pPr>
        <w:keepNext w:val="0"/>
        <w:keepLines w:val="0"/>
        <w:pageBreakBefore w:val="0"/>
        <w:widowControl w:val="0"/>
        <w:numPr>
          <w:ilvl w:val="0"/>
          <w:numId w:val="3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应提供天然与饱和状态下土的强度参数建议值。</w:t>
      </w:r>
    </w:p>
    <w:p>
      <w:pPr>
        <w:pStyle w:val="47"/>
        <w:keepNext w:val="0"/>
        <w:keepLines w:val="0"/>
        <w:pageBreakBefore w:val="0"/>
        <w:widowControl w:val="0"/>
        <w:numPr>
          <w:ilvl w:val="0"/>
          <w:numId w:val="3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选取有代表性的分析断面，根据试验测试成果确定强度指标，建立合理正确的计算模型，选取若干综合坡比进行边坡稳定性计算，并对高填方边坡稳定性进行综合评价，提供建议的坡比。</w:t>
      </w:r>
    </w:p>
    <w:p>
      <w:pPr>
        <w:keepNext w:val="0"/>
        <w:keepLines w:val="0"/>
        <w:pageBreakBefore w:val="0"/>
        <w:widowControl w:val="0"/>
        <w:numPr>
          <w:ilvl w:val="0"/>
          <w:numId w:val="3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素填土专项勘察</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拟建场区范围内的素填土勘察，应符合下列要求：</w:t>
      </w:r>
    </w:p>
    <w:p>
      <w:pPr>
        <w:pStyle w:val="47"/>
        <w:keepNext w:val="0"/>
        <w:keepLines w:val="0"/>
        <w:pageBreakBefore w:val="0"/>
        <w:widowControl w:val="0"/>
        <w:numPr>
          <w:ilvl w:val="0"/>
          <w:numId w:val="4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查明素填土的粒径、含水量、分布、厚度等。</w:t>
      </w:r>
    </w:p>
    <w:p>
      <w:pPr>
        <w:pStyle w:val="47"/>
        <w:keepNext w:val="0"/>
        <w:keepLines w:val="0"/>
        <w:pageBreakBefore w:val="0"/>
        <w:widowControl w:val="0"/>
        <w:numPr>
          <w:ilvl w:val="0"/>
          <w:numId w:val="4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应根据素填土的类别，采用动力触探、标准贯入试验等查明其密实程度与均匀性。</w:t>
      </w:r>
    </w:p>
    <w:p>
      <w:pPr>
        <w:pStyle w:val="47"/>
        <w:keepNext w:val="0"/>
        <w:keepLines w:val="0"/>
        <w:pageBreakBefore w:val="0"/>
        <w:widowControl w:val="0"/>
        <w:numPr>
          <w:ilvl w:val="0"/>
          <w:numId w:val="4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勘探点（线）应充分利用“</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、工程地质勘察”中的勘探点，可根据素填土的分布范围及厚度等情况再布置适量的勘探点，勘探点深度应穿透素填土层。</w:t>
      </w:r>
    </w:p>
    <w:p>
      <w:pPr>
        <w:keepNext w:val="0"/>
        <w:keepLines w:val="0"/>
        <w:pageBreakBefore w:val="0"/>
        <w:widowControl w:val="0"/>
        <w:numPr>
          <w:ilvl w:val="0"/>
          <w:numId w:val="3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岩溶专项勘察</w:t>
      </w:r>
    </w:p>
    <w:p>
      <w:pPr>
        <w:pStyle w:val="47"/>
        <w:keepNext w:val="0"/>
        <w:keepLines w:val="0"/>
        <w:pageBreakBefore w:val="0"/>
        <w:widowControl w:val="0"/>
        <w:numPr>
          <w:ilvl w:val="0"/>
          <w:numId w:val="4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u w:val="single"/>
          <w:lang w:eastAsia="zh-CN"/>
        </w:rPr>
        <w:t>当场地为岩溶发育场地时，则进行此项专项勘察，否则不开展此专项勘察工作</w:t>
      </w:r>
      <w:r>
        <w:rPr>
          <w:rFonts w:hint="eastAsia" w:ascii="宋体" w:hAnsi="宋体" w:eastAsia="宋体" w:cs="宋体"/>
          <w:color w:val="000000"/>
          <w:sz w:val="21"/>
          <w:szCs w:val="21"/>
          <w:highlight w:val="none"/>
          <w:lang w:eastAsia="zh-CN"/>
        </w:rPr>
        <w:t>。</w:t>
      </w:r>
    </w:p>
    <w:p>
      <w:pPr>
        <w:pStyle w:val="47"/>
        <w:keepNext w:val="0"/>
        <w:keepLines w:val="0"/>
        <w:pageBreakBefore w:val="0"/>
        <w:widowControl w:val="0"/>
        <w:numPr>
          <w:ilvl w:val="0"/>
          <w:numId w:val="4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岩溶勘察包括地表岩溶勘察和地下岩溶勘察。</w:t>
      </w:r>
    </w:p>
    <w:p>
      <w:pPr>
        <w:pStyle w:val="47"/>
        <w:keepNext w:val="0"/>
        <w:keepLines w:val="0"/>
        <w:pageBreakBefore w:val="0"/>
        <w:widowControl w:val="0"/>
        <w:numPr>
          <w:ilvl w:val="0"/>
          <w:numId w:val="4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地表岩溶勘察应符合下列要求：</w:t>
      </w:r>
    </w:p>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200" w:firstLine="630" w:firstLineChars="3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查明工程范围及有影响地段的地表岩溶的形态和分布，包括洼地、漏斗、塌陷与落水洞等的形态、形状、大小、深度、分布特征及分布规律，分析地表岩溶的工程影响，并对岩溶的治理提出建议。</w:t>
      </w:r>
    </w:p>
    <w:p>
      <w:pPr>
        <w:pStyle w:val="47"/>
        <w:keepNext w:val="0"/>
        <w:keepLines w:val="0"/>
        <w:pageBreakBefore w:val="0"/>
        <w:widowControl w:val="0"/>
        <w:numPr>
          <w:ilvl w:val="0"/>
          <w:numId w:val="4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地下的岩溶勘察应符合下列要求</w:t>
      </w:r>
      <w:r>
        <w:rPr>
          <w:rFonts w:hint="eastAsia" w:ascii="宋体" w:hAnsi="宋体" w:eastAsia="宋体" w:cs="宋体"/>
          <w:color w:val="000000"/>
          <w:sz w:val="21"/>
          <w:szCs w:val="21"/>
          <w:highlight w:val="none"/>
          <w:lang w:eastAsia="zh-CN"/>
        </w:rPr>
        <w:t>：</w:t>
      </w:r>
    </w:p>
    <w:p>
      <w:pPr>
        <w:keepNext w:val="0"/>
        <w:keepLines w:val="0"/>
        <w:pageBreakBefore w:val="0"/>
        <w:widowControl w:val="0"/>
        <w:numPr>
          <w:ilvl w:val="0"/>
          <w:numId w:val="4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范围内填方区（包括填挖过渡段）溶洞和土洞的下列条件，定量分析溶洞和土洞的稳定性，并对岩溶的治理提出建议：</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①洞体形态及埋藏条件：埋藏深度、覆盖层厚度、洞体直径（短轴）、洞体形状、洞体分布特征。</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②顶板与覆盖层状况：顶板与覆盖层岩性与性状、顶板完整情况、埋藏深度与洞径比值、顶板性状。</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③充填情况：充填物成分、性质、密实程度、水流冲蚀稳定性，充填量情况等。</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④地下水特征。</w:t>
      </w:r>
    </w:p>
    <w:p>
      <w:pPr>
        <w:keepNext w:val="0"/>
        <w:keepLines w:val="0"/>
        <w:pageBreakBefore w:val="0"/>
        <w:widowControl w:val="0"/>
        <w:numPr>
          <w:ilvl w:val="0"/>
          <w:numId w:val="42"/>
        </w:numPr>
        <w:kinsoku/>
        <w:wordWrap/>
        <w:overflowPunct/>
        <w:topLinePunct w:val="0"/>
        <w:autoSpaceDE/>
        <w:autoSpaceDN/>
        <w:bidi w:val="0"/>
        <w:adjustRightInd/>
        <w:spacing w:line="360" w:lineRule="auto"/>
        <w:ind w:leftChars="20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本</w:t>
      </w:r>
      <w:r>
        <w:rPr>
          <w:rFonts w:hint="eastAsia" w:ascii="宋体" w:hAnsi="宋体" w:eastAsia="宋体" w:cs="宋体"/>
          <w:b/>
          <w:bCs/>
          <w:color w:val="000000"/>
          <w:sz w:val="21"/>
          <w:szCs w:val="21"/>
          <w:highlight w:val="none"/>
          <w:u w:val="single"/>
          <w:lang w:eastAsia="zh-CN"/>
        </w:rPr>
        <w:t>包组</w:t>
      </w:r>
      <w:r>
        <w:rPr>
          <w:rFonts w:hint="eastAsia" w:ascii="宋体" w:hAnsi="宋体" w:eastAsia="宋体" w:cs="宋体"/>
          <w:b/>
          <w:bCs/>
          <w:color w:val="000000"/>
          <w:sz w:val="21"/>
          <w:szCs w:val="21"/>
          <w:highlight w:val="none"/>
          <w:u w:val="single"/>
        </w:rPr>
        <w:t>勘察范围内挖方区的地下岩溶，暂不开展勘察工作，在场地平整至初平标高后，再另行实施勘察，不包含在本次勘察范围内。</w:t>
      </w:r>
    </w:p>
    <w:p>
      <w:pPr>
        <w:pStyle w:val="47"/>
        <w:keepNext w:val="0"/>
        <w:keepLines w:val="0"/>
        <w:pageBreakBefore w:val="0"/>
        <w:widowControl w:val="0"/>
        <w:numPr>
          <w:ilvl w:val="0"/>
          <w:numId w:val="41"/>
        </w:numPr>
        <w:kinsoku/>
        <w:wordWrap/>
        <w:overflowPunct/>
        <w:topLinePunct w:val="0"/>
        <w:autoSpaceDE/>
        <w:autoSpaceDN/>
        <w:bidi w:val="0"/>
        <w:adjustRightInd/>
        <w:spacing w:line="360" w:lineRule="auto"/>
        <w:ind w:left="0" w:firstLine="56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岩溶勘察以工程地质测绘与调查、物探为主，结合钻探等手段进行勘察，应先进行工程地质调查和综合物探，对调查和物探发现的异常地段，选择有代表性的部位布置验证钻孔</w:t>
      </w:r>
      <w:r>
        <w:rPr>
          <w:rFonts w:hint="eastAsia" w:ascii="宋体" w:hAnsi="宋体" w:eastAsia="宋体" w:cs="宋体"/>
          <w:b/>
          <w:bCs/>
          <w:color w:val="000000"/>
          <w:sz w:val="21"/>
          <w:szCs w:val="21"/>
          <w:highlight w:val="none"/>
          <w:u w:val="single"/>
          <w:lang w:eastAsia="zh-CN"/>
        </w:rPr>
        <w:t>。</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17" w:name="_Toc531711794"/>
      <w:bookmarkEnd w:id="17"/>
      <w:bookmarkStart w:id="18" w:name="_Toc531711795"/>
      <w:bookmarkEnd w:id="18"/>
      <w:bookmarkStart w:id="19" w:name="_Toc531711796"/>
      <w:bookmarkEnd w:id="19"/>
      <w:bookmarkStart w:id="20" w:name="_Toc531711797"/>
      <w:bookmarkEnd w:id="20"/>
      <w:bookmarkStart w:id="21" w:name="_Toc531711793"/>
      <w:bookmarkEnd w:id="21"/>
      <w:bookmarkStart w:id="22" w:name="_Toc531711798"/>
      <w:bookmarkStart w:id="23" w:name="_Toc9298"/>
      <w:r>
        <w:rPr>
          <w:rFonts w:hint="eastAsia" w:ascii="Times New Roman" w:hAnsi="Times New Roman" w:eastAsia="宋体" w:cs="Times New Roman"/>
          <w:sz w:val="21"/>
          <w:szCs w:val="21"/>
          <w:highlight w:val="none"/>
        </w:rPr>
        <w:t>应提交的勘察资料和成果</w:t>
      </w:r>
      <w:bookmarkEnd w:id="22"/>
      <w:bookmarkEnd w:id="23"/>
    </w:p>
    <w:p>
      <w:pPr>
        <w:keepNext w:val="0"/>
        <w:keepLines w:val="0"/>
        <w:pageBreakBefore w:val="0"/>
        <w:widowControl w:val="0"/>
        <w:numPr>
          <w:ilvl w:val="0"/>
          <w:numId w:val="4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的勘察报告应包含下列内容：</w:t>
      </w:r>
    </w:p>
    <w:p>
      <w:pPr>
        <w:pStyle w:val="47"/>
        <w:keepNext w:val="0"/>
        <w:keepLines w:val="0"/>
        <w:pageBreakBefore w:val="0"/>
        <w:widowControl w:val="0"/>
        <w:numPr>
          <w:ilvl w:val="0"/>
          <w:numId w:val="4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前言</w:t>
      </w:r>
    </w:p>
    <w:p>
      <w:pPr>
        <w:keepNext w:val="0"/>
        <w:keepLines w:val="0"/>
        <w:pageBreakBefore w:val="0"/>
        <w:widowControl w:val="0"/>
        <w:numPr>
          <w:ilvl w:val="0"/>
          <w:numId w:val="4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勘察目的、依据、任务和要求；</w:t>
      </w:r>
    </w:p>
    <w:p>
      <w:pPr>
        <w:keepNext w:val="0"/>
        <w:keepLines w:val="0"/>
        <w:pageBreakBefore w:val="0"/>
        <w:widowControl w:val="0"/>
        <w:numPr>
          <w:ilvl w:val="0"/>
          <w:numId w:val="4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勘察方法、手段、仪器设备；</w:t>
      </w:r>
    </w:p>
    <w:p>
      <w:pPr>
        <w:keepNext w:val="0"/>
        <w:keepLines w:val="0"/>
        <w:pageBreakBefore w:val="0"/>
        <w:widowControl w:val="0"/>
        <w:numPr>
          <w:ilvl w:val="0"/>
          <w:numId w:val="4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取得的勘察成果；</w:t>
      </w:r>
    </w:p>
    <w:p>
      <w:pPr>
        <w:keepNext w:val="0"/>
        <w:keepLines w:val="0"/>
        <w:pageBreakBefore w:val="0"/>
        <w:widowControl w:val="0"/>
        <w:numPr>
          <w:ilvl w:val="0"/>
          <w:numId w:val="4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勘察工作情况和完成的主要工作量。</w:t>
      </w:r>
    </w:p>
    <w:p>
      <w:pPr>
        <w:pStyle w:val="47"/>
        <w:keepNext w:val="0"/>
        <w:keepLines w:val="0"/>
        <w:pageBreakBefore w:val="0"/>
        <w:widowControl w:val="0"/>
        <w:numPr>
          <w:ilvl w:val="0"/>
          <w:numId w:val="4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机场工程地质条件和评价</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场地工程地质分区；</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场地水文地质条件；</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各主要持力层工程地质评价；</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场地与地基稳定性分析与评价；</w:t>
      </w:r>
    </w:p>
    <w:p>
      <w:pPr>
        <w:keepNext w:val="0"/>
        <w:keepLines w:val="0"/>
        <w:pageBreakBefore w:val="0"/>
        <w:widowControl w:val="0"/>
        <w:numPr>
          <w:ilvl w:val="0"/>
          <w:numId w:val="4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机场环境工程地质问题预测。</w:t>
      </w:r>
    </w:p>
    <w:p>
      <w:pPr>
        <w:pStyle w:val="47"/>
        <w:keepNext w:val="0"/>
        <w:keepLines w:val="0"/>
        <w:pageBreakBefore w:val="0"/>
        <w:widowControl w:val="0"/>
        <w:numPr>
          <w:ilvl w:val="0"/>
          <w:numId w:val="4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结论和建议</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场址主要地质构造、地形地貌特征；</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基本岩土参数的分析与选用；</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岩土工程问题处理的建议；</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场地环境工程地质条件与机场建设的相互关系和影响；</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场地工程地质条件对建设机场适宜性影响的评价；</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可利用的建筑材料情况；</w:t>
      </w:r>
    </w:p>
    <w:p>
      <w:pPr>
        <w:keepNext w:val="0"/>
        <w:keepLines w:val="0"/>
        <w:pageBreakBefore w:val="0"/>
        <w:widowControl w:val="0"/>
        <w:numPr>
          <w:ilvl w:val="0"/>
          <w:numId w:val="4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对后续勘察工作的建议。</w:t>
      </w:r>
    </w:p>
    <w:p>
      <w:pPr>
        <w:pStyle w:val="47"/>
        <w:keepNext w:val="0"/>
        <w:keepLines w:val="0"/>
        <w:pageBreakBefore w:val="0"/>
        <w:widowControl w:val="0"/>
        <w:numPr>
          <w:ilvl w:val="0"/>
          <w:numId w:val="4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应附下列资料：</w:t>
      </w:r>
    </w:p>
    <w:p>
      <w:pPr>
        <w:keepNext w:val="0"/>
        <w:keepLines w:val="0"/>
        <w:pageBreakBefore w:val="0"/>
        <w:widowControl w:val="0"/>
        <w:numPr>
          <w:ilvl w:val="0"/>
          <w:numId w:val="4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附图，宜包含下列图件：</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①勘探点平面布置图；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②综合工程地质图；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③工程地质分区图；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④钻孔柱状图；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⑤工程地质剖面图；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⑥软土层顶埋深图、层底埋深图以及等厚度线图；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⑦砂土、粉土按液化等级划分的分区图以及在液化区域内砂土、粉土的层顶埋深图、层底埋深图以及等厚度线图；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⑧风化岩和残积土的层顶埋深图、层底埋深图以及等厚度线图；</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⑨其他查明的不良地质作用与特殊性岩土（如：素填土、地表土等）的分布范围及等厚度线图等；</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⑩勘探点主要数据一览表；</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⑪其他需要的图表。</w:t>
      </w:r>
    </w:p>
    <w:p>
      <w:pPr>
        <w:keepNext w:val="0"/>
        <w:keepLines w:val="0"/>
        <w:pageBreakBefore w:val="0"/>
        <w:widowControl w:val="0"/>
        <w:numPr>
          <w:ilvl w:val="0"/>
          <w:numId w:val="4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试验、测试成果资料，应包括下列资料：</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①岩土试验指标综合成果表；</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②原位测试成果表；</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③室内试验成果表。</w:t>
      </w:r>
    </w:p>
    <w:p>
      <w:pPr>
        <w:keepNext w:val="0"/>
        <w:keepLines w:val="0"/>
        <w:pageBreakBefore w:val="0"/>
        <w:widowControl w:val="0"/>
        <w:numPr>
          <w:ilvl w:val="0"/>
          <w:numId w:val="4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三维地质BIM建模，模型深度和精细度应能满足后续相关工作的需求。</w:t>
      </w:r>
    </w:p>
    <w:p>
      <w:pPr>
        <w:keepNext w:val="0"/>
        <w:keepLines w:val="0"/>
        <w:pageBreakBefore w:val="0"/>
        <w:widowControl w:val="0"/>
        <w:numPr>
          <w:ilvl w:val="0"/>
          <w:numId w:val="4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其他专题勘察报告资料，应单独成册。</w:t>
      </w:r>
    </w:p>
    <w:p>
      <w:pPr>
        <w:keepNext w:val="0"/>
        <w:keepLines w:val="0"/>
        <w:pageBreakBefore w:val="0"/>
        <w:widowControl w:val="0"/>
        <w:numPr>
          <w:ilvl w:val="0"/>
          <w:numId w:val="4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汇总各</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勘察</w:t>
      </w:r>
      <w:r>
        <w:rPr>
          <w:rFonts w:hint="eastAsia" w:ascii="宋体" w:hAnsi="宋体" w:eastAsia="宋体" w:cs="宋体"/>
          <w:color w:val="000000"/>
          <w:sz w:val="21"/>
          <w:szCs w:val="21"/>
          <w:highlight w:val="none"/>
          <w:lang w:eastAsia="zh-CN"/>
        </w:rPr>
        <w:t>成果形成主体</w:t>
      </w:r>
      <w:r>
        <w:rPr>
          <w:rFonts w:hint="eastAsia" w:ascii="宋体" w:hAnsi="宋体" w:eastAsia="宋体" w:cs="宋体"/>
          <w:color w:val="000000"/>
          <w:sz w:val="21"/>
          <w:szCs w:val="21"/>
          <w:highlight w:val="none"/>
        </w:rPr>
        <w:t>报告，并</w:t>
      </w:r>
      <w:r>
        <w:rPr>
          <w:rFonts w:hint="eastAsia" w:ascii="宋体" w:hAnsi="宋体" w:eastAsia="宋体" w:cs="宋体"/>
          <w:color w:val="000000"/>
          <w:sz w:val="21"/>
          <w:szCs w:val="21"/>
          <w:highlight w:val="none"/>
          <w:lang w:eastAsia="zh-CN"/>
        </w:rPr>
        <w:t>通过项目整体报批。</w:t>
      </w:r>
    </w:p>
    <w:p>
      <w:pPr>
        <w:keepNext w:val="0"/>
        <w:keepLines w:val="0"/>
        <w:pageBreakBefore w:val="0"/>
        <w:widowControl w:val="0"/>
        <w:numPr>
          <w:ilvl w:val="0"/>
          <w:numId w:val="4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对以上勘察测量成果应提供可编辑的电子版文件（.dwg、.doc、.xls等格式）。</w:t>
      </w:r>
    </w:p>
    <w:p>
      <w:pPr>
        <w:pStyle w:val="3"/>
        <w:bidi w:val="0"/>
        <w:spacing w:line="360" w:lineRule="auto"/>
        <w:ind w:left="0" w:leftChars="0" w:firstLine="0" w:firstLineChars="0"/>
        <w:rPr>
          <w:rFonts w:hint="eastAsia" w:ascii="Times New Roman" w:hAnsi="Times New Roman" w:eastAsia="宋体" w:cs="Times New Roman"/>
          <w:sz w:val="21"/>
          <w:szCs w:val="21"/>
          <w:highlight w:val="none"/>
        </w:rPr>
      </w:pPr>
      <w:bookmarkStart w:id="24" w:name="_Toc2027"/>
      <w:bookmarkStart w:id="25" w:name="_Toc531711799"/>
      <w:r>
        <w:rPr>
          <w:rFonts w:hint="eastAsia" w:ascii="Times New Roman" w:hAnsi="Times New Roman" w:eastAsia="宋体" w:cs="Times New Roman"/>
          <w:sz w:val="21"/>
          <w:szCs w:val="21"/>
          <w:highlight w:val="none"/>
        </w:rPr>
        <w:t>其他</w:t>
      </w:r>
      <w:bookmarkEnd w:id="24"/>
      <w:bookmarkEnd w:id="25"/>
    </w:p>
    <w:p>
      <w:pPr>
        <w:keepNext w:val="0"/>
        <w:keepLines w:val="0"/>
        <w:pageBreakBefore w:val="0"/>
        <w:widowControl w:val="0"/>
        <w:numPr>
          <w:ilvl w:val="0"/>
          <w:numId w:val="4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勘察过程中应做好对场内及周边现有设施的保护（特别是场内埋设的管线、道路等）。</w:t>
      </w:r>
    </w:p>
    <w:p>
      <w:pPr>
        <w:keepNext w:val="0"/>
        <w:keepLines w:val="0"/>
        <w:pageBreakBefore w:val="0"/>
        <w:widowControl w:val="0"/>
        <w:numPr>
          <w:ilvl w:val="0"/>
          <w:numId w:val="4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对本勘察技术要求未详细规定或未列入的内容，尚应执行《民用机场勘测规范》MH/T5025、《岩土工程勘察规范》（2009年版）GB50021及现行有关技术规范、标准的规定。</w:t>
      </w:r>
    </w:p>
    <w:p>
      <w:pPr>
        <w:spacing w:line="360" w:lineRule="auto"/>
        <w:ind w:firstLine="442" w:firstLineChars="200"/>
        <w:jc w:val="center"/>
        <w:rPr>
          <w:rFonts w:hint="eastAsia" w:ascii="宋体" w:hAnsi="宋体" w:eastAsia="宋体" w:cs="宋体"/>
          <w:b/>
          <w:bCs/>
          <w:color w:val="auto"/>
          <w:sz w:val="22"/>
          <w:szCs w:val="22"/>
          <w:highlight w:val="none"/>
          <w:lang w:val="en-US" w:eastAsia="zh-CN"/>
        </w:rPr>
      </w:pPr>
    </w:p>
    <w:p>
      <w:pPr>
        <w:spacing w:line="360" w:lineRule="auto"/>
        <w:ind w:firstLine="442" w:firstLineChars="20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包组二：航站区勘察服务</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26" w:name="_Toc2292"/>
      <w:r>
        <w:rPr>
          <w:rFonts w:hint="eastAsia" w:ascii="宋体" w:hAnsi="宋体" w:eastAsia="宋体" w:cs="宋体"/>
          <w:sz w:val="21"/>
          <w:szCs w:val="21"/>
          <w:highlight w:val="none"/>
          <w:lang w:eastAsia="zh-CN"/>
        </w:rPr>
        <w:t>服务内容</w:t>
      </w:r>
      <w:bookmarkEnd w:id="26"/>
    </w:p>
    <w:p>
      <w:pPr>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本包组的服务内容为珠三角枢纽（广州新）机场航站区范围的场地平整勘察，应充分利用该工程已有的勘察资料，针对场区存在的岩土工程问题，采取合适的勘察方法和手段进一步查明</w:t>
      </w:r>
      <w:r>
        <w:rPr>
          <w:rFonts w:hint="eastAsia" w:ascii="宋体" w:hAnsi="宋体" w:eastAsia="宋体" w:cs="宋体"/>
          <w:color w:val="000000"/>
          <w:sz w:val="21"/>
          <w:szCs w:val="21"/>
          <w:highlight w:val="none"/>
          <w:lang w:eastAsia="zh-CN"/>
        </w:rPr>
        <w:t>。本包组中标人应接受本项目包组一中标人统筹协调，配合将本包组的勘察和研究成果提交汇总。</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27" w:name="_Toc11082"/>
      <w:r>
        <w:rPr>
          <w:rFonts w:hint="eastAsia" w:ascii="宋体" w:hAnsi="宋体" w:eastAsia="宋体" w:cs="宋体"/>
          <w:sz w:val="21"/>
          <w:szCs w:val="21"/>
          <w:highlight w:val="none"/>
        </w:rPr>
        <w:t>勘察说明</w:t>
      </w:r>
      <w:bookmarkEnd w:id="27"/>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的勘察为珠三角枢纽（广州新）机场航站区范围的场地平整勘察，应充分利用该工程已有的勘察资料，针对场区存在的岩土工程问题，采取合适的勘察方法和手段进一步查明。</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因目前该项目的工作进度及计划要求，本次勘察范围暂按照目前最新的总平面图、地势设计条件等资料而编制，后续应根据上述资料的变化而更新勘察工作量的布置。</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勘察前，应向</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索要最新的设计资料编制勘察大纲（方案），并经</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认可或评审后方可实施。</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本勘察中的专项勘察应充分结合工程地质勘察，防止重复布置勘察工作量。</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挖方区料源区目前暂只针对地表土、土石材料性质及土石比等布置填料的专项勘察，其他勘察工作在开挖至相应设计标高后进行。</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除挖方区料源区勘察外，填方区需布置工程地质勘察与其他专项勘察。</w:t>
      </w:r>
    </w:p>
    <w:p>
      <w:pPr>
        <w:keepLines w:val="0"/>
        <w:pageBreakBefore w:val="0"/>
        <w:numPr>
          <w:ilvl w:val="0"/>
          <w:numId w:val="5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color w:val="000000"/>
          <w:sz w:val="21"/>
          <w:szCs w:val="21"/>
          <w:highlight w:val="none"/>
        </w:rPr>
        <w:t>本阶段为场地平整勘察，对航站楼、小型建筑单体、桥梁、场内道路、飞行区下穿通道等建（构）筑物，暂不布置专门的勘察工作，待后续阶段建设条件明确时再开展相应的勘察</w:t>
      </w:r>
      <w:r>
        <w:rPr>
          <w:rFonts w:hint="eastAsia" w:ascii="宋体" w:hAnsi="宋体" w:eastAsia="宋体" w:cs="宋体"/>
          <w:b w:val="0"/>
          <w:bCs/>
          <w:color w:val="000000"/>
          <w:sz w:val="21"/>
          <w:szCs w:val="21"/>
          <w:highlight w:val="none"/>
          <w:u w:val="none"/>
        </w:rPr>
        <w:t>。</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28" w:name="_Toc6442"/>
      <w:r>
        <w:rPr>
          <w:rFonts w:hint="eastAsia" w:ascii="宋体" w:hAnsi="宋体" w:eastAsia="宋体" w:cs="宋体"/>
          <w:sz w:val="21"/>
          <w:szCs w:val="21"/>
          <w:highlight w:val="none"/>
        </w:rPr>
        <w:t>勘察任务</w:t>
      </w:r>
      <w:bookmarkEnd w:id="28"/>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对机场建设的场地适宜性，从区域地质、水文地质、工程地质和环境工程地质条件角度，进行深入分析与评价。</w:t>
      </w:r>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进行机场环境工程地质评价和地质灾害预测，提出不良地质作用的防治和监测措施。</w:t>
      </w:r>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对不良地质体和特殊性岩土做出分析、评价及处理建议。</w:t>
      </w:r>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对场地和地基的地震效应做出评价。</w:t>
      </w:r>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提供场地的岩土工程资料和主要的岩土设计参数。</w:t>
      </w:r>
    </w:p>
    <w:p>
      <w:pPr>
        <w:keepLines w:val="0"/>
        <w:pageBreakBefore w:val="0"/>
        <w:numPr>
          <w:ilvl w:val="0"/>
          <w:numId w:val="52"/>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评价场地稳定性和适宜性，对主要岩土工程问题提出技术解决方案建议。</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29" w:name="_Toc16725"/>
      <w:r>
        <w:rPr>
          <w:rFonts w:hint="eastAsia" w:ascii="宋体" w:hAnsi="宋体" w:eastAsia="宋体" w:cs="宋体"/>
          <w:sz w:val="21"/>
          <w:szCs w:val="21"/>
          <w:highlight w:val="none"/>
        </w:rPr>
        <w:t>勘察范围</w:t>
      </w:r>
      <w:bookmarkEnd w:id="29"/>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范围为航站区平整范围区等，并应根据现场建（构）筑物的实际位置调整勘察范围，不得损坏现有建（构）筑物。其中：</w:t>
      </w:r>
    </w:p>
    <w:p>
      <w:pPr>
        <w:keepLines w:val="0"/>
        <w:pageBreakBefore w:val="0"/>
        <w:numPr>
          <w:ilvl w:val="0"/>
          <w:numId w:val="5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挖方区暂只针对地表土、土石材料性质及土石比等布置填料的专项勘察，待其开挖至场地平整标高后再进行相应的勘察工作。</w:t>
      </w:r>
    </w:p>
    <w:p>
      <w:pPr>
        <w:keepLines w:val="0"/>
        <w:pageBreakBefore w:val="0"/>
        <w:numPr>
          <w:ilvl w:val="0"/>
          <w:numId w:val="5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填方区按本技术要求中的“</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、工程地质勘察”与“</w:t>
      </w:r>
      <w:r>
        <w:rPr>
          <w:rFonts w:hint="eastAsia" w:ascii="宋体" w:hAnsi="宋体" w:eastAsia="宋体" w:cs="宋体"/>
          <w:color w:val="000000"/>
          <w:sz w:val="21"/>
          <w:szCs w:val="21"/>
          <w:highlight w:val="none"/>
          <w:lang w:eastAsia="zh-CN"/>
        </w:rPr>
        <w:t>七</w:t>
      </w:r>
      <w:r>
        <w:rPr>
          <w:rFonts w:hint="eastAsia" w:ascii="宋体" w:hAnsi="宋体" w:eastAsia="宋体" w:cs="宋体"/>
          <w:color w:val="000000"/>
          <w:sz w:val="21"/>
          <w:szCs w:val="21"/>
          <w:highlight w:val="none"/>
        </w:rPr>
        <w:t>、专项勘察”布置勘察工作。</w:t>
      </w:r>
    </w:p>
    <w:p>
      <w:pPr>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应予以特别说明的是，随着本项目工作的开展，勘察范围后续可能会发生变化，勘察工作应随时按最新的勘察范围调整。</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0" w:name="_Toc25120"/>
      <w:r>
        <w:rPr>
          <w:rFonts w:hint="eastAsia" w:ascii="宋体" w:hAnsi="宋体" w:eastAsia="宋体" w:cs="宋体"/>
          <w:sz w:val="21"/>
          <w:szCs w:val="21"/>
          <w:highlight w:val="none"/>
        </w:rPr>
        <w:t>工程地质测绘与调查</w:t>
      </w:r>
      <w:bookmarkEnd w:id="30"/>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对地形、地貌、地质条件复杂的场地应进行工程地质测绘，地形、地貌、地质条件简单的场地，可用调查代替。</w:t>
      </w:r>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工程地质测绘与调查的范围应为勘察范围及其周围区域。</w:t>
      </w:r>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工程地质测绘与调查的内容包含：</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调查研究地形、地貌特征，划分地貌单元，分析各地貌单元的形成过程及其与地层、构造、不良地质作用的因果关系。</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查明场地主要地质构造、新构造活动的行迹及其与地震活动的关系。</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查明岩土的年代、成因、性质厚度和分布范围，以及各种特殊性岩土的类别和工程地质特征。</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查明岩体结构类型、风化程度、各类结构面（尤其是软弱结构面）的产状和性质，岩、土接触面和软弱夹层的特性等。</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查明场地土的标准冻结深度等。</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调查洞穴、地面沉降、断裂、场地的地震效应等不良地质作用的形成、分布、形态、规模、发育程度及其对工程建设的影响。</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调查人类活动对场地稳定性的影响，包括大填大挖、人工洞穴、地下采空等。</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边坡区测绘与调查内容包括地形形态和微地貌特征、冲洪积堆积物、坡积物、崩塌堆积物的分布与性状以及边坡区周边的自然坡度、性状与坡面情况。</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调查场地地下水的类型、补给来源、排泄条件、历年最高地下水位，确定水位变化幅度和主要影响因素，并实测地下水位。</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调查场地附近的河流、水系、水源及水的流向、流速、流量、常水位，洪水位及其发生时间、淹没范围。</w:t>
      </w:r>
    </w:p>
    <w:p>
      <w:pPr>
        <w:pStyle w:val="47"/>
        <w:keepLines w:val="0"/>
        <w:pageBreakBefore w:val="0"/>
        <w:numPr>
          <w:ilvl w:val="0"/>
          <w:numId w:val="5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收集气象、水文、植被及建筑材料等资料。</w:t>
      </w:r>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成果资料宜包括综合工程地质图、工程地质分区图以及各种素描图、遥感影像解译资料、照片和文字说明等。工程地质测绘与调查的比例尺可选用1：1000，对工程有重要影响的滑坡、断层、软弱夹层、洞穴等地质单元，可采用扩大比例尺表示。</w:t>
      </w:r>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利用遥感影像资料解译进行工程地质测绘时，应有适量的现场检验地质观测点。野外工作应包括检查解译标志、解译结果和外推结果，并对室内解译难以获得的资料进行野外补充。</w:t>
      </w:r>
    </w:p>
    <w:p>
      <w:pPr>
        <w:keepLines w:val="0"/>
        <w:pageBreakBefore w:val="0"/>
        <w:numPr>
          <w:ilvl w:val="0"/>
          <w:numId w:val="5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地质观测点的布置、密度和定位应满足下列要求：</w:t>
      </w:r>
    </w:p>
    <w:p>
      <w:pPr>
        <w:pStyle w:val="47"/>
        <w:keepLines w:val="0"/>
        <w:pageBreakBefore w:val="0"/>
        <w:numPr>
          <w:ilvl w:val="0"/>
          <w:numId w:val="5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在地质构造线、地层接触线、岩性分界线、标准层位和每个地质单元体应有地质观测点。</w:t>
      </w:r>
    </w:p>
    <w:p>
      <w:pPr>
        <w:pStyle w:val="47"/>
        <w:keepLines w:val="0"/>
        <w:pageBreakBefore w:val="0"/>
        <w:numPr>
          <w:ilvl w:val="0"/>
          <w:numId w:val="5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地质观测点的密度应根据场地的地貌、地质条件、成图比例尺和工程要求等确定，并应具代表性。</w:t>
      </w:r>
    </w:p>
    <w:p>
      <w:pPr>
        <w:pStyle w:val="47"/>
        <w:keepLines w:val="0"/>
        <w:pageBreakBefore w:val="0"/>
        <w:numPr>
          <w:ilvl w:val="0"/>
          <w:numId w:val="5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地质观测点应充分利用天然和已有的人工露头，当露头少时，应根据具体情况布置一定数量的探坑（井）或探槽。</w:t>
      </w:r>
    </w:p>
    <w:p>
      <w:pPr>
        <w:pStyle w:val="47"/>
        <w:keepLines w:val="0"/>
        <w:pageBreakBefore w:val="0"/>
        <w:numPr>
          <w:ilvl w:val="0"/>
          <w:numId w:val="5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地质观测点的定位应根据精度要求选用适当方法；地质构造线、地层接触线、岩性分界线、软弱夹层、地下水露头和不良地质作用等特殊地质观测点，宜用仪器定位。</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1" w:name="_Toc10186"/>
      <w:r>
        <w:rPr>
          <w:rFonts w:hint="eastAsia" w:ascii="宋体" w:hAnsi="宋体" w:eastAsia="宋体" w:cs="宋体"/>
          <w:sz w:val="21"/>
          <w:szCs w:val="21"/>
          <w:highlight w:val="none"/>
        </w:rPr>
        <w:t>工程地质勘察</w:t>
      </w:r>
      <w:bookmarkEnd w:id="31"/>
    </w:p>
    <w:p>
      <w:pPr>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本节技术要求主要应用于填方区工程地质勘察，有关拟建场地填方区的分布范围以招标人确认的为准</w:t>
      </w:r>
      <w:r>
        <w:rPr>
          <w:rFonts w:hint="eastAsia" w:ascii="宋体" w:hAnsi="宋体" w:eastAsia="宋体" w:cs="宋体"/>
          <w:b/>
          <w:color w:val="000000"/>
          <w:sz w:val="21"/>
          <w:szCs w:val="21"/>
          <w:highlight w:val="none"/>
          <w:u w:val="single"/>
          <w:lang w:eastAsia="zh-CN"/>
        </w:rPr>
        <w:t>。若挖方区需要开展土工试验和原位测试以查明填料物理力学性能，可按本节中相关要求开展</w:t>
      </w:r>
      <w:r>
        <w:rPr>
          <w:rFonts w:hint="eastAsia" w:ascii="宋体" w:hAnsi="宋体" w:eastAsia="宋体" w:cs="宋体"/>
          <w:b/>
          <w:color w:val="000000"/>
          <w:sz w:val="21"/>
          <w:szCs w:val="21"/>
          <w:highlight w:val="none"/>
          <w:u w:val="single"/>
        </w:rPr>
        <w:t>。</w:t>
      </w:r>
    </w:p>
    <w:p>
      <w:pPr>
        <w:keepLines w:val="0"/>
        <w:pageBreakBefore w:val="0"/>
        <w:numPr>
          <w:ilvl w:val="0"/>
          <w:numId w:val="5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工程地质勘察的内容包含：</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查明场地的地形特征、地貌类型。</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查明场地主要地质构造、断层与性质、地震烈度、工程地震特征。</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查明场地环境工程地质概况，进行环境工程地质评价和地质灾害预测，提出防治和监测措施。</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查明场地的岩土类型、成因、时代、分布规律及一般物理力学性质指标。</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查明场地有无特殊性岩土和需进行处理的不良地质作用、地质灾害等岩土工程问题。</w:t>
      </w:r>
    </w:p>
    <w:p>
      <w:pPr>
        <w:pStyle w:val="47"/>
        <w:keepLines w:val="0"/>
        <w:pageBreakBefore w:val="0"/>
        <w:numPr>
          <w:ilvl w:val="0"/>
          <w:numId w:val="5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提供高填方及地基处理设计所需的基本岩土参数</w:t>
      </w:r>
      <w:r>
        <w:rPr>
          <w:rFonts w:hint="eastAsia" w:ascii="宋体" w:hAnsi="宋体" w:eastAsia="宋体" w:cs="宋体"/>
          <w:color w:val="000000"/>
          <w:sz w:val="21"/>
          <w:szCs w:val="21"/>
          <w:highlight w:val="none"/>
          <w:lang w:eastAsia="zh-CN"/>
        </w:rPr>
        <w:t>。</w:t>
      </w:r>
    </w:p>
    <w:p>
      <w:pPr>
        <w:keepLines w:val="0"/>
        <w:pageBreakBefore w:val="0"/>
        <w:numPr>
          <w:ilvl w:val="0"/>
          <w:numId w:val="5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勘探点（线）布置</w:t>
      </w:r>
    </w:p>
    <w:p>
      <w:pPr>
        <w:pStyle w:val="47"/>
        <w:keepLines w:val="0"/>
        <w:pageBreakBefore w:val="0"/>
        <w:numPr>
          <w:ilvl w:val="0"/>
          <w:numId w:val="5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勘探线、勘探点间距可按表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.1确定，局部异常地段应予以适当加密。高填方边坡（填方高度不小于20m）的勘察要求详见“</w:t>
      </w: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、专项勘察”</w:t>
      </w:r>
      <w:r>
        <w:rPr>
          <w:rFonts w:hint="eastAsia" w:ascii="宋体" w:hAnsi="宋体" w:eastAsia="宋体" w:cs="宋体"/>
          <w:color w:val="000000"/>
          <w:sz w:val="21"/>
          <w:szCs w:val="21"/>
          <w:highlight w:val="none"/>
          <w:lang w:eastAsia="zh-CN"/>
        </w:rPr>
        <w:t>。</w:t>
      </w:r>
    </w:p>
    <w:p>
      <w:pPr>
        <w:pStyle w:val="47"/>
        <w:keepLines w:val="0"/>
        <w:pageBreakBefore w:val="0"/>
        <w:numPr>
          <w:ilvl w:val="0"/>
          <w:numId w:val="5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在每个地貌单元和不同地貌单元交接部位，应布置勘探点</w:t>
      </w:r>
      <w:r>
        <w:rPr>
          <w:rFonts w:hint="eastAsia" w:ascii="宋体" w:hAnsi="宋体" w:eastAsia="宋体" w:cs="宋体"/>
          <w:color w:val="000000"/>
          <w:sz w:val="21"/>
          <w:szCs w:val="21"/>
          <w:highlight w:val="none"/>
          <w:lang w:eastAsia="zh-CN"/>
        </w:rPr>
        <w:t>。</w:t>
      </w:r>
    </w:p>
    <w:p>
      <w:pPr>
        <w:keepLines w:val="0"/>
        <w:pageBreakBefore w:val="0"/>
        <w:kinsoku/>
        <w:wordWrap/>
        <w:overflowPunct/>
        <w:topLinePunct w:val="0"/>
        <w:autoSpaceDE/>
        <w:autoSpaceDN/>
        <w:bidi w:val="0"/>
        <w:adjustRightInd/>
        <w:spacing w:line="360" w:lineRule="auto"/>
        <w:ind w:firstLine="482"/>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1</w:t>
      </w:r>
      <w:r>
        <w:rPr>
          <w:rFonts w:hint="eastAsia" w:ascii="宋体" w:hAnsi="宋体" w:eastAsia="宋体" w:cs="宋体"/>
          <w:b/>
          <w:color w:val="000000"/>
          <w:sz w:val="21"/>
          <w:szCs w:val="21"/>
          <w:highlight w:val="none"/>
        </w:rPr>
        <w:t xml:space="preserve">  航站区平整范围区勘探线、勘探点间距</w:t>
      </w:r>
    </w:p>
    <w:tbl>
      <w:tblPr>
        <w:tblStyle w:val="25"/>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696"/>
        <w:gridCol w:w="4696"/>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勘探线间距（m）</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勘探点间距（m）</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r>
    </w:tbl>
    <w:p>
      <w:pPr>
        <w:keepLines w:val="0"/>
        <w:pageBreakBefore w:val="0"/>
        <w:numPr>
          <w:ilvl w:val="0"/>
          <w:numId w:val="5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勘探深度应符合：</w:t>
      </w:r>
    </w:p>
    <w:p>
      <w:pPr>
        <w:pStyle w:val="47"/>
        <w:keepLines w:val="0"/>
        <w:pageBreakBefore w:val="0"/>
        <w:numPr>
          <w:ilvl w:val="0"/>
          <w:numId w:val="6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钻孔可分控制性钻孔和一般性钻孔。控制性钻孔宜占勘探孔总数的1/3，并且每个地貌单元宜有控制性钻孔。</w:t>
      </w:r>
    </w:p>
    <w:p>
      <w:pPr>
        <w:pStyle w:val="47"/>
        <w:keepLines w:val="0"/>
        <w:pageBreakBefore w:val="0"/>
        <w:numPr>
          <w:ilvl w:val="0"/>
          <w:numId w:val="6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一般条件下，钻孔深度按表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确定。</w:t>
      </w:r>
    </w:p>
    <w:p>
      <w:pPr>
        <w:pStyle w:val="47"/>
        <w:keepLines w:val="0"/>
        <w:pageBreakBefore w:val="0"/>
        <w:kinsoku/>
        <w:wordWrap/>
        <w:overflowPunct/>
        <w:topLinePunct w:val="0"/>
        <w:autoSpaceDE/>
        <w:autoSpaceDN/>
        <w:bidi w:val="0"/>
        <w:adjustRightInd/>
        <w:spacing w:line="360" w:lineRule="auto"/>
        <w:ind w:firstLine="242"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 xml:space="preserve">  勘察钻孔深度</w:t>
      </w:r>
    </w:p>
    <w:tbl>
      <w:tblPr>
        <w:tblStyle w:val="2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5272"/>
        <w:gridCol w:w="324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CellMar>
            <w:top w:w="0" w:type="dxa"/>
            <w:left w:w="108" w:type="dxa"/>
            <w:bottom w:w="0" w:type="dxa"/>
            <w:right w:w="108" w:type="dxa"/>
          </w:tblCellMar>
        </w:tblPrEx>
        <w:trPr>
          <w:tblHeade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控制性钻孔深度</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一般性钻孔深度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至中微风化基岩内3m；基岩埋藏较深时，至较硬的稳定土层5m且不小于25m</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至中微风化基岩内2m；基岩埋藏较深时，不小于20m</w:t>
            </w:r>
          </w:p>
        </w:tc>
      </w:tr>
    </w:tbl>
    <w:p>
      <w:pPr>
        <w:pStyle w:val="47"/>
        <w:keepLines w:val="0"/>
        <w:pageBreakBefore w:val="0"/>
        <w:numPr>
          <w:ilvl w:val="0"/>
          <w:numId w:val="6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查明地质构造的钻孔深度，按实际情况确定。</w:t>
      </w:r>
    </w:p>
    <w:p>
      <w:pPr>
        <w:keepLines w:val="0"/>
        <w:pageBreakBefore w:val="0"/>
        <w:numPr>
          <w:ilvl w:val="0"/>
          <w:numId w:val="5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取样测试应符合：</w:t>
      </w:r>
    </w:p>
    <w:p>
      <w:pPr>
        <w:pStyle w:val="47"/>
        <w:keepLines w:val="0"/>
        <w:pageBreakBefore w:val="0"/>
        <w:numPr>
          <w:ilvl w:val="0"/>
          <w:numId w:val="6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取样的孔、坑在划定的工程地质单元内应均匀布置，其数量应不少于勘探点总数的1/4。</w:t>
      </w:r>
    </w:p>
    <w:p>
      <w:pPr>
        <w:pStyle w:val="47"/>
        <w:keepLines w:val="0"/>
        <w:pageBreakBefore w:val="0"/>
        <w:numPr>
          <w:ilvl w:val="0"/>
          <w:numId w:val="6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钻孔和探坑竖向取土样间距，应按地层特点和岩土的均匀程度确定，每一土层均应取样。</w:t>
      </w:r>
    </w:p>
    <w:p>
      <w:pPr>
        <w:pStyle w:val="47"/>
        <w:keepLines w:val="0"/>
        <w:pageBreakBefore w:val="0"/>
        <w:numPr>
          <w:ilvl w:val="0"/>
          <w:numId w:val="6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室内试验应提供工程分析评价所需的下列参数：</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常规物理性质试验，主要包括颗料级配（应提供级配数据表及级配曲线）、比重、天然含水量、重力密度、液限、塑限等。</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固结试验：提供各土层的压缩系数</w:t>
      </w:r>
      <w:r>
        <w:rPr>
          <w:rFonts w:hint="eastAsia" w:ascii="宋体" w:hAnsi="宋体" w:eastAsia="宋体" w:cs="宋体"/>
          <w:i/>
          <w:color w:val="000000"/>
          <w:sz w:val="21"/>
          <w:szCs w:val="21"/>
          <w:highlight w:val="none"/>
        </w:rPr>
        <w:t>a</w:t>
      </w:r>
      <w:r>
        <w:rPr>
          <w:rFonts w:hint="eastAsia" w:ascii="宋体" w:hAnsi="宋体" w:eastAsia="宋体" w:cs="宋体"/>
          <w:color w:val="000000"/>
          <w:sz w:val="21"/>
          <w:szCs w:val="21"/>
          <w:highlight w:val="none"/>
        </w:rPr>
        <w:t>、压缩模量Es及固结系数</w:t>
      </w:r>
      <w:r>
        <w:rPr>
          <w:rFonts w:hint="eastAsia" w:ascii="宋体" w:hAnsi="宋体" w:eastAsia="宋体" w:cs="宋体"/>
          <w:i/>
          <w:color w:val="000000"/>
          <w:sz w:val="21"/>
          <w:szCs w:val="21"/>
          <w:highlight w:val="none"/>
        </w:rPr>
        <w:t>Cv</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Ch</w:t>
      </w:r>
      <w:r>
        <w:rPr>
          <w:rFonts w:hint="eastAsia" w:ascii="宋体" w:hAnsi="宋体" w:eastAsia="宋体" w:cs="宋体"/>
          <w:color w:val="000000"/>
          <w:sz w:val="21"/>
          <w:szCs w:val="21"/>
          <w:highlight w:val="none"/>
        </w:rPr>
        <w:t>、次固结系数</w:t>
      </w:r>
      <w:r>
        <w:rPr>
          <w:rFonts w:hint="eastAsia" w:ascii="宋体" w:hAnsi="宋体" w:eastAsia="宋体" w:cs="宋体"/>
          <w:i/>
          <w:color w:val="000000"/>
          <w:sz w:val="21"/>
          <w:szCs w:val="21"/>
          <w:highlight w:val="none"/>
        </w:rPr>
        <w:t>Ca</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e-p</w:t>
      </w:r>
      <w:r>
        <w:rPr>
          <w:rFonts w:hint="eastAsia" w:ascii="宋体" w:hAnsi="宋体" w:eastAsia="宋体" w:cs="宋体"/>
          <w:color w:val="000000"/>
          <w:sz w:val="21"/>
          <w:szCs w:val="21"/>
          <w:highlight w:val="none"/>
        </w:rPr>
        <w:t>曲线。</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高压固结试验：</w:t>
      </w:r>
      <w:r>
        <w:rPr>
          <w:rFonts w:hint="eastAsia" w:ascii="宋体" w:hAnsi="宋体" w:eastAsia="宋体" w:cs="宋体"/>
          <w:i/>
          <w:color w:val="000000"/>
          <w:sz w:val="21"/>
          <w:szCs w:val="21"/>
          <w:highlight w:val="none"/>
        </w:rPr>
        <w:t>e-lgp</w:t>
      </w:r>
      <w:r>
        <w:rPr>
          <w:rFonts w:hint="eastAsia" w:ascii="宋体" w:hAnsi="宋体" w:eastAsia="宋体" w:cs="宋体"/>
          <w:color w:val="000000"/>
          <w:sz w:val="21"/>
          <w:szCs w:val="21"/>
          <w:highlight w:val="none"/>
        </w:rPr>
        <w:t>曲线，提供前期固结压力</w:t>
      </w:r>
      <w:r>
        <w:rPr>
          <w:rFonts w:hint="eastAsia" w:ascii="宋体" w:hAnsi="宋体" w:eastAsia="宋体" w:cs="宋体"/>
          <w:i/>
          <w:color w:val="000000"/>
          <w:sz w:val="21"/>
          <w:szCs w:val="21"/>
          <w:highlight w:val="none"/>
        </w:rPr>
        <w:t>Pc</w:t>
      </w:r>
      <w:r>
        <w:rPr>
          <w:rFonts w:hint="eastAsia" w:ascii="宋体" w:hAnsi="宋体" w:eastAsia="宋体" w:cs="宋体"/>
          <w:color w:val="000000"/>
          <w:sz w:val="21"/>
          <w:szCs w:val="21"/>
          <w:highlight w:val="none"/>
        </w:rPr>
        <w:t>、压缩指数</w:t>
      </w:r>
      <w:r>
        <w:rPr>
          <w:rFonts w:hint="eastAsia" w:ascii="宋体" w:hAnsi="宋体" w:eastAsia="宋体" w:cs="宋体"/>
          <w:i/>
          <w:color w:val="000000"/>
          <w:sz w:val="21"/>
          <w:szCs w:val="21"/>
          <w:highlight w:val="none"/>
        </w:rPr>
        <w:t>Cc</w:t>
      </w:r>
      <w:r>
        <w:rPr>
          <w:rFonts w:hint="eastAsia" w:ascii="宋体" w:hAnsi="宋体" w:eastAsia="宋体" w:cs="宋体"/>
          <w:color w:val="000000"/>
          <w:sz w:val="21"/>
          <w:szCs w:val="21"/>
          <w:highlight w:val="none"/>
        </w:rPr>
        <w:t>、回弹指数</w:t>
      </w:r>
      <w:r>
        <w:rPr>
          <w:rFonts w:hint="eastAsia" w:ascii="宋体" w:hAnsi="宋体" w:eastAsia="宋体" w:cs="宋体"/>
          <w:i/>
          <w:color w:val="000000"/>
          <w:sz w:val="21"/>
          <w:szCs w:val="21"/>
          <w:highlight w:val="none"/>
        </w:rPr>
        <w:t>Cs</w:t>
      </w:r>
      <w:r>
        <w:rPr>
          <w:rFonts w:hint="eastAsia" w:ascii="宋体" w:hAnsi="宋体" w:eastAsia="宋体" w:cs="宋体"/>
          <w:color w:val="000000"/>
          <w:sz w:val="21"/>
          <w:szCs w:val="21"/>
          <w:highlight w:val="none"/>
        </w:rPr>
        <w:t>及超固结比OCR。</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直剪固结快剪试验：提供土层的抗剪强度</w:t>
      </w:r>
      <w:r>
        <w:rPr>
          <w:rFonts w:hint="eastAsia" w:ascii="宋体" w:hAnsi="宋体" w:eastAsia="宋体" w:cs="宋体"/>
          <w:i/>
          <w:color w:val="000000"/>
          <w:sz w:val="21"/>
          <w:szCs w:val="21"/>
          <w:highlight w:val="none"/>
        </w:rPr>
        <w:t>c、φ</w:t>
      </w:r>
      <w:r>
        <w:rPr>
          <w:rFonts w:hint="eastAsia" w:ascii="宋体" w:hAnsi="宋体" w:eastAsia="宋体" w:cs="宋体"/>
          <w:color w:val="000000"/>
          <w:sz w:val="21"/>
          <w:szCs w:val="21"/>
          <w:highlight w:val="none"/>
        </w:rPr>
        <w:t>值。</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三轴剪切试验（固结不排水、不固结不排水）：除提供抗剪强度指标值外，尚应提供孔隙水压力。</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渗透试验：提供土的渗透系数。</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地基土基底摩擦系数试验：提供地基土对挡土墙基底摩擦系数μ。</w:t>
      </w:r>
    </w:p>
    <w:p>
      <w:pPr>
        <w:keepLines w:val="0"/>
        <w:pageBreakBefore w:val="0"/>
        <w:numPr>
          <w:ilvl w:val="0"/>
          <w:numId w:val="6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岩石单轴（天然与饱和状态）抗压强度试验。</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应予以特别说明的是，地基土固结试验最大加压值应不小于上覆荷载值（包含填筑体与道面结构层自重），高压固结试验施加的最大压力应满足绘制完整的</w:t>
      </w:r>
      <w:r>
        <w:rPr>
          <w:rFonts w:hint="eastAsia" w:ascii="宋体" w:hAnsi="宋体" w:eastAsia="宋体" w:cs="宋体"/>
          <w:b/>
          <w:i/>
          <w:color w:val="000000"/>
          <w:sz w:val="21"/>
          <w:szCs w:val="21"/>
          <w:highlight w:val="none"/>
          <w:u w:val="single"/>
        </w:rPr>
        <w:t>e-</w:t>
      </w:r>
      <w:r>
        <w:rPr>
          <w:rFonts w:hint="eastAsia" w:ascii="宋体" w:hAnsi="宋体" w:eastAsia="宋体" w:cs="宋体"/>
          <w:b/>
          <w:color w:val="000000"/>
          <w:sz w:val="21"/>
          <w:szCs w:val="21"/>
          <w:highlight w:val="none"/>
          <w:u w:val="single"/>
        </w:rPr>
        <w:t>lg</w:t>
      </w:r>
      <w:r>
        <w:rPr>
          <w:rFonts w:hint="eastAsia" w:ascii="宋体" w:hAnsi="宋体" w:eastAsia="宋体" w:cs="宋体"/>
          <w:b/>
          <w:i/>
          <w:color w:val="000000"/>
          <w:sz w:val="21"/>
          <w:szCs w:val="21"/>
          <w:highlight w:val="none"/>
          <w:u w:val="single"/>
        </w:rPr>
        <w:t>p</w:t>
      </w:r>
      <w:r>
        <w:rPr>
          <w:rFonts w:hint="eastAsia" w:ascii="宋体" w:hAnsi="宋体" w:eastAsia="宋体" w:cs="宋体"/>
          <w:b/>
          <w:color w:val="000000"/>
          <w:sz w:val="21"/>
          <w:szCs w:val="21"/>
          <w:highlight w:val="none"/>
          <w:u w:val="single"/>
        </w:rPr>
        <w:t>曲线的要求。</w:t>
      </w:r>
    </w:p>
    <w:p>
      <w:pPr>
        <w:keepLines w:val="0"/>
        <w:pageBreakBefore w:val="0"/>
        <w:numPr>
          <w:ilvl w:val="0"/>
          <w:numId w:val="5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原位测试应符合：</w:t>
      </w:r>
    </w:p>
    <w:p>
      <w:pPr>
        <w:pStyle w:val="47"/>
        <w:keepLines w:val="0"/>
        <w:pageBreakBefore w:val="0"/>
        <w:numPr>
          <w:ilvl w:val="0"/>
          <w:numId w:val="6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标准贯入试验</w:t>
      </w:r>
    </w:p>
    <w:p>
      <w:pPr>
        <w:keepLines w:val="0"/>
        <w:pageBreakBefore w:val="0"/>
        <w:numPr>
          <w:ilvl w:val="0"/>
          <w:numId w:val="6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标贯间距：竖向间距按地层特点和土的均匀程度确定。</w:t>
      </w:r>
    </w:p>
    <w:p>
      <w:pPr>
        <w:keepLines w:val="0"/>
        <w:pageBreakBefore w:val="0"/>
        <w:numPr>
          <w:ilvl w:val="0"/>
          <w:numId w:val="6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根据标贯结果评价土的物理力学状态。</w:t>
      </w:r>
    </w:p>
    <w:p>
      <w:pPr>
        <w:pStyle w:val="47"/>
        <w:keepLines w:val="0"/>
        <w:pageBreakBefore w:val="0"/>
        <w:numPr>
          <w:ilvl w:val="0"/>
          <w:numId w:val="6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静力触探试验</w:t>
      </w:r>
    </w:p>
    <w:p>
      <w:pPr>
        <w:keepLines w:val="0"/>
        <w:pageBreakBefore w:val="0"/>
        <w:numPr>
          <w:ilvl w:val="0"/>
          <w:numId w:val="6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勘察范围内若有软弱土层，应进行带孔隙水压力量测的双桥静力触探试验。</w:t>
      </w:r>
    </w:p>
    <w:p>
      <w:pPr>
        <w:keepLines w:val="0"/>
        <w:pageBreakBefore w:val="0"/>
        <w:numPr>
          <w:ilvl w:val="0"/>
          <w:numId w:val="6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估算土的强度、压缩性及承载力。</w:t>
      </w:r>
    </w:p>
    <w:p>
      <w:pPr>
        <w:keepLines w:val="0"/>
        <w:pageBreakBefore w:val="0"/>
        <w:numPr>
          <w:ilvl w:val="0"/>
          <w:numId w:val="6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根据孔压消散曲线估算水平向固结系数。</w:t>
      </w:r>
    </w:p>
    <w:p>
      <w:pPr>
        <w:pStyle w:val="47"/>
        <w:keepLines w:val="0"/>
        <w:pageBreakBefore w:val="0"/>
        <w:numPr>
          <w:ilvl w:val="0"/>
          <w:numId w:val="6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动力触探试验</w:t>
      </w:r>
    </w:p>
    <w:p>
      <w:pPr>
        <w:keepLines w:val="0"/>
        <w:pageBreakBefore w:val="0"/>
        <w:numPr>
          <w:ilvl w:val="0"/>
          <w:numId w:val="6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应对素填土或碎石土等粗颗粒土进行动力触探试验。</w:t>
      </w:r>
    </w:p>
    <w:p>
      <w:pPr>
        <w:keepLines w:val="0"/>
        <w:pageBreakBefore w:val="0"/>
        <w:numPr>
          <w:ilvl w:val="0"/>
          <w:numId w:val="6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根据土的颗粒级配选用动力触探试验的类型。</w:t>
      </w:r>
    </w:p>
    <w:p>
      <w:pPr>
        <w:keepLines w:val="0"/>
        <w:pageBreakBefore w:val="0"/>
        <w:numPr>
          <w:ilvl w:val="0"/>
          <w:numId w:val="6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根据动力触探击数评价土的物理力学状态。</w:t>
      </w:r>
    </w:p>
    <w:p>
      <w:pPr>
        <w:pStyle w:val="47"/>
        <w:keepLines w:val="0"/>
        <w:pageBreakBefore w:val="0"/>
        <w:numPr>
          <w:ilvl w:val="0"/>
          <w:numId w:val="6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其他原位试验</w:t>
      </w:r>
    </w:p>
    <w:p>
      <w:pPr>
        <w:pStyle w:val="47"/>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应符合《岩土工程勘察规范》（2009年版）GB50021的相关规定。</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2" w:name="_Toc17114"/>
      <w:r>
        <w:rPr>
          <w:rFonts w:hint="eastAsia" w:ascii="宋体" w:hAnsi="宋体" w:eastAsia="宋体" w:cs="宋体"/>
          <w:sz w:val="21"/>
          <w:szCs w:val="21"/>
          <w:highlight w:val="none"/>
        </w:rPr>
        <w:t>专项勘察</w:t>
      </w:r>
      <w:bookmarkEnd w:id="32"/>
    </w:p>
    <w:p>
      <w:pPr>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u w:val="single"/>
        </w:rPr>
        <w:t>本专项勘察应充分结合填方区中的工程地质勘察，防止专项勘察重复布置勘察工作量。</w:t>
      </w:r>
    </w:p>
    <w:p>
      <w:pPr>
        <w:keepLines w:val="0"/>
        <w:pageBreakBefore w:val="0"/>
        <w:numPr>
          <w:ilvl w:val="0"/>
          <w:numId w:val="6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w:t>
      </w:r>
    </w:p>
    <w:p>
      <w:pPr>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地表素填土的勘察要求参见“4、素填土专项勘察”，其他地表土的专项勘察应符合下列要求：</w:t>
      </w:r>
    </w:p>
    <w:p>
      <w:pPr>
        <w:pStyle w:val="47"/>
        <w:keepLines w:val="0"/>
        <w:pageBreakBefore w:val="0"/>
        <w:numPr>
          <w:ilvl w:val="0"/>
          <w:numId w:val="6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分布于场区表面，含植物根茎和有机杂质，结构松散、稳定性差的土应判定为植物土。</w:t>
      </w:r>
    </w:p>
    <w:p>
      <w:pPr>
        <w:pStyle w:val="47"/>
        <w:keepLines w:val="0"/>
        <w:pageBreakBefore w:val="0"/>
        <w:numPr>
          <w:ilvl w:val="0"/>
          <w:numId w:val="6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地表土勘察应符合以下要求：</w:t>
      </w:r>
    </w:p>
    <w:p>
      <w:pPr>
        <w:keepLines w:val="0"/>
        <w:pageBreakBefore w:val="0"/>
        <w:numPr>
          <w:ilvl w:val="0"/>
          <w:numId w:val="6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应结合钻探进行，必要时宜布置适量的坑探。探坑的深度应穿透地表土层。</w:t>
      </w:r>
    </w:p>
    <w:p>
      <w:pPr>
        <w:keepLines w:val="0"/>
        <w:pageBreakBefore w:val="0"/>
        <w:numPr>
          <w:ilvl w:val="0"/>
          <w:numId w:val="6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查明地表土的分布、厚度、含水量、有机质含量、物质成分、颗粒级配、均匀性和密实性。</w:t>
      </w:r>
    </w:p>
    <w:p>
      <w:pPr>
        <w:keepLines w:val="0"/>
        <w:pageBreakBefore w:val="0"/>
        <w:numPr>
          <w:ilvl w:val="0"/>
          <w:numId w:val="6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对场区有机质含量低于5%的植物土进行重型击实试验，测定其最优含水量和最大干密度。</w:t>
      </w:r>
    </w:p>
    <w:p>
      <w:pPr>
        <w:pStyle w:val="47"/>
        <w:keepLines w:val="0"/>
        <w:pageBreakBefore w:val="0"/>
        <w:numPr>
          <w:ilvl w:val="0"/>
          <w:numId w:val="6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地表土的岩土工程评价应符合下列要求：</w:t>
      </w:r>
    </w:p>
    <w:p>
      <w:pPr>
        <w:keepLines w:val="0"/>
        <w:pageBreakBefore w:val="0"/>
        <w:numPr>
          <w:ilvl w:val="0"/>
          <w:numId w:val="7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对有机质含量低于3%的植物土，阐明其分布、成分，计算其储量，判定其均匀性，评价其压缩性和密实度，分析植物土中有机质降解对工程的影响。</w:t>
      </w:r>
    </w:p>
    <w:p>
      <w:pPr>
        <w:keepLines w:val="0"/>
        <w:pageBreakBefore w:val="0"/>
        <w:numPr>
          <w:ilvl w:val="0"/>
          <w:numId w:val="7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对有机质含量3%～5%的植物土，阐明其分布、成分，计算其储量，并对其作为场内填料的适宜性进行分析和评价。</w:t>
      </w:r>
    </w:p>
    <w:p>
      <w:pPr>
        <w:keepLines w:val="0"/>
        <w:pageBreakBefore w:val="0"/>
        <w:numPr>
          <w:ilvl w:val="0"/>
          <w:numId w:val="7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对有机质含量大于5%的植物土，阐明其分布、成分，计算其储量。</w:t>
      </w:r>
    </w:p>
    <w:p>
      <w:pPr>
        <w:keepLines w:val="0"/>
        <w:pageBreakBefore w:val="0"/>
        <w:numPr>
          <w:ilvl w:val="0"/>
          <w:numId w:val="6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挖方区土石材料性质及土石比勘察</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勘察范围原则上为场地设计标高面以上的挖方区（含挖方边坡区）；当发现岩体强度较高，预计可作为机场道面结构层的原料时，勘探深度可适当增大，具体勘探深度须经</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等相关单位确认后方可加深勘探深度。</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应根据其工程地质特性、填筑特性等进行土石填料分类。</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应充分结合已有勘察资料成果，采取综合的勘察手段和勘察方法，进行土石材料性质及土石比勘察。</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对用于场区填料的各类土、石，应提供其不同压实度（85%～96%）或固体体积率（75%～85%）下的填挖比。</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rPr>
        <w:t>当“五、工程地质勘察”中的土工试验、原位测试等工作取得的土体物理力学性质参数成果可适用于挖方区填料时，则挖方区不再另行开展土工试验与原位测试等项目。若挖方区确有需要开展土工试验和原位测试以查明填料的物理力学性能，则需报请招标人和监理人同意后按“五、工程地质勘察”中的相关要求开展。</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的土石比勘察，应优先采用综合的物探手段，查明岩石面分布情况，并在有代表性地段，有针对性地布置钻孔，验证物探成果。在岩石面起伏大以及存在大量孤石、风化石的地区，应以钻孔方法为主、物探方法为辅查明土、石分界面。</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当土、石分界面在设计标高面以上时，勘探孔深度进入土、石分界面以下1～2m；当土、石分界面在设计标高面以下时，勘探孔深度进入设计标高面以下1～2m。</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勘探点间距不宜大于80m。</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计算各挖方分区的土石方储量及其土石比，并说明采用的计算方法及计算过程。</w:t>
      </w:r>
    </w:p>
    <w:p>
      <w:pPr>
        <w:pStyle w:val="47"/>
        <w:keepLines w:val="0"/>
        <w:pageBreakBefore w:val="0"/>
        <w:numPr>
          <w:ilvl w:val="0"/>
          <w:numId w:val="7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对各类土、石作为场内填料的适宜性进行分析和评价。</w:t>
      </w:r>
    </w:p>
    <w:p>
      <w:pPr>
        <w:keepLines w:val="0"/>
        <w:pageBreakBefore w:val="0"/>
        <w:numPr>
          <w:ilvl w:val="0"/>
          <w:numId w:val="6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w:t>
      </w:r>
    </w:p>
    <w:p>
      <w:pPr>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高填方边坡勘察范围为边坡高度为不小于20m的区域。</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勘察应依据下列图纸和资料：</w:t>
      </w:r>
    </w:p>
    <w:p>
      <w:pPr>
        <w:keepLines w:val="0"/>
        <w:pageBreakBefore w:val="0"/>
        <w:numPr>
          <w:ilvl w:val="0"/>
          <w:numId w:val="7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地势设计资料、场地平整设计标高或土石方工作高。</w:t>
      </w:r>
    </w:p>
    <w:p>
      <w:pPr>
        <w:keepLines w:val="0"/>
        <w:pageBreakBefore w:val="0"/>
        <w:numPr>
          <w:ilvl w:val="0"/>
          <w:numId w:val="7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坡顶填方高度、边坡区范围。</w:t>
      </w:r>
    </w:p>
    <w:p>
      <w:pPr>
        <w:keepLines w:val="0"/>
        <w:pageBreakBefore w:val="0"/>
        <w:numPr>
          <w:ilvl w:val="0"/>
          <w:numId w:val="7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高填方边坡区及周围区域的地形图。</w:t>
      </w:r>
    </w:p>
    <w:p>
      <w:pPr>
        <w:keepLines w:val="0"/>
        <w:pageBreakBefore w:val="0"/>
        <w:numPr>
          <w:ilvl w:val="0"/>
          <w:numId w:val="7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场地及其附近已有的勘察资料、环境条件资料。</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高填方边坡工程勘察应满足下列要求：</w:t>
      </w:r>
    </w:p>
    <w:p>
      <w:pPr>
        <w:keepLines w:val="0"/>
        <w:pageBreakBefore w:val="0"/>
        <w:numPr>
          <w:ilvl w:val="0"/>
          <w:numId w:val="7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查明高填方边坡区及周边区域的地形地貌特征。</w:t>
      </w:r>
    </w:p>
    <w:p>
      <w:pPr>
        <w:keepLines w:val="0"/>
        <w:pageBreakBefore w:val="0"/>
        <w:numPr>
          <w:ilvl w:val="0"/>
          <w:numId w:val="7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查明有无影响边坡稳定的不良地质作用。</w:t>
      </w:r>
    </w:p>
    <w:p>
      <w:pPr>
        <w:keepLines w:val="0"/>
        <w:pageBreakBefore w:val="0"/>
        <w:numPr>
          <w:ilvl w:val="0"/>
          <w:numId w:val="7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查明各土层的类型、分布、厚度、状态和结构特征，特别是相对软弱土层的形态特征、分布规律、坡度。</w:t>
      </w:r>
    </w:p>
    <w:p>
      <w:pPr>
        <w:keepLines w:val="0"/>
        <w:pageBreakBefore w:val="0"/>
        <w:numPr>
          <w:ilvl w:val="0"/>
          <w:numId w:val="7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查明岩土的物理力学性质，重点查明各土层的抗剪强度指标。</w:t>
      </w:r>
    </w:p>
    <w:p>
      <w:pPr>
        <w:keepLines w:val="0"/>
        <w:pageBreakBefore w:val="0"/>
        <w:numPr>
          <w:ilvl w:val="0"/>
          <w:numId w:val="7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查明地下水分布特征及其与地表水的相互关系。</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和勘探点的布置应根据边坡范围、工程地质条件、地下水情况和地形地貌确定。除沿高边坡主要典型断面布置勘探线外，在其两侧可根据边坡高度、地形地貌等情况布置一定数量的勘探线。一般宜在坡顶、坡脚及其中间位置布置勘探点，地基土较软弱时，应在坡脚外增加勘探点以满足稳定性分析。勘探点间距不宜大于50m，在地形突变和预计采取工程措施的地段，应布置勘探点。勘探方法除钻探和静力触探外，可根据土质条件，布置一定数量的探井。</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勘探深度应满足边坡稳定分析和工程治理的需要。所有勘探孔应穿过相对软弱层并穿过最深潜在滑裂面进入稳定地层一定深度。进入稳定地层的深度应满足表</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.1的规定。</w:t>
      </w:r>
    </w:p>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表</w:t>
      </w: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.1  边坡勘察勘探深度进入稳定地层的要求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28"/>
        <w:gridCol w:w="3844"/>
        <w:gridCol w:w="15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31" w:type="dxa"/>
            <w:gridSpan w:val="3"/>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稳定地层情况</w:t>
            </w:r>
          </w:p>
        </w:tc>
        <w:tc>
          <w:tcPr>
            <w:tcW w:w="2969" w:type="dxa"/>
            <w:gridSpan w:val="2"/>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勘探孔进入稳定地层深度（m）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软硬等级</w:t>
            </w:r>
          </w:p>
        </w:tc>
        <w:tc>
          <w:tcPr>
            <w:tcW w:w="928" w:type="dxa"/>
            <w:noWrap w:val="0"/>
            <w:vAlign w:val="center"/>
          </w:tcPr>
          <w:p>
            <w:pPr>
              <w:keepLines w:val="0"/>
              <w:pageBreakBefore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岩土类别</w:t>
            </w:r>
          </w:p>
        </w:tc>
        <w:tc>
          <w:tcPr>
            <w:tcW w:w="3844"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代表性土石名称</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控制性勘探孔</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一般勘探孔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Ⅱ</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普通土</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稍密或松散的碎石土（不包括块石或漂石）、密实的砂土和粉土、可塑的粘性土</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5.0～10.0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Ⅲ</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硬  土</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中密的碎石土、硬塑粘性土、风化成土块的岩石</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3.0～5.0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Ⅳ</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软  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块石或漂石碎石土、泥岩、泥质砂岩、弱胶结砾岩，中风化～强风化的坚硬岩或较硬岩</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Ⅴ</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次硬岩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砂岩、硅质页岩、微风化～中等风化的灰岩、玄武岩、花岗岩、正长岩</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Ⅵ</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坚硬岩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未风化～微风化的玄武岩、石灰岩、白云岩、大理岩、石英岩、闪长岩、花岗岩、正长岩、硅质砾岩等</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bl>
    <w:p>
      <w:pPr>
        <w:keepLines w:val="0"/>
        <w:pageBreakBefore w:val="0"/>
        <w:kinsoku/>
        <w:wordWrap/>
        <w:overflowPunct/>
        <w:topLinePunct w:val="0"/>
        <w:autoSpaceDE/>
        <w:autoSpaceDN/>
        <w:bidi w:val="0"/>
        <w:adjustRightInd/>
        <w:spacing w:line="360" w:lineRule="auto"/>
        <w:ind w:left="-210" w:leftChars="-100"/>
        <w:textAlignment w:val="auto"/>
        <w:rPr>
          <w:rFonts w:hint="eastAsia" w:ascii="宋体" w:hAnsi="宋体" w:eastAsia="宋体" w:cs="宋体"/>
          <w:i/>
          <w:iCs/>
          <w:color w:val="000000"/>
          <w:sz w:val="21"/>
          <w:szCs w:val="21"/>
          <w:highlight w:val="none"/>
        </w:rPr>
      </w:pPr>
      <w:r>
        <w:rPr>
          <w:rFonts w:hint="eastAsia" w:ascii="宋体" w:hAnsi="宋体" w:eastAsia="宋体" w:cs="宋体"/>
          <w:color w:val="000000"/>
          <w:sz w:val="21"/>
          <w:szCs w:val="21"/>
          <w:highlight w:val="none"/>
        </w:rPr>
        <w:t>注：地形条件不利时取大值、坡高超过50m时取大值。</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在边坡稳定影响深度内，根据土质条件分别进行动力触探试验、静力触探试验和十字板剪切试验；当边坡高度超过20m，顺坡填筑且土质条件复杂（如软弱土、混合土等），宜进行地基土的现场剪切试验。</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地基土的强度试验应根据岩土条件和实际情况确定，应符合以下要求：</w:t>
      </w:r>
    </w:p>
    <w:p>
      <w:pPr>
        <w:keepLines w:val="0"/>
        <w:pageBreakBefore w:val="0"/>
        <w:numPr>
          <w:ilvl w:val="0"/>
          <w:numId w:val="7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进行室内快剪和固结快剪试验；</w:t>
      </w:r>
    </w:p>
    <w:p>
      <w:pPr>
        <w:keepLines w:val="0"/>
        <w:pageBreakBefore w:val="0"/>
        <w:numPr>
          <w:ilvl w:val="0"/>
          <w:numId w:val="7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应有一定数量的三轴剪切试验；</w:t>
      </w:r>
    </w:p>
    <w:p>
      <w:pPr>
        <w:keepLines w:val="0"/>
        <w:pageBreakBefore w:val="0"/>
        <w:numPr>
          <w:ilvl w:val="0"/>
          <w:numId w:val="7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剪切试验的最大竖向压力应不低于高填方边坡填筑体自重应力之和。</w:t>
      </w:r>
    </w:p>
    <w:p>
      <w:pPr>
        <w:keepLines w:val="0"/>
        <w:pageBreakBefore w:val="0"/>
        <w:numPr>
          <w:ilvl w:val="0"/>
          <w:numId w:val="7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应提供天然与饱和状态下土的强度参数建议值。</w:t>
      </w:r>
    </w:p>
    <w:p>
      <w:pPr>
        <w:pStyle w:val="47"/>
        <w:keepLines w:val="0"/>
        <w:pageBreakBefore w:val="0"/>
        <w:numPr>
          <w:ilvl w:val="0"/>
          <w:numId w:val="7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选取有代表性的分析断面，根据试验测试成果确定强度指标，建立合理正确的计算模型，选取若干综合坡比进行边坡稳定性计算，并对高填方边坡稳定性进行综合评价，提供建议的坡比。</w:t>
      </w:r>
    </w:p>
    <w:p>
      <w:pPr>
        <w:keepLines w:val="0"/>
        <w:pageBreakBefore w:val="0"/>
        <w:numPr>
          <w:ilvl w:val="0"/>
          <w:numId w:val="6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素填土专项勘察</w:t>
      </w:r>
    </w:p>
    <w:p>
      <w:pPr>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拟建场区范围内的素填土勘察，应符合下列要求：</w:t>
      </w:r>
    </w:p>
    <w:p>
      <w:pPr>
        <w:pStyle w:val="47"/>
        <w:keepLines w:val="0"/>
        <w:pageBreakBefore w:val="0"/>
        <w:numPr>
          <w:ilvl w:val="0"/>
          <w:numId w:val="7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查明素填土的粒径、含水量、分布、厚度等。</w:t>
      </w:r>
    </w:p>
    <w:p>
      <w:pPr>
        <w:pStyle w:val="47"/>
        <w:keepLines w:val="0"/>
        <w:pageBreakBefore w:val="0"/>
        <w:numPr>
          <w:ilvl w:val="0"/>
          <w:numId w:val="7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应根据素填土的类别，采用动力触探、标准贯入试验等查明其密实程度与均匀性。</w:t>
      </w:r>
    </w:p>
    <w:p>
      <w:pPr>
        <w:pStyle w:val="47"/>
        <w:keepLines w:val="0"/>
        <w:pageBreakBefore w:val="0"/>
        <w:numPr>
          <w:ilvl w:val="0"/>
          <w:numId w:val="7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勘探点（线）应充分利用“</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、工程地质勘察”中的勘探点，可根据素填土的分布范围及厚度等情况再布置适量的勘探点，勘探点深度应穿透素填土层。</w:t>
      </w:r>
    </w:p>
    <w:p>
      <w:pPr>
        <w:keepLines w:val="0"/>
        <w:pageBreakBefore w:val="0"/>
        <w:numPr>
          <w:ilvl w:val="0"/>
          <w:numId w:val="6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岩溶专项勘察</w:t>
      </w:r>
    </w:p>
    <w:p>
      <w:pPr>
        <w:pStyle w:val="47"/>
        <w:keepLines w:val="0"/>
        <w:pageBreakBefore w:val="0"/>
        <w:numPr>
          <w:ilvl w:val="0"/>
          <w:numId w:val="7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u w:val="single"/>
          <w:lang w:eastAsia="zh-CN"/>
        </w:rPr>
        <w:t>当场地为岩溶发育场地时，则进行此项专项勘察，否则不开展此专项勘察工作</w:t>
      </w:r>
      <w:r>
        <w:rPr>
          <w:rFonts w:hint="eastAsia" w:ascii="宋体" w:hAnsi="宋体" w:eastAsia="宋体" w:cs="宋体"/>
          <w:color w:val="000000"/>
          <w:sz w:val="21"/>
          <w:szCs w:val="21"/>
          <w:highlight w:val="none"/>
          <w:lang w:eastAsia="zh-CN"/>
        </w:rPr>
        <w:t>。</w:t>
      </w:r>
    </w:p>
    <w:p>
      <w:pPr>
        <w:pStyle w:val="47"/>
        <w:keepLines w:val="0"/>
        <w:pageBreakBefore w:val="0"/>
        <w:numPr>
          <w:ilvl w:val="0"/>
          <w:numId w:val="7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岩溶勘察包括地表岩溶勘察和地下岩溶勘察。</w:t>
      </w:r>
    </w:p>
    <w:p>
      <w:pPr>
        <w:pStyle w:val="47"/>
        <w:keepLines w:val="0"/>
        <w:pageBreakBefore w:val="0"/>
        <w:numPr>
          <w:ilvl w:val="0"/>
          <w:numId w:val="7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地表岩溶勘察应符合下列要求：</w:t>
      </w:r>
    </w:p>
    <w:p>
      <w:pPr>
        <w:pStyle w:val="47"/>
        <w:keepLines w:val="0"/>
        <w:pageBreakBefore w:val="0"/>
        <w:numPr>
          <w:ilvl w:val="0"/>
          <w:numId w:val="0"/>
        </w:numPr>
        <w:kinsoku/>
        <w:wordWrap/>
        <w:overflowPunct/>
        <w:topLinePunct w:val="0"/>
        <w:autoSpaceDE/>
        <w:autoSpaceDN/>
        <w:bidi w:val="0"/>
        <w:adjustRightInd/>
        <w:spacing w:line="360" w:lineRule="auto"/>
        <w:ind w:leftChars="200" w:firstLine="630" w:firstLineChars="3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查明工程范围及有影响地段的地表岩溶的形态和分布，包括洼地、漏斗、塌陷与落水洞等的形态、形状、大小、深度、分布特征及分布规律，分析地表岩溶的工程影响，并对岩溶的治理提出建议。</w:t>
      </w:r>
    </w:p>
    <w:p>
      <w:pPr>
        <w:pStyle w:val="47"/>
        <w:keepLines w:val="0"/>
        <w:pageBreakBefore w:val="0"/>
        <w:numPr>
          <w:ilvl w:val="0"/>
          <w:numId w:val="7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地下的岩溶勘察应符合下列要求</w:t>
      </w:r>
      <w:r>
        <w:rPr>
          <w:rFonts w:hint="eastAsia" w:ascii="宋体" w:hAnsi="宋体" w:eastAsia="宋体" w:cs="宋体"/>
          <w:color w:val="000000"/>
          <w:sz w:val="21"/>
          <w:szCs w:val="21"/>
          <w:highlight w:val="none"/>
          <w:lang w:eastAsia="zh-CN"/>
        </w:rPr>
        <w:t>：</w:t>
      </w:r>
    </w:p>
    <w:p>
      <w:pPr>
        <w:keepLines w:val="0"/>
        <w:pageBreakBefore w:val="0"/>
        <w:numPr>
          <w:ilvl w:val="0"/>
          <w:numId w:val="7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范围内填方区（包括填挖过渡段）溶洞和土洞的下列条件，定量分析溶洞和土洞的稳定性，并对岩溶的治理提出建议：</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①洞体形态及埋藏条件：埋藏深度、覆盖层厚度、洞体直径（短轴）、洞体形状、洞体分布特征。</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②顶板与覆盖层状况：顶板与覆盖层岩性与性状、顶板完整情况、埋藏深度与洞径比值、顶板性状。</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③充填情况：充填物成分、性质、密实程度、水流冲蚀稳定性，充填量情况等。</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④地下水特征。</w:t>
      </w:r>
    </w:p>
    <w:p>
      <w:pPr>
        <w:keepLines w:val="0"/>
        <w:pageBreakBefore w:val="0"/>
        <w:numPr>
          <w:ilvl w:val="0"/>
          <w:numId w:val="78"/>
        </w:numPr>
        <w:kinsoku/>
        <w:wordWrap/>
        <w:overflowPunct/>
        <w:topLinePunct w:val="0"/>
        <w:autoSpaceDE/>
        <w:autoSpaceDN/>
        <w:bidi w:val="0"/>
        <w:adjustRightInd/>
        <w:spacing w:line="360" w:lineRule="auto"/>
        <w:ind w:leftChars="20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本</w:t>
      </w:r>
      <w:r>
        <w:rPr>
          <w:rFonts w:hint="eastAsia" w:ascii="宋体" w:hAnsi="宋体" w:eastAsia="宋体" w:cs="宋体"/>
          <w:b/>
          <w:bCs/>
          <w:color w:val="000000"/>
          <w:sz w:val="21"/>
          <w:szCs w:val="21"/>
          <w:highlight w:val="none"/>
          <w:u w:val="single"/>
          <w:lang w:eastAsia="zh-CN"/>
        </w:rPr>
        <w:t>包组</w:t>
      </w:r>
      <w:r>
        <w:rPr>
          <w:rFonts w:hint="eastAsia" w:ascii="宋体" w:hAnsi="宋体" w:eastAsia="宋体" w:cs="宋体"/>
          <w:b/>
          <w:bCs/>
          <w:color w:val="000000"/>
          <w:sz w:val="21"/>
          <w:szCs w:val="21"/>
          <w:highlight w:val="none"/>
          <w:u w:val="single"/>
        </w:rPr>
        <w:t>勘察范围内挖方区的地下岩溶，暂不开展勘察工作，在场地平整至初平标高后，再另行实施勘察，不包含在本次勘察范围内。</w:t>
      </w:r>
    </w:p>
    <w:p>
      <w:pPr>
        <w:pStyle w:val="47"/>
        <w:keepLines w:val="0"/>
        <w:pageBreakBefore w:val="0"/>
        <w:numPr>
          <w:ilvl w:val="0"/>
          <w:numId w:val="77"/>
        </w:numPr>
        <w:kinsoku/>
        <w:wordWrap/>
        <w:overflowPunct/>
        <w:topLinePunct w:val="0"/>
        <w:autoSpaceDE/>
        <w:autoSpaceDN/>
        <w:bidi w:val="0"/>
        <w:adjustRightInd/>
        <w:spacing w:line="360" w:lineRule="auto"/>
        <w:ind w:left="0" w:firstLine="56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岩溶勘察以工程地质测绘与调查、物探为主，结合钻探等手段进行勘察，应先进行工程地质调查和综合物探，对调查和物探发现的异常地段，选择有代表性的部位布置验证钻孔</w:t>
      </w:r>
      <w:r>
        <w:rPr>
          <w:rFonts w:hint="eastAsia" w:ascii="宋体" w:hAnsi="宋体" w:eastAsia="宋体" w:cs="宋体"/>
          <w:b/>
          <w:bCs/>
          <w:color w:val="000000"/>
          <w:sz w:val="21"/>
          <w:szCs w:val="21"/>
          <w:highlight w:val="none"/>
          <w:u w:val="single"/>
          <w:lang w:eastAsia="zh-CN"/>
        </w:rPr>
        <w:t>。</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3" w:name="_Toc16624"/>
      <w:r>
        <w:rPr>
          <w:rFonts w:hint="eastAsia" w:ascii="宋体" w:hAnsi="宋体" w:eastAsia="宋体" w:cs="宋体"/>
          <w:sz w:val="21"/>
          <w:szCs w:val="21"/>
          <w:highlight w:val="none"/>
        </w:rPr>
        <w:t>应提交的勘察资料和成果</w:t>
      </w:r>
      <w:bookmarkEnd w:id="33"/>
    </w:p>
    <w:p>
      <w:pPr>
        <w:keepLines w:val="0"/>
        <w:pageBreakBefore w:val="0"/>
        <w:numPr>
          <w:ilvl w:val="0"/>
          <w:numId w:val="7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的勘察报告应包含下列内容：</w:t>
      </w:r>
    </w:p>
    <w:p>
      <w:pPr>
        <w:pStyle w:val="47"/>
        <w:keepLines w:val="0"/>
        <w:pageBreakBefore w:val="0"/>
        <w:numPr>
          <w:ilvl w:val="0"/>
          <w:numId w:val="8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前言</w:t>
      </w:r>
    </w:p>
    <w:p>
      <w:pPr>
        <w:keepLines w:val="0"/>
        <w:pageBreakBefore w:val="0"/>
        <w:numPr>
          <w:ilvl w:val="0"/>
          <w:numId w:val="8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勘察目的、依据、任务和要求；</w:t>
      </w:r>
    </w:p>
    <w:p>
      <w:pPr>
        <w:keepLines w:val="0"/>
        <w:pageBreakBefore w:val="0"/>
        <w:numPr>
          <w:ilvl w:val="0"/>
          <w:numId w:val="8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勘察方法、手段、仪器设备；</w:t>
      </w:r>
    </w:p>
    <w:p>
      <w:pPr>
        <w:keepLines w:val="0"/>
        <w:pageBreakBefore w:val="0"/>
        <w:numPr>
          <w:ilvl w:val="0"/>
          <w:numId w:val="8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取得的勘察成果；</w:t>
      </w:r>
    </w:p>
    <w:p>
      <w:pPr>
        <w:keepLines w:val="0"/>
        <w:pageBreakBefore w:val="0"/>
        <w:numPr>
          <w:ilvl w:val="0"/>
          <w:numId w:val="8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勘察工作情况和完成的主要工作量。</w:t>
      </w:r>
    </w:p>
    <w:p>
      <w:pPr>
        <w:pStyle w:val="47"/>
        <w:keepLines w:val="0"/>
        <w:pageBreakBefore w:val="0"/>
        <w:numPr>
          <w:ilvl w:val="0"/>
          <w:numId w:val="8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机场工程地质条件和评价</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场地工程地质分区；</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场地水文地质条件；</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各主要持力层工程地质评价；</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场地与地基稳定性分析与评价；</w:t>
      </w:r>
    </w:p>
    <w:p>
      <w:pPr>
        <w:keepLines w:val="0"/>
        <w:pageBreakBefore w:val="0"/>
        <w:numPr>
          <w:ilvl w:val="0"/>
          <w:numId w:val="8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机场环境工程地质问题预测。</w:t>
      </w:r>
    </w:p>
    <w:p>
      <w:pPr>
        <w:pStyle w:val="47"/>
        <w:keepLines w:val="0"/>
        <w:pageBreakBefore w:val="0"/>
        <w:numPr>
          <w:ilvl w:val="0"/>
          <w:numId w:val="8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结论和建议</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场址主要地质构造、地形地貌特征；</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基本岩土参数的分析与选用；</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岩土工程问题处理的建议；</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场地环境工程地质条件与机场建设的相互关系和影响；</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场地工程地质条件对建设机场适宜性影响的评价；</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可利用的建筑材料情况；</w:t>
      </w:r>
    </w:p>
    <w:p>
      <w:pPr>
        <w:keepLines w:val="0"/>
        <w:pageBreakBefore w:val="0"/>
        <w:numPr>
          <w:ilvl w:val="0"/>
          <w:numId w:val="83"/>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对后续勘察工作的建议。</w:t>
      </w:r>
    </w:p>
    <w:p>
      <w:pPr>
        <w:pStyle w:val="47"/>
        <w:keepLines w:val="0"/>
        <w:pageBreakBefore w:val="0"/>
        <w:numPr>
          <w:ilvl w:val="0"/>
          <w:numId w:val="80"/>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应附下列资料：</w:t>
      </w:r>
    </w:p>
    <w:p>
      <w:pPr>
        <w:keepLines w:val="0"/>
        <w:pageBreakBefore w:val="0"/>
        <w:numPr>
          <w:ilvl w:val="0"/>
          <w:numId w:val="8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附图，宜包含下列图件：</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①勘探点平面布置图；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②综合工程地质图；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③工程地质分区图；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④钻孔柱状图；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⑤工程地质剖面图；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⑥软土层顶埋深图、层底埋深图以及等厚度线图；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⑦砂土、粉土按液化等级划分的分区图以及在液化区域内砂土、粉土的层顶埋深图、层底埋深图以及等厚度线图；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⑧风化岩和残积土的层顶埋深图、层底埋深图以及等厚度线图；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⑨其他查明的不良地质作用与特殊性岩土（如：素填土、地表土等）的分布范围及等厚度线图等；</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⑩勘探点主要数据一览表；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⑪其他需要的图表。</w:t>
      </w:r>
    </w:p>
    <w:p>
      <w:pPr>
        <w:keepLines w:val="0"/>
        <w:pageBreakBefore w:val="0"/>
        <w:numPr>
          <w:ilvl w:val="0"/>
          <w:numId w:val="8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试验、测试成果资料，应包括下列资料：</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①岩土试验指标综合成果表；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②原位测试成果表；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③室内试验成果表。</w:t>
      </w:r>
    </w:p>
    <w:p>
      <w:pPr>
        <w:keepLines w:val="0"/>
        <w:pageBreakBefore w:val="0"/>
        <w:numPr>
          <w:ilvl w:val="0"/>
          <w:numId w:val="8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三维地质BIM建模，模型深度和精细度应能满足后续相关工作的需求。</w:t>
      </w:r>
    </w:p>
    <w:p>
      <w:pPr>
        <w:keepLines w:val="0"/>
        <w:pageBreakBefore w:val="0"/>
        <w:numPr>
          <w:ilvl w:val="0"/>
          <w:numId w:val="8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其他专题勘察报告资料，应单独成册。</w:t>
      </w:r>
    </w:p>
    <w:p>
      <w:pPr>
        <w:keepLines w:val="0"/>
        <w:pageBreakBefore w:val="0"/>
        <w:numPr>
          <w:ilvl w:val="0"/>
          <w:numId w:val="7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对以上勘察测量成果应提供可编辑的电子版文件（.dwg、.doc、.xls等格式）。</w:t>
      </w:r>
    </w:p>
    <w:p>
      <w:pPr>
        <w:pStyle w:val="3"/>
        <w:keepLines w:val="0"/>
        <w:pageBreakBefore w:val="0"/>
        <w:numPr>
          <w:ilvl w:val="0"/>
          <w:numId w:val="5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4" w:name="_Toc24205"/>
      <w:r>
        <w:rPr>
          <w:rFonts w:hint="eastAsia" w:ascii="宋体" w:hAnsi="宋体" w:eastAsia="宋体" w:cs="宋体"/>
          <w:sz w:val="21"/>
          <w:szCs w:val="21"/>
          <w:highlight w:val="none"/>
        </w:rPr>
        <w:t>其他</w:t>
      </w:r>
      <w:bookmarkEnd w:id="34"/>
    </w:p>
    <w:p>
      <w:pPr>
        <w:keepLines w:val="0"/>
        <w:pageBreakBefore w:val="0"/>
        <w:numPr>
          <w:ilvl w:val="0"/>
          <w:numId w:val="8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勘察过程中应做好对场内及周边现有设施的保护（特别是场内埋设的管线、道路等）。</w:t>
      </w:r>
    </w:p>
    <w:p>
      <w:pPr>
        <w:keepLines w:val="0"/>
        <w:pageBreakBefore w:val="0"/>
        <w:numPr>
          <w:ilvl w:val="0"/>
          <w:numId w:val="8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对本勘察技术要求未详细规定或未列入的内容，尚应执行《民用机场勘测规范》MH/T5025、《岩土工程勘察规范》（2009年版）GB50021及现行有关技术规范、标准的规定。</w:t>
      </w:r>
    </w:p>
    <w:p>
      <w:pPr>
        <w:spacing w:line="360" w:lineRule="auto"/>
        <w:ind w:firstLine="442" w:firstLineChars="200"/>
        <w:jc w:val="center"/>
        <w:rPr>
          <w:rFonts w:hint="eastAsia" w:ascii="宋体" w:hAnsi="宋体" w:eastAsia="宋体" w:cs="宋体"/>
          <w:b/>
          <w:bCs/>
          <w:color w:val="auto"/>
          <w:sz w:val="22"/>
          <w:szCs w:val="22"/>
          <w:highlight w:val="none"/>
          <w:lang w:val="en-US" w:eastAsia="zh-CN"/>
        </w:rPr>
      </w:pPr>
    </w:p>
    <w:p>
      <w:pPr>
        <w:spacing w:line="360" w:lineRule="auto"/>
        <w:ind w:firstLine="442" w:firstLineChars="20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包组三：工作区勘察服务</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5" w:name="_Toc27914"/>
      <w:r>
        <w:rPr>
          <w:rFonts w:hint="eastAsia" w:ascii="宋体" w:hAnsi="宋体" w:eastAsia="宋体" w:cs="宋体"/>
          <w:sz w:val="21"/>
          <w:szCs w:val="21"/>
          <w:highlight w:val="none"/>
          <w:lang w:eastAsia="zh-CN"/>
        </w:rPr>
        <w:t>服务内容</w:t>
      </w:r>
      <w:bookmarkEnd w:id="35"/>
    </w:p>
    <w:p>
      <w:pPr>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本包组的服务内容为珠三角枢纽（广州新）机场工作区范围的场地平整勘察，应充分利用该工程已有的勘察资料，针对场区存在的岩土工程问题，采取合适的勘察方法和手段进一步查明。本包组中标人应接受本项目包组一中标人统筹协调，配合将本包组的勘察和研究成果提交汇总</w:t>
      </w:r>
      <w:r>
        <w:rPr>
          <w:rFonts w:hint="eastAsia" w:ascii="宋体" w:hAnsi="宋体" w:eastAsia="宋体" w:cs="宋体"/>
          <w:color w:val="000000"/>
          <w:sz w:val="21"/>
          <w:szCs w:val="21"/>
          <w:highlight w:val="none"/>
          <w:lang w:eastAsia="zh-CN"/>
        </w:rPr>
        <w:t>。</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6" w:name="_Toc16074"/>
      <w:r>
        <w:rPr>
          <w:rFonts w:hint="eastAsia" w:ascii="宋体" w:hAnsi="宋体" w:eastAsia="宋体" w:cs="宋体"/>
          <w:sz w:val="21"/>
          <w:szCs w:val="21"/>
          <w:highlight w:val="none"/>
        </w:rPr>
        <w:t>勘察说明</w:t>
      </w:r>
      <w:bookmarkEnd w:id="36"/>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的勘察为珠三角枢纽（广州新）机场</w:t>
      </w:r>
      <w:r>
        <w:rPr>
          <w:rFonts w:hint="eastAsia" w:ascii="宋体" w:hAnsi="宋体" w:eastAsia="宋体" w:cs="宋体"/>
          <w:color w:val="000000"/>
          <w:sz w:val="21"/>
          <w:szCs w:val="21"/>
          <w:highlight w:val="none"/>
          <w:lang w:eastAsia="zh-CN"/>
        </w:rPr>
        <w:t>工作区</w:t>
      </w:r>
      <w:r>
        <w:rPr>
          <w:rFonts w:hint="eastAsia" w:ascii="宋体" w:hAnsi="宋体" w:eastAsia="宋体" w:cs="宋体"/>
          <w:color w:val="000000"/>
          <w:sz w:val="21"/>
          <w:szCs w:val="21"/>
          <w:highlight w:val="none"/>
        </w:rPr>
        <w:t>范围的场地平整勘察，应充分利用该工程已有的勘察资料，针对场区存在的岩土工程问题，采取合适的勘察方法和手段进一步查明。</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因目前该项目的工作进度及计划要求，本次勘察范围暂按照目前最新的总平面图、地势设计条件等资料而编制，后续应根据上述资料的变化而更新勘察工作量的布置。</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勘察前，应向</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索要最新的设计资料编制勘察大纲（方案），并经</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认可或评审后方可实施。</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本勘察中的专项勘察应充分结合工程地质勘察，防止重复布置勘察工作量。</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挖方区料源区目前暂只针对地表土、土石材料性质及土石比等布置填料的专项勘察，其他勘察工作在开挖至相应设计标高后进行。</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除挖方区料源区勘察外，填方区需布置工程地质勘察与其他专项勘察。</w:t>
      </w:r>
    </w:p>
    <w:p>
      <w:pPr>
        <w:keepLines w:val="0"/>
        <w:pageBreakBefore w:val="0"/>
        <w:numPr>
          <w:ilvl w:val="0"/>
          <w:numId w:val="8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 w:val="0"/>
          <w:bCs/>
          <w:color w:val="000000"/>
          <w:sz w:val="21"/>
          <w:szCs w:val="21"/>
          <w:highlight w:val="none"/>
          <w:u w:val="none"/>
        </w:rPr>
      </w:pPr>
      <w:r>
        <w:rPr>
          <w:rFonts w:hint="eastAsia" w:ascii="宋体" w:hAnsi="宋体" w:eastAsia="宋体" w:cs="宋体"/>
          <w:color w:val="000000"/>
          <w:sz w:val="21"/>
          <w:szCs w:val="21"/>
          <w:highlight w:val="none"/>
        </w:rPr>
        <w:t>本阶段为场地平整勘察，对航站楼、小型建筑单体、桥梁、场内道路、飞行区下穿通道等建（构）筑物，暂不布置专门的勘察工作，待后续阶段建设条件明确时再开展相应的勘察</w:t>
      </w:r>
      <w:r>
        <w:rPr>
          <w:rFonts w:hint="eastAsia" w:ascii="宋体" w:hAnsi="宋体" w:eastAsia="宋体" w:cs="宋体"/>
          <w:b w:val="0"/>
          <w:bCs/>
          <w:color w:val="000000"/>
          <w:sz w:val="21"/>
          <w:szCs w:val="21"/>
          <w:highlight w:val="none"/>
          <w:u w:val="none"/>
        </w:rPr>
        <w:t>。</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7" w:name="_Toc30804"/>
      <w:r>
        <w:rPr>
          <w:rFonts w:hint="eastAsia" w:ascii="宋体" w:hAnsi="宋体" w:eastAsia="宋体" w:cs="宋体"/>
          <w:sz w:val="21"/>
          <w:szCs w:val="21"/>
          <w:highlight w:val="none"/>
        </w:rPr>
        <w:t>勘察任务</w:t>
      </w:r>
      <w:bookmarkEnd w:id="37"/>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对机场建设的场地适宜性，从区域地质、水文地质、工程地质和环境工程地质条件角度，进行深入分析与评价。</w:t>
      </w:r>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进行机场环境工程地质评价和地质灾害预测，提出不良地质作用的防治和监测措施。</w:t>
      </w:r>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对不良地质体和特殊性岩土做出分析、评价及处理建议。</w:t>
      </w:r>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对场地和地基的地震效应做出评价。</w:t>
      </w:r>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提供场地的岩土工程资料和主要的岩土设计参数。</w:t>
      </w:r>
    </w:p>
    <w:p>
      <w:pPr>
        <w:keepLines w:val="0"/>
        <w:pageBreakBefore w:val="0"/>
        <w:numPr>
          <w:ilvl w:val="0"/>
          <w:numId w:val="8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评价场地稳定性和适宜性，对主要岩土工程问题提出技术解决方案建议。</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8" w:name="_Toc3076"/>
      <w:r>
        <w:rPr>
          <w:rFonts w:hint="eastAsia" w:ascii="宋体" w:hAnsi="宋体" w:eastAsia="宋体" w:cs="宋体"/>
          <w:sz w:val="21"/>
          <w:szCs w:val="21"/>
          <w:highlight w:val="none"/>
        </w:rPr>
        <w:t>勘察范围</w:t>
      </w:r>
      <w:bookmarkEnd w:id="38"/>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范围为</w:t>
      </w:r>
      <w:r>
        <w:rPr>
          <w:rFonts w:hint="eastAsia" w:ascii="宋体" w:hAnsi="宋体" w:eastAsia="宋体" w:cs="宋体"/>
          <w:color w:val="000000"/>
          <w:sz w:val="21"/>
          <w:szCs w:val="21"/>
          <w:highlight w:val="none"/>
          <w:lang w:eastAsia="zh-CN"/>
        </w:rPr>
        <w:t>工作区</w:t>
      </w:r>
      <w:r>
        <w:rPr>
          <w:rFonts w:hint="eastAsia" w:ascii="宋体" w:hAnsi="宋体" w:eastAsia="宋体" w:cs="宋体"/>
          <w:color w:val="000000"/>
          <w:sz w:val="21"/>
          <w:szCs w:val="21"/>
          <w:highlight w:val="none"/>
        </w:rPr>
        <w:t>平整范围区等，并应根据现场建（构）筑物的实际位置调整勘察范围，不得损坏现有建（构）筑物。其中：</w:t>
      </w:r>
    </w:p>
    <w:p>
      <w:pPr>
        <w:keepLines w:val="0"/>
        <w:pageBreakBefore w:val="0"/>
        <w:numPr>
          <w:ilvl w:val="0"/>
          <w:numId w:val="8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挖方区暂只针对地表土、土石材料性质及土石比等布置填料的专项勘察，待其开挖至场地平整标高后再进行相应的勘察工作。</w:t>
      </w:r>
    </w:p>
    <w:p>
      <w:pPr>
        <w:keepLines w:val="0"/>
        <w:pageBreakBefore w:val="0"/>
        <w:numPr>
          <w:ilvl w:val="0"/>
          <w:numId w:val="89"/>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填方区按本技术要求中的“</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、工程地质勘察”与“</w:t>
      </w:r>
      <w:r>
        <w:rPr>
          <w:rFonts w:hint="eastAsia" w:ascii="宋体" w:hAnsi="宋体" w:eastAsia="宋体" w:cs="宋体"/>
          <w:color w:val="000000"/>
          <w:sz w:val="21"/>
          <w:szCs w:val="21"/>
          <w:highlight w:val="none"/>
          <w:lang w:eastAsia="zh-CN"/>
        </w:rPr>
        <w:t>七</w:t>
      </w:r>
      <w:r>
        <w:rPr>
          <w:rFonts w:hint="eastAsia" w:ascii="宋体" w:hAnsi="宋体" w:eastAsia="宋体" w:cs="宋体"/>
          <w:color w:val="000000"/>
          <w:sz w:val="21"/>
          <w:szCs w:val="21"/>
          <w:highlight w:val="none"/>
        </w:rPr>
        <w:t>、专项勘察”布置勘察工作。</w:t>
      </w:r>
    </w:p>
    <w:p>
      <w:pPr>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应予以特别说明的是，随着本项目工作的开展，勘察范围后续可能会发生变化，勘察工作应随时按最新的勘察范围调整。</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39" w:name="_Toc27131"/>
      <w:r>
        <w:rPr>
          <w:rFonts w:hint="eastAsia" w:ascii="宋体" w:hAnsi="宋体" w:eastAsia="宋体" w:cs="宋体"/>
          <w:sz w:val="21"/>
          <w:szCs w:val="21"/>
          <w:highlight w:val="none"/>
        </w:rPr>
        <w:t>工程地质测绘与调查</w:t>
      </w:r>
      <w:bookmarkEnd w:id="39"/>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对地形、地貌、地质条件复杂的场地应进行工程地质测绘，地形、地貌、地质条件简单的场地，可用调查代替。</w:t>
      </w:r>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工程地质测绘与调查的范围应为勘察范围及其周围区域。</w:t>
      </w:r>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工程地质测绘与调查的内容包含：</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调查研究地形、地貌特征，划分地貌单元，分析各地貌单元的形成过程及其与地层、构造、不良地质作用的因果关系。</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查明场地主要地质构造、新构造活动的行迹及其与地震活动的关系。</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查明岩土的年代、成因、性质厚度和分布范围，以及各种特殊性岩土的类别和工程地质特征。</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查明岩体结构类型、风化程度、各类结构面（尤其是软弱结构面）的产状和性质，岩、土接触面和软弱夹层的特性等。</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查明场地土的标准冻结深度等。</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调查洞穴、地面沉降、断裂、场地的地震效应等不良地质作用的形成、分布、形态、规模、发育程度及其对工程建设的影响。</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调查人类活动对场地稳定性的影响，包括大填大挖、人工洞穴、地下采空等。</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边坡区测绘与调查内容包括地形形态和微地貌特征、冲洪积堆积物、坡积物、崩塌堆积物的分布与性状以及边坡区周边的自然坡度、性状与坡面情况。</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调查场地地下水的类型、补给来源、排泄条件、历年最高地下水位，确定水位变化幅度和主要影响因素，并实测地下水位。</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调查场地附近的河流、水系、水源及水的流向、流速、流量、常水位，洪水位及其发生时间、淹没范围。</w:t>
      </w:r>
    </w:p>
    <w:p>
      <w:pPr>
        <w:pStyle w:val="47"/>
        <w:keepLines w:val="0"/>
        <w:pageBreakBefore w:val="0"/>
        <w:numPr>
          <w:ilvl w:val="0"/>
          <w:numId w:val="91"/>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收集气象、水文、植被及建筑材料等资料。</w:t>
      </w:r>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测绘成果资料宜包括综合工程地质图、工程地质分区图以及各种素描图、遥感影像解译资料、照片和文字说明等。工程地质测绘与调查的比例尺可选用1：1000，对工程有重要影响的滑坡、断层、软弱夹层、洞穴等地质单元，可采用扩大比例尺表示。</w:t>
      </w:r>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利用遥感影像资料解译进行工程地质测绘时，应有适量的现场检验地质观测点。野外工作应包括检查解译标志、解译结果和外推结果，并对室内解译难以获得的资料进行野外补充。</w:t>
      </w:r>
    </w:p>
    <w:p>
      <w:pPr>
        <w:keepLines w:val="0"/>
        <w:pageBreakBefore w:val="0"/>
        <w:numPr>
          <w:ilvl w:val="0"/>
          <w:numId w:val="90"/>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地质观测点的布置、密度和定位应满足下列要求：</w:t>
      </w:r>
    </w:p>
    <w:p>
      <w:pPr>
        <w:pStyle w:val="47"/>
        <w:keepLines w:val="0"/>
        <w:pageBreakBefore w:val="0"/>
        <w:numPr>
          <w:ilvl w:val="0"/>
          <w:numId w:val="9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在地质构造线、地层接触线、岩性分界线、标准层位和每个地质单元体应有地质观测点。</w:t>
      </w:r>
    </w:p>
    <w:p>
      <w:pPr>
        <w:pStyle w:val="47"/>
        <w:keepLines w:val="0"/>
        <w:pageBreakBefore w:val="0"/>
        <w:numPr>
          <w:ilvl w:val="0"/>
          <w:numId w:val="9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地质观测点的密度应根据场地的地貌、地质条件、成图比例尺和工程要求等确定，并应具代表性。</w:t>
      </w:r>
    </w:p>
    <w:p>
      <w:pPr>
        <w:pStyle w:val="47"/>
        <w:keepLines w:val="0"/>
        <w:pageBreakBefore w:val="0"/>
        <w:numPr>
          <w:ilvl w:val="0"/>
          <w:numId w:val="9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地质观测点应充分利用天然和已有的人工露头，当露头少时，应根据具体情况布置一定数量的探坑（井）或探槽。</w:t>
      </w:r>
    </w:p>
    <w:p>
      <w:pPr>
        <w:pStyle w:val="47"/>
        <w:keepLines w:val="0"/>
        <w:pageBreakBefore w:val="0"/>
        <w:numPr>
          <w:ilvl w:val="0"/>
          <w:numId w:val="9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地质观测点的定位应根据精度要求选用适当方法；地质构造线、地层接触线、岩性分界线、软弱夹层、地下水露头和不良地质作用等特殊地质观测点，宜用仪器定位。</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0" w:name="_Toc14131"/>
      <w:r>
        <w:rPr>
          <w:rFonts w:hint="eastAsia" w:ascii="宋体" w:hAnsi="宋体" w:eastAsia="宋体" w:cs="宋体"/>
          <w:sz w:val="21"/>
          <w:szCs w:val="21"/>
          <w:highlight w:val="none"/>
        </w:rPr>
        <w:t>工程地质勘察</w:t>
      </w:r>
      <w:bookmarkEnd w:id="40"/>
    </w:p>
    <w:p>
      <w:pPr>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本节技术要求主要应用于填方区工程地质勘察，有关拟建场地填方区的分布范围以招标人确认的为准</w:t>
      </w:r>
      <w:r>
        <w:rPr>
          <w:rFonts w:hint="eastAsia" w:ascii="宋体" w:hAnsi="宋体" w:eastAsia="宋体" w:cs="宋体"/>
          <w:b/>
          <w:color w:val="000000"/>
          <w:szCs w:val="21"/>
          <w:highlight w:val="none"/>
          <w:u w:val="single"/>
        </w:rPr>
        <w:t>。若挖方区需要开展土工试验和原位测试以查明填料物理力学性能，可按本节中相关要求开展</w:t>
      </w:r>
      <w:r>
        <w:rPr>
          <w:rFonts w:hint="eastAsia" w:ascii="宋体" w:hAnsi="宋体" w:eastAsia="宋体" w:cs="宋体"/>
          <w:b/>
          <w:color w:val="000000"/>
          <w:sz w:val="21"/>
          <w:szCs w:val="21"/>
          <w:highlight w:val="none"/>
          <w:u w:val="single"/>
        </w:rPr>
        <w:t>。</w:t>
      </w:r>
    </w:p>
    <w:p>
      <w:pPr>
        <w:keepLines w:val="0"/>
        <w:pageBreakBefore w:val="0"/>
        <w:numPr>
          <w:ilvl w:val="0"/>
          <w:numId w:val="9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工程地质勘察的内容包含：</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查明场地的地形特征、地貌类型。</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查明场地主要地质构造、断层与性质、地震烈度、工程地震特征。</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查明场地环境工程地质概况，进行环境工程地质评价和地质灾害预测，提出防治和监测措施。</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查明场地的岩土类型、成因、时代、分布规律及一般物理力学性质指标。</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查明场地有无特殊性岩土和需进行处理的不良地质作用、地质灾害等岩土工程问题。</w:t>
      </w:r>
    </w:p>
    <w:p>
      <w:pPr>
        <w:pStyle w:val="47"/>
        <w:keepLines w:val="0"/>
        <w:pageBreakBefore w:val="0"/>
        <w:numPr>
          <w:ilvl w:val="0"/>
          <w:numId w:val="9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提供高填方及地基处理设计所需的基本岩土参数</w:t>
      </w:r>
      <w:r>
        <w:rPr>
          <w:rFonts w:hint="eastAsia" w:ascii="宋体" w:hAnsi="宋体" w:eastAsia="宋体" w:cs="宋体"/>
          <w:color w:val="000000"/>
          <w:sz w:val="21"/>
          <w:szCs w:val="21"/>
          <w:highlight w:val="none"/>
          <w:lang w:eastAsia="zh-CN"/>
        </w:rPr>
        <w:t>。</w:t>
      </w:r>
    </w:p>
    <w:p>
      <w:pPr>
        <w:keepLines w:val="0"/>
        <w:pageBreakBefore w:val="0"/>
        <w:numPr>
          <w:ilvl w:val="0"/>
          <w:numId w:val="9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勘探点（线）布置</w:t>
      </w:r>
    </w:p>
    <w:p>
      <w:pPr>
        <w:pStyle w:val="47"/>
        <w:keepLines w:val="0"/>
        <w:pageBreakBefore w:val="0"/>
        <w:numPr>
          <w:ilvl w:val="0"/>
          <w:numId w:val="9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勘探线、勘探点间距可按表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.1确定，局部异常地段应予以适当加密。高填方边坡（填方高度不小于20m）的勘察要求详见“</w:t>
      </w: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、专项勘察”</w:t>
      </w:r>
      <w:r>
        <w:rPr>
          <w:rFonts w:hint="eastAsia" w:ascii="宋体" w:hAnsi="宋体" w:eastAsia="宋体" w:cs="宋体"/>
          <w:color w:val="000000"/>
          <w:sz w:val="21"/>
          <w:szCs w:val="21"/>
          <w:highlight w:val="none"/>
          <w:lang w:eastAsia="zh-CN"/>
        </w:rPr>
        <w:t>。</w:t>
      </w:r>
    </w:p>
    <w:p>
      <w:pPr>
        <w:pStyle w:val="47"/>
        <w:keepLines w:val="0"/>
        <w:pageBreakBefore w:val="0"/>
        <w:numPr>
          <w:ilvl w:val="0"/>
          <w:numId w:val="95"/>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在每个地貌单元和不同地貌单元交接部位，应布置勘探点</w:t>
      </w:r>
      <w:r>
        <w:rPr>
          <w:rFonts w:hint="eastAsia" w:ascii="宋体" w:hAnsi="宋体" w:eastAsia="宋体" w:cs="宋体"/>
          <w:color w:val="000000"/>
          <w:sz w:val="21"/>
          <w:szCs w:val="21"/>
          <w:highlight w:val="none"/>
          <w:lang w:eastAsia="zh-CN"/>
        </w:rPr>
        <w:t>。</w:t>
      </w:r>
    </w:p>
    <w:p>
      <w:pPr>
        <w:keepLines w:val="0"/>
        <w:pageBreakBefore w:val="0"/>
        <w:kinsoku/>
        <w:wordWrap/>
        <w:overflowPunct/>
        <w:topLinePunct w:val="0"/>
        <w:autoSpaceDE/>
        <w:autoSpaceDN/>
        <w:bidi w:val="0"/>
        <w:adjustRightInd/>
        <w:spacing w:line="360" w:lineRule="auto"/>
        <w:ind w:firstLine="482"/>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1</w:t>
      </w:r>
      <w:r>
        <w:rPr>
          <w:rFonts w:hint="eastAsia" w:ascii="宋体" w:hAnsi="宋体" w:eastAsia="宋体" w:cs="宋体"/>
          <w:b/>
          <w:color w:val="000000"/>
          <w:sz w:val="21"/>
          <w:szCs w:val="21"/>
          <w:highlight w:val="none"/>
        </w:rPr>
        <w:t xml:space="preserve">  </w:t>
      </w:r>
      <w:r>
        <w:rPr>
          <w:rFonts w:hint="eastAsia" w:ascii="宋体" w:hAnsi="宋体" w:eastAsia="宋体" w:cs="宋体"/>
          <w:b/>
          <w:color w:val="000000"/>
          <w:sz w:val="21"/>
          <w:szCs w:val="21"/>
          <w:highlight w:val="none"/>
          <w:lang w:eastAsia="zh-CN"/>
        </w:rPr>
        <w:t>工作区</w:t>
      </w:r>
      <w:r>
        <w:rPr>
          <w:rFonts w:hint="eastAsia" w:ascii="宋体" w:hAnsi="宋体" w:eastAsia="宋体" w:cs="宋体"/>
          <w:b/>
          <w:color w:val="000000"/>
          <w:sz w:val="21"/>
          <w:szCs w:val="21"/>
          <w:highlight w:val="none"/>
        </w:rPr>
        <w:t>平整范围区勘探线、勘探点间距</w:t>
      </w:r>
    </w:p>
    <w:tbl>
      <w:tblPr>
        <w:tblStyle w:val="25"/>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696"/>
        <w:gridCol w:w="4696"/>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勘探线间距（m）</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勘探点间距（m）</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r>
    </w:tbl>
    <w:p>
      <w:pPr>
        <w:keepLines w:val="0"/>
        <w:pageBreakBefore w:val="0"/>
        <w:numPr>
          <w:ilvl w:val="0"/>
          <w:numId w:val="9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勘探深度应符合：</w:t>
      </w:r>
    </w:p>
    <w:p>
      <w:pPr>
        <w:pStyle w:val="47"/>
        <w:keepLines w:val="0"/>
        <w:pageBreakBefore w:val="0"/>
        <w:numPr>
          <w:ilvl w:val="0"/>
          <w:numId w:val="9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钻孔可分控制性钻孔和一般性钻孔。控制性钻孔宜占勘探孔总数的1/3，并且每个地貌单元宜有控制性钻孔。</w:t>
      </w:r>
    </w:p>
    <w:p>
      <w:pPr>
        <w:pStyle w:val="47"/>
        <w:keepLines w:val="0"/>
        <w:pageBreakBefore w:val="0"/>
        <w:numPr>
          <w:ilvl w:val="0"/>
          <w:numId w:val="9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一般条件下，钻孔深度按表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确定。</w:t>
      </w:r>
    </w:p>
    <w:p>
      <w:pPr>
        <w:pStyle w:val="47"/>
        <w:keepLines w:val="0"/>
        <w:pageBreakBefore w:val="0"/>
        <w:kinsoku/>
        <w:wordWrap/>
        <w:overflowPunct/>
        <w:topLinePunct w:val="0"/>
        <w:autoSpaceDE/>
        <w:autoSpaceDN/>
        <w:bidi w:val="0"/>
        <w:adjustRightInd/>
        <w:spacing w:line="360" w:lineRule="auto"/>
        <w:ind w:firstLine="242"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 xml:space="preserve">  勘察钻孔深度</w:t>
      </w:r>
    </w:p>
    <w:tbl>
      <w:tblPr>
        <w:tblStyle w:val="2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5272"/>
        <w:gridCol w:w="324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shd w:val="clear" w:color="auto" w:fill="FFFFFF"/>
          <w:tblCellMar>
            <w:top w:w="0" w:type="dxa"/>
            <w:left w:w="108" w:type="dxa"/>
            <w:bottom w:w="0" w:type="dxa"/>
            <w:right w:w="108" w:type="dxa"/>
          </w:tblCellMar>
        </w:tblPrEx>
        <w:trPr>
          <w:tblHeade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控制性钻孔深度</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一般性钻孔深度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2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至中微风化基岩内3m；基岩埋藏较深时，至较硬的稳定土层5m且不小于25m</w:t>
            </w:r>
          </w:p>
        </w:tc>
        <w:tc>
          <w:tcPr>
            <w:tcW w:w="3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tabs>
                <w:tab w:val="left" w:pos="0"/>
              </w:tabs>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至中微风化基岩内2m；基岩埋藏较深时，不小于20m</w:t>
            </w:r>
          </w:p>
        </w:tc>
      </w:tr>
    </w:tbl>
    <w:p>
      <w:pPr>
        <w:pStyle w:val="47"/>
        <w:keepLines w:val="0"/>
        <w:pageBreakBefore w:val="0"/>
        <w:numPr>
          <w:ilvl w:val="0"/>
          <w:numId w:val="9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查明地质构造的钻孔深度，按实际情况确定。</w:t>
      </w:r>
    </w:p>
    <w:p>
      <w:pPr>
        <w:keepLines w:val="0"/>
        <w:pageBreakBefore w:val="0"/>
        <w:numPr>
          <w:ilvl w:val="0"/>
          <w:numId w:val="9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取样测试应符合：</w:t>
      </w:r>
    </w:p>
    <w:p>
      <w:pPr>
        <w:pStyle w:val="47"/>
        <w:keepLines w:val="0"/>
        <w:pageBreakBefore w:val="0"/>
        <w:numPr>
          <w:ilvl w:val="0"/>
          <w:numId w:val="9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取样的孔、坑在划定的工程地质单元内应均匀布置，其数量应不少于勘探点总数的1/4。</w:t>
      </w:r>
    </w:p>
    <w:p>
      <w:pPr>
        <w:pStyle w:val="47"/>
        <w:keepLines w:val="0"/>
        <w:pageBreakBefore w:val="0"/>
        <w:numPr>
          <w:ilvl w:val="0"/>
          <w:numId w:val="9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钻孔和探坑竖向取土样间距，应按地层特点和岩土的均匀程度确定，每一土层均应取样。</w:t>
      </w:r>
    </w:p>
    <w:p>
      <w:pPr>
        <w:pStyle w:val="47"/>
        <w:keepLines w:val="0"/>
        <w:pageBreakBefore w:val="0"/>
        <w:numPr>
          <w:ilvl w:val="0"/>
          <w:numId w:val="9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室内试验应提供工程分析评价所需的下列参数：</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常规物理性质试验，主要包括颗料级配（应提供级配数据表及级配曲线）、比重、天然含水量、重力密度、液限、塑限等。</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固结试验：提供各土层的压缩系数</w:t>
      </w:r>
      <w:r>
        <w:rPr>
          <w:rFonts w:hint="eastAsia" w:ascii="宋体" w:hAnsi="宋体" w:eastAsia="宋体" w:cs="宋体"/>
          <w:i/>
          <w:color w:val="000000"/>
          <w:sz w:val="21"/>
          <w:szCs w:val="21"/>
          <w:highlight w:val="none"/>
        </w:rPr>
        <w:t>a</w:t>
      </w:r>
      <w:r>
        <w:rPr>
          <w:rFonts w:hint="eastAsia" w:ascii="宋体" w:hAnsi="宋体" w:eastAsia="宋体" w:cs="宋体"/>
          <w:color w:val="000000"/>
          <w:sz w:val="21"/>
          <w:szCs w:val="21"/>
          <w:highlight w:val="none"/>
        </w:rPr>
        <w:t>、压缩模量Es及固结系数</w:t>
      </w:r>
      <w:r>
        <w:rPr>
          <w:rFonts w:hint="eastAsia" w:ascii="宋体" w:hAnsi="宋体" w:eastAsia="宋体" w:cs="宋体"/>
          <w:i/>
          <w:color w:val="000000"/>
          <w:sz w:val="21"/>
          <w:szCs w:val="21"/>
          <w:highlight w:val="none"/>
        </w:rPr>
        <w:t>Cv</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Ch</w:t>
      </w:r>
      <w:r>
        <w:rPr>
          <w:rFonts w:hint="eastAsia" w:ascii="宋体" w:hAnsi="宋体" w:eastAsia="宋体" w:cs="宋体"/>
          <w:color w:val="000000"/>
          <w:sz w:val="21"/>
          <w:szCs w:val="21"/>
          <w:highlight w:val="none"/>
        </w:rPr>
        <w:t>、次固结系数</w:t>
      </w:r>
      <w:r>
        <w:rPr>
          <w:rFonts w:hint="eastAsia" w:ascii="宋体" w:hAnsi="宋体" w:eastAsia="宋体" w:cs="宋体"/>
          <w:i/>
          <w:color w:val="000000"/>
          <w:sz w:val="21"/>
          <w:szCs w:val="21"/>
          <w:highlight w:val="none"/>
        </w:rPr>
        <w:t>Ca</w:t>
      </w:r>
      <w:r>
        <w:rPr>
          <w:rFonts w:hint="eastAsia" w:ascii="宋体" w:hAnsi="宋体" w:eastAsia="宋体" w:cs="宋体"/>
          <w:color w:val="000000"/>
          <w:sz w:val="21"/>
          <w:szCs w:val="21"/>
          <w:highlight w:val="none"/>
        </w:rPr>
        <w:t>、</w:t>
      </w:r>
      <w:r>
        <w:rPr>
          <w:rFonts w:hint="eastAsia" w:ascii="宋体" w:hAnsi="宋体" w:eastAsia="宋体" w:cs="宋体"/>
          <w:i/>
          <w:color w:val="000000"/>
          <w:sz w:val="21"/>
          <w:szCs w:val="21"/>
          <w:highlight w:val="none"/>
        </w:rPr>
        <w:t>e-p</w:t>
      </w:r>
      <w:r>
        <w:rPr>
          <w:rFonts w:hint="eastAsia" w:ascii="宋体" w:hAnsi="宋体" w:eastAsia="宋体" w:cs="宋体"/>
          <w:color w:val="000000"/>
          <w:sz w:val="21"/>
          <w:szCs w:val="21"/>
          <w:highlight w:val="none"/>
        </w:rPr>
        <w:t>曲线。</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高压固结试验：</w:t>
      </w:r>
      <w:r>
        <w:rPr>
          <w:rFonts w:hint="eastAsia" w:ascii="宋体" w:hAnsi="宋体" w:eastAsia="宋体" w:cs="宋体"/>
          <w:i/>
          <w:color w:val="000000"/>
          <w:sz w:val="21"/>
          <w:szCs w:val="21"/>
          <w:highlight w:val="none"/>
        </w:rPr>
        <w:t>e-lgp</w:t>
      </w:r>
      <w:r>
        <w:rPr>
          <w:rFonts w:hint="eastAsia" w:ascii="宋体" w:hAnsi="宋体" w:eastAsia="宋体" w:cs="宋体"/>
          <w:color w:val="000000"/>
          <w:sz w:val="21"/>
          <w:szCs w:val="21"/>
          <w:highlight w:val="none"/>
        </w:rPr>
        <w:t>曲线，提供前期固结压力</w:t>
      </w:r>
      <w:r>
        <w:rPr>
          <w:rFonts w:hint="eastAsia" w:ascii="宋体" w:hAnsi="宋体" w:eastAsia="宋体" w:cs="宋体"/>
          <w:i/>
          <w:color w:val="000000"/>
          <w:sz w:val="21"/>
          <w:szCs w:val="21"/>
          <w:highlight w:val="none"/>
        </w:rPr>
        <w:t>Pc</w:t>
      </w:r>
      <w:r>
        <w:rPr>
          <w:rFonts w:hint="eastAsia" w:ascii="宋体" w:hAnsi="宋体" w:eastAsia="宋体" w:cs="宋体"/>
          <w:color w:val="000000"/>
          <w:sz w:val="21"/>
          <w:szCs w:val="21"/>
          <w:highlight w:val="none"/>
        </w:rPr>
        <w:t>、压缩指数</w:t>
      </w:r>
      <w:r>
        <w:rPr>
          <w:rFonts w:hint="eastAsia" w:ascii="宋体" w:hAnsi="宋体" w:eastAsia="宋体" w:cs="宋体"/>
          <w:i/>
          <w:color w:val="000000"/>
          <w:sz w:val="21"/>
          <w:szCs w:val="21"/>
          <w:highlight w:val="none"/>
        </w:rPr>
        <w:t>Cc</w:t>
      </w:r>
      <w:r>
        <w:rPr>
          <w:rFonts w:hint="eastAsia" w:ascii="宋体" w:hAnsi="宋体" w:eastAsia="宋体" w:cs="宋体"/>
          <w:color w:val="000000"/>
          <w:sz w:val="21"/>
          <w:szCs w:val="21"/>
          <w:highlight w:val="none"/>
        </w:rPr>
        <w:t>、回弹指数</w:t>
      </w:r>
      <w:r>
        <w:rPr>
          <w:rFonts w:hint="eastAsia" w:ascii="宋体" w:hAnsi="宋体" w:eastAsia="宋体" w:cs="宋体"/>
          <w:i/>
          <w:color w:val="000000"/>
          <w:sz w:val="21"/>
          <w:szCs w:val="21"/>
          <w:highlight w:val="none"/>
        </w:rPr>
        <w:t>Cs</w:t>
      </w:r>
      <w:r>
        <w:rPr>
          <w:rFonts w:hint="eastAsia" w:ascii="宋体" w:hAnsi="宋体" w:eastAsia="宋体" w:cs="宋体"/>
          <w:color w:val="000000"/>
          <w:sz w:val="21"/>
          <w:szCs w:val="21"/>
          <w:highlight w:val="none"/>
        </w:rPr>
        <w:t>及超固结比OCR。</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直剪固结快剪试验：提供土层的抗剪强度</w:t>
      </w:r>
      <w:r>
        <w:rPr>
          <w:rFonts w:hint="eastAsia" w:ascii="宋体" w:hAnsi="宋体" w:eastAsia="宋体" w:cs="宋体"/>
          <w:i/>
          <w:color w:val="000000"/>
          <w:sz w:val="21"/>
          <w:szCs w:val="21"/>
          <w:highlight w:val="none"/>
        </w:rPr>
        <w:t>c、φ</w:t>
      </w:r>
      <w:r>
        <w:rPr>
          <w:rFonts w:hint="eastAsia" w:ascii="宋体" w:hAnsi="宋体" w:eastAsia="宋体" w:cs="宋体"/>
          <w:color w:val="000000"/>
          <w:sz w:val="21"/>
          <w:szCs w:val="21"/>
          <w:highlight w:val="none"/>
        </w:rPr>
        <w:t>值。</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三轴剪切试验（固结不排水、不固结不排水）：除提供抗剪强度指标值外，尚应提供孔隙水压力。</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渗透试验：提供土的渗透系数。</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地基土基底摩擦系数试验：提供地基土对挡土墙基底摩擦系数μ。</w:t>
      </w:r>
    </w:p>
    <w:p>
      <w:pPr>
        <w:keepLines w:val="0"/>
        <w:pageBreakBefore w:val="0"/>
        <w:numPr>
          <w:ilvl w:val="0"/>
          <w:numId w:val="9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岩石单轴（天然与饱和状态）抗压强度试验。</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应予以特别说明的是，地基土固结试验最大加压值应不小于上覆荷载值（包含填筑体与道面结构层自重），高压固结试验施加的最大压力应满足绘制完整的</w:t>
      </w:r>
      <w:r>
        <w:rPr>
          <w:rFonts w:hint="eastAsia" w:ascii="宋体" w:hAnsi="宋体" w:eastAsia="宋体" w:cs="宋体"/>
          <w:b/>
          <w:i/>
          <w:color w:val="000000"/>
          <w:sz w:val="21"/>
          <w:szCs w:val="21"/>
          <w:highlight w:val="none"/>
          <w:u w:val="single"/>
        </w:rPr>
        <w:t>e-</w:t>
      </w:r>
      <w:r>
        <w:rPr>
          <w:rFonts w:hint="eastAsia" w:ascii="宋体" w:hAnsi="宋体" w:eastAsia="宋体" w:cs="宋体"/>
          <w:b/>
          <w:color w:val="000000"/>
          <w:sz w:val="21"/>
          <w:szCs w:val="21"/>
          <w:highlight w:val="none"/>
          <w:u w:val="single"/>
        </w:rPr>
        <w:t>lg</w:t>
      </w:r>
      <w:r>
        <w:rPr>
          <w:rFonts w:hint="eastAsia" w:ascii="宋体" w:hAnsi="宋体" w:eastAsia="宋体" w:cs="宋体"/>
          <w:b/>
          <w:i/>
          <w:color w:val="000000"/>
          <w:sz w:val="21"/>
          <w:szCs w:val="21"/>
          <w:highlight w:val="none"/>
          <w:u w:val="single"/>
        </w:rPr>
        <w:t>p</w:t>
      </w:r>
      <w:r>
        <w:rPr>
          <w:rFonts w:hint="eastAsia" w:ascii="宋体" w:hAnsi="宋体" w:eastAsia="宋体" w:cs="宋体"/>
          <w:b/>
          <w:color w:val="000000"/>
          <w:sz w:val="21"/>
          <w:szCs w:val="21"/>
          <w:highlight w:val="none"/>
          <w:u w:val="single"/>
        </w:rPr>
        <w:t>曲线的要求。</w:t>
      </w:r>
    </w:p>
    <w:p>
      <w:pPr>
        <w:keepLines w:val="0"/>
        <w:pageBreakBefore w:val="0"/>
        <w:numPr>
          <w:ilvl w:val="0"/>
          <w:numId w:val="9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原位测试应符合：</w:t>
      </w:r>
    </w:p>
    <w:p>
      <w:pPr>
        <w:pStyle w:val="47"/>
        <w:keepLines w:val="0"/>
        <w:pageBreakBefore w:val="0"/>
        <w:numPr>
          <w:ilvl w:val="0"/>
          <w:numId w:val="9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标准贯入试验</w:t>
      </w:r>
    </w:p>
    <w:p>
      <w:pPr>
        <w:keepLines w:val="0"/>
        <w:pageBreakBefore w:val="0"/>
        <w:numPr>
          <w:ilvl w:val="0"/>
          <w:numId w:val="10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标贯间距：竖向间距按地层特点和土的均匀程度确定。</w:t>
      </w:r>
    </w:p>
    <w:p>
      <w:pPr>
        <w:keepLines w:val="0"/>
        <w:pageBreakBefore w:val="0"/>
        <w:numPr>
          <w:ilvl w:val="0"/>
          <w:numId w:val="10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根据标贯结果评价土的物理力学状态。</w:t>
      </w:r>
    </w:p>
    <w:p>
      <w:pPr>
        <w:pStyle w:val="47"/>
        <w:keepLines w:val="0"/>
        <w:pageBreakBefore w:val="0"/>
        <w:numPr>
          <w:ilvl w:val="0"/>
          <w:numId w:val="9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静力触探试验</w:t>
      </w:r>
    </w:p>
    <w:p>
      <w:pPr>
        <w:keepLines w:val="0"/>
        <w:pageBreakBefore w:val="0"/>
        <w:numPr>
          <w:ilvl w:val="0"/>
          <w:numId w:val="10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勘察范围内若有软弱土层，应进行带孔隙水压力量测的双桥静力触探试验。</w:t>
      </w:r>
    </w:p>
    <w:p>
      <w:pPr>
        <w:keepLines w:val="0"/>
        <w:pageBreakBefore w:val="0"/>
        <w:numPr>
          <w:ilvl w:val="0"/>
          <w:numId w:val="10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估算土的强度、压缩性及承载力。</w:t>
      </w:r>
    </w:p>
    <w:p>
      <w:pPr>
        <w:keepLines w:val="0"/>
        <w:pageBreakBefore w:val="0"/>
        <w:numPr>
          <w:ilvl w:val="0"/>
          <w:numId w:val="10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根据孔压消散曲线估算水平向固结系数。</w:t>
      </w:r>
    </w:p>
    <w:p>
      <w:pPr>
        <w:pStyle w:val="47"/>
        <w:keepLines w:val="0"/>
        <w:pageBreakBefore w:val="0"/>
        <w:numPr>
          <w:ilvl w:val="0"/>
          <w:numId w:val="9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动力触探试验</w:t>
      </w:r>
    </w:p>
    <w:p>
      <w:pPr>
        <w:keepLines w:val="0"/>
        <w:pageBreakBefore w:val="0"/>
        <w:numPr>
          <w:ilvl w:val="0"/>
          <w:numId w:val="10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应对素填土或碎石土等粗颗粒土进行动力触探试验。</w:t>
      </w:r>
    </w:p>
    <w:p>
      <w:pPr>
        <w:keepLines w:val="0"/>
        <w:pageBreakBefore w:val="0"/>
        <w:numPr>
          <w:ilvl w:val="0"/>
          <w:numId w:val="10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根据土的颗粒级配选用动力触探试验的类型。</w:t>
      </w:r>
    </w:p>
    <w:p>
      <w:pPr>
        <w:keepLines w:val="0"/>
        <w:pageBreakBefore w:val="0"/>
        <w:numPr>
          <w:ilvl w:val="0"/>
          <w:numId w:val="102"/>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根据动力触探击数评价土的物理力学状态。</w:t>
      </w:r>
    </w:p>
    <w:p>
      <w:pPr>
        <w:pStyle w:val="47"/>
        <w:keepLines w:val="0"/>
        <w:pageBreakBefore w:val="0"/>
        <w:numPr>
          <w:ilvl w:val="0"/>
          <w:numId w:val="99"/>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其他原位试验</w:t>
      </w:r>
    </w:p>
    <w:p>
      <w:pPr>
        <w:pStyle w:val="47"/>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应符合《岩土工程勘察规范》（2009年版）GB50021的相关规定。</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1" w:name="_Toc17319"/>
      <w:r>
        <w:rPr>
          <w:rFonts w:hint="eastAsia" w:ascii="宋体" w:hAnsi="宋体" w:eastAsia="宋体" w:cs="宋体"/>
          <w:sz w:val="21"/>
          <w:szCs w:val="21"/>
          <w:highlight w:val="none"/>
        </w:rPr>
        <w:t>专项勘察</w:t>
      </w:r>
      <w:bookmarkEnd w:id="41"/>
    </w:p>
    <w:p>
      <w:pPr>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u w:val="single"/>
        </w:rPr>
        <w:t>本专项勘察应充分结合填方区中的工程地质勘察，防止专项勘察重复布置勘察工作量。</w:t>
      </w:r>
    </w:p>
    <w:p>
      <w:pPr>
        <w:keepLines w:val="0"/>
        <w:pageBreakBefore w:val="0"/>
        <w:numPr>
          <w:ilvl w:val="0"/>
          <w:numId w:val="10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w:t>
      </w:r>
    </w:p>
    <w:p>
      <w:pPr>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地表素填土的勘察要求参见“4、素填土专项勘察”，其他地表土的专项勘察应符合下列要求：</w:t>
      </w:r>
    </w:p>
    <w:p>
      <w:pPr>
        <w:pStyle w:val="47"/>
        <w:keepLines w:val="0"/>
        <w:pageBreakBefore w:val="0"/>
        <w:numPr>
          <w:ilvl w:val="0"/>
          <w:numId w:val="10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分布于场区表面，含植物根茎和有机杂质，结构松散、稳定性差的土应判定为植物土。</w:t>
      </w:r>
    </w:p>
    <w:p>
      <w:pPr>
        <w:pStyle w:val="47"/>
        <w:keepLines w:val="0"/>
        <w:pageBreakBefore w:val="0"/>
        <w:numPr>
          <w:ilvl w:val="0"/>
          <w:numId w:val="10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地表土勘察应符合以下要求：</w:t>
      </w:r>
    </w:p>
    <w:p>
      <w:pPr>
        <w:keepLines w:val="0"/>
        <w:pageBreakBefore w:val="0"/>
        <w:numPr>
          <w:ilvl w:val="0"/>
          <w:numId w:val="10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应结合钻探进行，必要时宜布置适量的坑探。探坑的深度应穿透地表土层。</w:t>
      </w:r>
    </w:p>
    <w:p>
      <w:pPr>
        <w:keepLines w:val="0"/>
        <w:pageBreakBefore w:val="0"/>
        <w:numPr>
          <w:ilvl w:val="0"/>
          <w:numId w:val="10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查明地表土的分布、厚度、含水量、有机质含量、物质成分、颗粒级配、均匀性和密实性。</w:t>
      </w:r>
    </w:p>
    <w:p>
      <w:pPr>
        <w:keepLines w:val="0"/>
        <w:pageBreakBefore w:val="0"/>
        <w:numPr>
          <w:ilvl w:val="0"/>
          <w:numId w:val="105"/>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对场区有机质含量低于5%的植物土进行重型击实试验，测定其最优含水量和最大干密度。</w:t>
      </w:r>
    </w:p>
    <w:p>
      <w:pPr>
        <w:pStyle w:val="47"/>
        <w:keepLines w:val="0"/>
        <w:pageBreakBefore w:val="0"/>
        <w:numPr>
          <w:ilvl w:val="0"/>
          <w:numId w:val="104"/>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地表土的岩土工程评价应符合下列要求：</w:t>
      </w:r>
    </w:p>
    <w:p>
      <w:pPr>
        <w:keepLines w:val="0"/>
        <w:pageBreakBefore w:val="0"/>
        <w:numPr>
          <w:ilvl w:val="0"/>
          <w:numId w:val="10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对有机质含量低于3%的植物土，阐明其分布、成分，计算其储量，判定其均匀性，评价其压缩性和密实度，分析植物土中有机质降解对工程的影响。</w:t>
      </w:r>
    </w:p>
    <w:p>
      <w:pPr>
        <w:keepLines w:val="0"/>
        <w:pageBreakBefore w:val="0"/>
        <w:numPr>
          <w:ilvl w:val="0"/>
          <w:numId w:val="10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对有机质含量3%～5%的植物土，阐明其分布、成分，计算其储量，并对其作为场内填料的适宜性进行分析和评价。</w:t>
      </w:r>
    </w:p>
    <w:p>
      <w:pPr>
        <w:keepLines w:val="0"/>
        <w:pageBreakBefore w:val="0"/>
        <w:numPr>
          <w:ilvl w:val="0"/>
          <w:numId w:val="106"/>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对有机质含量大于5%的植物土，阐明其分布、成分，计算其储量。</w:t>
      </w:r>
    </w:p>
    <w:p>
      <w:pPr>
        <w:keepLines w:val="0"/>
        <w:pageBreakBefore w:val="0"/>
        <w:numPr>
          <w:ilvl w:val="0"/>
          <w:numId w:val="10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挖方区土石材料性质及土石比勘察</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勘察范围原则上为场地设计标高面以上的挖方区（含挖方边坡区）；当发现岩体强度较高，预计可作为机场道面结构层的原料时，勘探深度可适当增大，具体勘探深度须经</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等相关单位确认后方可加深勘探深度。</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应根据其工程地质特性、填筑特性等进行土石填料分类。</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应充分结合已有勘察资料成果，采取综合的勘察手段和勘察方法，进行土石材料性质及土石比勘察。</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对用于场区填料的各类土、石，应提供其不同压实度（85%～96%）或固体体积率（75%～85%）下的填挖比。</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rPr>
        <w:t>当“五、工程地质勘察”中的土工试验、原位测试等工作取得的土体物理力学性质参数成果可适用于挖方区填料时，则挖方区不再另行开展土工试验与原位测试等项目。若挖方区确有需要开展土工试验和原位测试以查明填料的物理力学性能，则需报请招标人和监理人同意后按“五、工程地质勘察”中的相关要求开展。</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挖方区的土石比勘察，应优先采用综合的物探手段，查明岩石面分布情况，并在有代表性地段，有针对性地布置钻孔，验证物探成果。在岩石面起伏大以及存在大量孤石、风化石的地区，应以钻孔方法为主、物探方法为辅查明土、石分界面。</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当土、石分界面在设计标高面以上时，勘探孔深度进入土、石分界面以下1～2m；当土、石分界面在设计标高面以下时，勘探孔深度进入设计标高面以下1～2m。</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勘探点间距不宜大于80m。</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计算各挖方分区的土石方储量及其土石比，并说明采用的计算方法及计算过程。</w:t>
      </w:r>
    </w:p>
    <w:p>
      <w:pPr>
        <w:pStyle w:val="47"/>
        <w:keepLines w:val="0"/>
        <w:pageBreakBefore w:val="0"/>
        <w:numPr>
          <w:ilvl w:val="0"/>
          <w:numId w:val="107"/>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对各类土、石作为场内填料的适宜性进行分析和评价。</w:t>
      </w:r>
    </w:p>
    <w:p>
      <w:pPr>
        <w:keepLines w:val="0"/>
        <w:pageBreakBefore w:val="0"/>
        <w:numPr>
          <w:ilvl w:val="0"/>
          <w:numId w:val="10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w:t>
      </w:r>
    </w:p>
    <w:p>
      <w:pPr>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高填方边坡勘察范围为边坡高度为不小于20m的区域。</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勘察应依据下列图纸和资料：</w:t>
      </w:r>
    </w:p>
    <w:p>
      <w:pPr>
        <w:keepLines w:val="0"/>
        <w:pageBreakBefore w:val="0"/>
        <w:numPr>
          <w:ilvl w:val="0"/>
          <w:numId w:val="10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地势设计资料、场地平整设计标高或土石方工作高。</w:t>
      </w:r>
    </w:p>
    <w:p>
      <w:pPr>
        <w:keepLines w:val="0"/>
        <w:pageBreakBefore w:val="0"/>
        <w:numPr>
          <w:ilvl w:val="0"/>
          <w:numId w:val="10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坡顶填方高度、边坡区范围。</w:t>
      </w:r>
    </w:p>
    <w:p>
      <w:pPr>
        <w:keepLines w:val="0"/>
        <w:pageBreakBefore w:val="0"/>
        <w:numPr>
          <w:ilvl w:val="0"/>
          <w:numId w:val="10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高填方边坡区及周围区域的地形图。</w:t>
      </w:r>
    </w:p>
    <w:p>
      <w:pPr>
        <w:keepLines w:val="0"/>
        <w:pageBreakBefore w:val="0"/>
        <w:numPr>
          <w:ilvl w:val="0"/>
          <w:numId w:val="10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场地及其附近已有的勘察资料、环境条件资料。</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高填方边坡工程勘察应满足下列要求：</w:t>
      </w:r>
    </w:p>
    <w:p>
      <w:pPr>
        <w:keepLines w:val="0"/>
        <w:pageBreakBefore w:val="0"/>
        <w:numPr>
          <w:ilvl w:val="0"/>
          <w:numId w:val="11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查明高填方边坡区及周边区域的地形地貌特征。</w:t>
      </w:r>
    </w:p>
    <w:p>
      <w:pPr>
        <w:keepLines w:val="0"/>
        <w:pageBreakBefore w:val="0"/>
        <w:numPr>
          <w:ilvl w:val="0"/>
          <w:numId w:val="11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查明有无影响边坡稳定的不良地质作用。</w:t>
      </w:r>
    </w:p>
    <w:p>
      <w:pPr>
        <w:keepLines w:val="0"/>
        <w:pageBreakBefore w:val="0"/>
        <w:numPr>
          <w:ilvl w:val="0"/>
          <w:numId w:val="11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查明各土层的类型、分布、厚度、状态和结构特征，特别是相对软弱土层的形态特征、分布规律、坡度。</w:t>
      </w:r>
    </w:p>
    <w:p>
      <w:pPr>
        <w:keepLines w:val="0"/>
        <w:pageBreakBefore w:val="0"/>
        <w:numPr>
          <w:ilvl w:val="0"/>
          <w:numId w:val="11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查明岩土的物理力学性质，重点查明各土层的抗剪强度指标。</w:t>
      </w:r>
    </w:p>
    <w:p>
      <w:pPr>
        <w:keepLines w:val="0"/>
        <w:pageBreakBefore w:val="0"/>
        <w:numPr>
          <w:ilvl w:val="0"/>
          <w:numId w:val="11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查明地下水分布特征及其与地表水的相互关系。</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线和勘探点的布置应根据边坡范围、工程地质条件、地下水情况和地形地貌确定。除沿高边坡主要典型断面布置勘探线外，在其两侧可根据边坡高度、地形地貌等情况布置一定数量的勘探线。一般宜在坡顶、坡脚及其中间位置布置勘探点，地基土较软弱时，应在坡脚外增加勘探点以满足稳定性分析。勘探点间距不宜大于50m，在地形突变和预计采取工程措施的地段，应布置勘探点。勘探方法除钻探和静力触探外，可根据土质条件，布置一定数量的探井。</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勘探深度应满足边坡稳定分析和工程治理的需要。所有勘探孔应穿过相对软弱层并穿过最深潜在滑裂面进入稳定地层一定深度。进入稳定地层的深度应满足表</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.1的规定。</w:t>
      </w:r>
    </w:p>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表</w:t>
      </w: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.1  边坡勘察勘探深度进入稳定地层的要求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28"/>
        <w:gridCol w:w="3844"/>
        <w:gridCol w:w="15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31" w:type="dxa"/>
            <w:gridSpan w:val="3"/>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稳定地层情况</w:t>
            </w:r>
          </w:p>
        </w:tc>
        <w:tc>
          <w:tcPr>
            <w:tcW w:w="2969" w:type="dxa"/>
            <w:gridSpan w:val="2"/>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勘探孔进入稳定地层深度（m）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软硬等级</w:t>
            </w:r>
          </w:p>
        </w:tc>
        <w:tc>
          <w:tcPr>
            <w:tcW w:w="928" w:type="dxa"/>
            <w:noWrap w:val="0"/>
            <w:vAlign w:val="center"/>
          </w:tcPr>
          <w:p>
            <w:pPr>
              <w:keepLines w:val="0"/>
              <w:pageBreakBefore w:val="0"/>
              <w:kinsoku/>
              <w:wordWrap/>
              <w:overflowPunct/>
              <w:topLinePunct w:val="0"/>
              <w:autoSpaceDE/>
              <w:autoSpaceDN/>
              <w:bidi w:val="0"/>
              <w:adjustRightInd/>
              <w:spacing w:line="360" w:lineRule="auto"/>
              <w:ind w:left="-105" w:leftChars="-50" w:right="-105" w:rightChars="-5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岩土类别</w:t>
            </w:r>
          </w:p>
        </w:tc>
        <w:tc>
          <w:tcPr>
            <w:tcW w:w="3844"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代表性土石名称</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控制性勘探孔</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一般勘探孔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Ⅱ</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普通土</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稍密或松散的碎石土（不包括块石或漂石）、密实的砂土和粉土、可塑的粘性土</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5.0～10.0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Ⅲ</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硬  土</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中密的碎石土、硬塑粘性土、风化成土块的岩石</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3.0～5.0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Ⅳ</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软  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块石或漂石碎石土、泥岩、泥质砂岩、弱胶结砾岩，中风化～强风化的坚硬岩或较硬岩</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Ⅴ</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次硬岩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砂岩、硅质页岩、微风化～中等风化的灰岩、玄武岩、花岗岩、正长岩</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Ⅵ</w:t>
            </w:r>
          </w:p>
        </w:tc>
        <w:tc>
          <w:tcPr>
            <w:tcW w:w="92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坚硬岩</w:t>
            </w:r>
          </w:p>
        </w:tc>
        <w:tc>
          <w:tcPr>
            <w:tcW w:w="3844" w:type="dxa"/>
            <w:noWrap w:val="0"/>
            <w:vAlign w:val="center"/>
          </w:tcPr>
          <w:p>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未风化～微风化的玄武岩、石灰岩、白云岩、大理岩、石英岩、闪长岩、花岗岩、正长岩、硅质砾岩等</w:t>
            </w:r>
          </w:p>
        </w:tc>
        <w:tc>
          <w:tcPr>
            <w:tcW w:w="1501"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0.5～1.0</w:t>
            </w:r>
          </w:p>
        </w:tc>
        <w:tc>
          <w:tcPr>
            <w:tcW w:w="1468" w:type="dxa"/>
            <w:noWrap w:val="0"/>
            <w:vAlign w:val="center"/>
          </w:tcPr>
          <w:p>
            <w:pPr>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r>
    </w:tbl>
    <w:p>
      <w:pPr>
        <w:keepLines w:val="0"/>
        <w:pageBreakBefore w:val="0"/>
        <w:kinsoku/>
        <w:wordWrap/>
        <w:overflowPunct/>
        <w:topLinePunct w:val="0"/>
        <w:autoSpaceDE/>
        <w:autoSpaceDN/>
        <w:bidi w:val="0"/>
        <w:adjustRightInd/>
        <w:spacing w:line="360" w:lineRule="auto"/>
        <w:ind w:left="-210" w:leftChars="-100"/>
        <w:textAlignment w:val="auto"/>
        <w:rPr>
          <w:rFonts w:hint="eastAsia" w:ascii="宋体" w:hAnsi="宋体" w:eastAsia="宋体" w:cs="宋体"/>
          <w:i/>
          <w:iCs/>
          <w:color w:val="000000"/>
          <w:sz w:val="21"/>
          <w:szCs w:val="21"/>
          <w:highlight w:val="none"/>
        </w:rPr>
      </w:pPr>
      <w:r>
        <w:rPr>
          <w:rFonts w:hint="eastAsia" w:ascii="宋体" w:hAnsi="宋体" w:eastAsia="宋体" w:cs="宋体"/>
          <w:color w:val="000000"/>
          <w:sz w:val="21"/>
          <w:szCs w:val="21"/>
          <w:highlight w:val="none"/>
        </w:rPr>
        <w:t>注：地形条件不利时取大值、坡高超过50m时取大值。</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在边坡稳定影响深度内，根据土质条件分别进行动力触探试验、静力触探试验和十字板剪切试验；当边坡高度超过20m，顺坡填筑且土质条件复杂（如软弱土、混合土等），宜进行地基土的现场剪切试验。</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地基土的强度试验应根据岩土条件和实际情况确定，应符合以下要求：</w:t>
      </w:r>
    </w:p>
    <w:p>
      <w:pPr>
        <w:keepLines w:val="0"/>
        <w:pageBreakBefore w:val="0"/>
        <w:numPr>
          <w:ilvl w:val="0"/>
          <w:numId w:val="11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进行室内快剪和固结快剪试验；</w:t>
      </w:r>
    </w:p>
    <w:p>
      <w:pPr>
        <w:keepLines w:val="0"/>
        <w:pageBreakBefore w:val="0"/>
        <w:numPr>
          <w:ilvl w:val="0"/>
          <w:numId w:val="11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应有一定数量的三轴剪切试验；</w:t>
      </w:r>
    </w:p>
    <w:p>
      <w:pPr>
        <w:keepLines w:val="0"/>
        <w:pageBreakBefore w:val="0"/>
        <w:numPr>
          <w:ilvl w:val="0"/>
          <w:numId w:val="11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剪切试验的最大竖向压力应不低于高填方边坡填筑体自重应力之和。</w:t>
      </w:r>
    </w:p>
    <w:p>
      <w:pPr>
        <w:keepLines w:val="0"/>
        <w:pageBreakBefore w:val="0"/>
        <w:numPr>
          <w:ilvl w:val="0"/>
          <w:numId w:val="111"/>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应提供天然与饱和状态下土的强度参数建议值。</w:t>
      </w:r>
    </w:p>
    <w:p>
      <w:pPr>
        <w:pStyle w:val="47"/>
        <w:keepLines w:val="0"/>
        <w:pageBreakBefore w:val="0"/>
        <w:numPr>
          <w:ilvl w:val="0"/>
          <w:numId w:val="108"/>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选取有代表性的分析断面，根据试验测试成果确定强度指标，建立合理正确的计算模型，选取若干综合坡比进行边坡稳定性计算，并对高填方边坡稳定性进行综合评价，提供建议的坡比。</w:t>
      </w:r>
    </w:p>
    <w:p>
      <w:pPr>
        <w:keepLines w:val="0"/>
        <w:pageBreakBefore w:val="0"/>
        <w:numPr>
          <w:ilvl w:val="0"/>
          <w:numId w:val="10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素填土专项勘察</w:t>
      </w:r>
    </w:p>
    <w:p>
      <w:pPr>
        <w:keepLines w:val="0"/>
        <w:pageBreakBefore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拟建场区范围内的素填土勘察，应符合下列要求：</w:t>
      </w:r>
    </w:p>
    <w:p>
      <w:pPr>
        <w:pStyle w:val="47"/>
        <w:keepLines w:val="0"/>
        <w:pageBreakBefore w:val="0"/>
        <w:numPr>
          <w:ilvl w:val="0"/>
          <w:numId w:val="11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查明素填土的粒径、含水量、分布、厚度等。</w:t>
      </w:r>
    </w:p>
    <w:p>
      <w:pPr>
        <w:pStyle w:val="47"/>
        <w:keepLines w:val="0"/>
        <w:pageBreakBefore w:val="0"/>
        <w:numPr>
          <w:ilvl w:val="0"/>
          <w:numId w:val="11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应根据素填土的类别，采用动力触探、标准贯入试验等查明其密实程度与均匀性。</w:t>
      </w:r>
    </w:p>
    <w:p>
      <w:pPr>
        <w:pStyle w:val="47"/>
        <w:keepLines w:val="0"/>
        <w:pageBreakBefore w:val="0"/>
        <w:numPr>
          <w:ilvl w:val="0"/>
          <w:numId w:val="112"/>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勘探点（线）应充分利用“</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、工程地质勘察”中的勘探点，可根据素填土的分布范围及厚度等情况再布置适量的勘探点，勘探点深度应穿透素填土层。</w:t>
      </w:r>
    </w:p>
    <w:p>
      <w:pPr>
        <w:keepLines w:val="0"/>
        <w:pageBreakBefore w:val="0"/>
        <w:numPr>
          <w:ilvl w:val="0"/>
          <w:numId w:val="10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岩溶专项勘察</w:t>
      </w:r>
    </w:p>
    <w:p>
      <w:pPr>
        <w:pStyle w:val="47"/>
        <w:keepLines w:val="0"/>
        <w:pageBreakBefore w:val="0"/>
        <w:numPr>
          <w:ilvl w:val="0"/>
          <w:numId w:val="11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u w:val="single"/>
          <w:lang w:eastAsia="zh-CN"/>
        </w:rPr>
        <w:t>当场地为岩溶发育场地时，则进行此项专项勘察，否则不开展此专项勘察工作</w:t>
      </w:r>
      <w:r>
        <w:rPr>
          <w:rFonts w:hint="eastAsia" w:ascii="宋体" w:hAnsi="宋体" w:eastAsia="宋体" w:cs="宋体"/>
          <w:color w:val="000000"/>
          <w:sz w:val="21"/>
          <w:szCs w:val="21"/>
          <w:highlight w:val="none"/>
          <w:lang w:eastAsia="zh-CN"/>
        </w:rPr>
        <w:t>。</w:t>
      </w:r>
    </w:p>
    <w:p>
      <w:pPr>
        <w:pStyle w:val="47"/>
        <w:keepLines w:val="0"/>
        <w:pageBreakBefore w:val="0"/>
        <w:numPr>
          <w:ilvl w:val="0"/>
          <w:numId w:val="11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岩溶勘察包括地表岩溶勘察和地下岩溶勘察。</w:t>
      </w:r>
    </w:p>
    <w:p>
      <w:pPr>
        <w:pStyle w:val="47"/>
        <w:keepLines w:val="0"/>
        <w:pageBreakBefore w:val="0"/>
        <w:numPr>
          <w:ilvl w:val="0"/>
          <w:numId w:val="11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地表岩溶勘察应符合下列要求：</w:t>
      </w:r>
    </w:p>
    <w:p>
      <w:pPr>
        <w:pStyle w:val="47"/>
        <w:keepLines w:val="0"/>
        <w:pageBreakBefore w:val="0"/>
        <w:numPr>
          <w:ilvl w:val="0"/>
          <w:numId w:val="0"/>
        </w:numPr>
        <w:kinsoku/>
        <w:wordWrap/>
        <w:overflowPunct/>
        <w:topLinePunct w:val="0"/>
        <w:autoSpaceDE/>
        <w:autoSpaceDN/>
        <w:bidi w:val="0"/>
        <w:adjustRightInd/>
        <w:spacing w:line="360" w:lineRule="auto"/>
        <w:ind w:leftChars="200" w:firstLine="630" w:firstLineChars="3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查明工程范围及有影响地段的地表岩溶的形态和分布，包括洼地、漏斗、塌陷与落水洞等的形态、形状、大小、深度、分布特征及分布规律，分析地表岩溶的工程影响，并对岩溶的治理提出建议。</w:t>
      </w:r>
    </w:p>
    <w:p>
      <w:pPr>
        <w:pStyle w:val="47"/>
        <w:keepLines w:val="0"/>
        <w:pageBreakBefore w:val="0"/>
        <w:numPr>
          <w:ilvl w:val="0"/>
          <w:numId w:val="113"/>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地下的岩溶勘察应符合下列要求</w:t>
      </w:r>
      <w:r>
        <w:rPr>
          <w:rFonts w:hint="eastAsia" w:ascii="宋体" w:hAnsi="宋体" w:eastAsia="宋体" w:cs="宋体"/>
          <w:color w:val="000000"/>
          <w:sz w:val="21"/>
          <w:szCs w:val="21"/>
          <w:highlight w:val="none"/>
          <w:lang w:eastAsia="zh-CN"/>
        </w:rPr>
        <w:t>：</w:t>
      </w:r>
    </w:p>
    <w:p>
      <w:pPr>
        <w:keepLines w:val="0"/>
        <w:pageBreakBefore w:val="0"/>
        <w:numPr>
          <w:ilvl w:val="0"/>
          <w:numId w:val="114"/>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查明本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范围内填方区（包括填挖过渡段）溶洞和土洞的下列条件，定量分析溶洞和土洞的稳定性，并对岩溶的治理提出建议：</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①洞体形态及埋藏条件：埋藏深度、覆盖层厚度、洞体直径（短轴）、洞体形状、洞体分布特征。</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②顶板与覆盖层状况：顶板与覆盖层岩性与性状、顶板完整情况、埋藏深度与洞径比值、顶板性状。</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③充填情况：充填物成分、性质、密实程度、水流冲蚀稳定性，充填量情况等。</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④地下水特征。</w:t>
      </w:r>
    </w:p>
    <w:p>
      <w:pPr>
        <w:keepLines w:val="0"/>
        <w:pageBreakBefore w:val="0"/>
        <w:numPr>
          <w:ilvl w:val="0"/>
          <w:numId w:val="114"/>
        </w:numPr>
        <w:kinsoku/>
        <w:wordWrap/>
        <w:overflowPunct/>
        <w:topLinePunct w:val="0"/>
        <w:autoSpaceDE/>
        <w:autoSpaceDN/>
        <w:bidi w:val="0"/>
        <w:adjustRightInd/>
        <w:spacing w:line="360" w:lineRule="auto"/>
        <w:ind w:leftChars="20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本</w:t>
      </w:r>
      <w:r>
        <w:rPr>
          <w:rFonts w:hint="eastAsia" w:ascii="宋体" w:hAnsi="宋体" w:eastAsia="宋体" w:cs="宋体"/>
          <w:b/>
          <w:bCs/>
          <w:color w:val="000000"/>
          <w:sz w:val="21"/>
          <w:szCs w:val="21"/>
          <w:highlight w:val="none"/>
          <w:u w:val="single"/>
          <w:lang w:eastAsia="zh-CN"/>
        </w:rPr>
        <w:t>包组</w:t>
      </w:r>
      <w:r>
        <w:rPr>
          <w:rFonts w:hint="eastAsia" w:ascii="宋体" w:hAnsi="宋体" w:eastAsia="宋体" w:cs="宋体"/>
          <w:b/>
          <w:bCs/>
          <w:color w:val="000000"/>
          <w:sz w:val="21"/>
          <w:szCs w:val="21"/>
          <w:highlight w:val="none"/>
          <w:u w:val="single"/>
        </w:rPr>
        <w:t>勘察范围内挖方区的地下岩溶，暂不开展勘察工作，在场地平整至初平标高后，再另行实施勘察，不包含在本次勘察范围内。</w:t>
      </w:r>
    </w:p>
    <w:p>
      <w:pPr>
        <w:pStyle w:val="47"/>
        <w:keepLines w:val="0"/>
        <w:pageBreakBefore w:val="0"/>
        <w:numPr>
          <w:ilvl w:val="0"/>
          <w:numId w:val="113"/>
        </w:numPr>
        <w:kinsoku/>
        <w:wordWrap/>
        <w:overflowPunct/>
        <w:topLinePunct w:val="0"/>
        <w:autoSpaceDE/>
        <w:autoSpaceDN/>
        <w:bidi w:val="0"/>
        <w:adjustRightInd/>
        <w:spacing w:line="360" w:lineRule="auto"/>
        <w:ind w:left="0" w:firstLine="560"/>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u w:val="single"/>
        </w:rPr>
        <w:t>岩溶勘察以工程地质测绘与调查、物探为主，结合钻探等手段进行勘察，应先进行工程地质调查和综合物探，对调查和物探发现的异常地段，选择有代表性的部位布置验证钻孔</w:t>
      </w:r>
      <w:r>
        <w:rPr>
          <w:rFonts w:hint="eastAsia" w:ascii="宋体" w:hAnsi="宋体" w:eastAsia="宋体" w:cs="宋体"/>
          <w:b/>
          <w:bCs/>
          <w:color w:val="000000"/>
          <w:sz w:val="21"/>
          <w:szCs w:val="21"/>
          <w:highlight w:val="none"/>
          <w:u w:val="single"/>
          <w:lang w:eastAsia="zh-CN"/>
        </w:rPr>
        <w:t>。</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2" w:name="_Toc1442"/>
      <w:r>
        <w:rPr>
          <w:rFonts w:hint="eastAsia" w:ascii="宋体" w:hAnsi="宋体" w:eastAsia="宋体" w:cs="宋体"/>
          <w:sz w:val="21"/>
          <w:szCs w:val="21"/>
          <w:highlight w:val="none"/>
        </w:rPr>
        <w:t>应提交的勘察资料和成果</w:t>
      </w:r>
      <w:bookmarkEnd w:id="42"/>
    </w:p>
    <w:p>
      <w:pPr>
        <w:keepLines w:val="0"/>
        <w:pageBreakBefore w:val="0"/>
        <w:numPr>
          <w:ilvl w:val="0"/>
          <w:numId w:val="1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eastAsia="宋体" w:cs="宋体"/>
          <w:color w:val="000000"/>
          <w:sz w:val="21"/>
          <w:szCs w:val="21"/>
          <w:highlight w:val="none"/>
          <w:lang w:eastAsia="zh-CN"/>
        </w:rPr>
        <w:t>包组</w:t>
      </w:r>
      <w:r>
        <w:rPr>
          <w:rFonts w:hint="eastAsia" w:ascii="宋体" w:hAnsi="宋体" w:eastAsia="宋体" w:cs="宋体"/>
          <w:color w:val="000000"/>
          <w:sz w:val="21"/>
          <w:szCs w:val="21"/>
          <w:highlight w:val="none"/>
        </w:rPr>
        <w:t>的勘察报告应包含下列内容：</w:t>
      </w:r>
    </w:p>
    <w:p>
      <w:pPr>
        <w:pStyle w:val="47"/>
        <w:keepLines w:val="0"/>
        <w:pageBreakBefore w:val="0"/>
        <w:numPr>
          <w:ilvl w:val="0"/>
          <w:numId w:val="11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前言</w:t>
      </w:r>
    </w:p>
    <w:p>
      <w:pPr>
        <w:keepLines w:val="0"/>
        <w:pageBreakBefore w:val="0"/>
        <w:numPr>
          <w:ilvl w:val="0"/>
          <w:numId w:val="11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勘察目的、依据、任务和要求；</w:t>
      </w:r>
    </w:p>
    <w:p>
      <w:pPr>
        <w:keepLines w:val="0"/>
        <w:pageBreakBefore w:val="0"/>
        <w:numPr>
          <w:ilvl w:val="0"/>
          <w:numId w:val="11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勘察方法、手段、仪器设备；</w:t>
      </w:r>
    </w:p>
    <w:p>
      <w:pPr>
        <w:keepLines w:val="0"/>
        <w:pageBreakBefore w:val="0"/>
        <w:numPr>
          <w:ilvl w:val="0"/>
          <w:numId w:val="11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取得的勘察成果；</w:t>
      </w:r>
    </w:p>
    <w:p>
      <w:pPr>
        <w:keepLines w:val="0"/>
        <w:pageBreakBefore w:val="0"/>
        <w:numPr>
          <w:ilvl w:val="0"/>
          <w:numId w:val="117"/>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勘察工作情况和完成的主要工作量。</w:t>
      </w:r>
    </w:p>
    <w:p>
      <w:pPr>
        <w:pStyle w:val="47"/>
        <w:keepLines w:val="0"/>
        <w:pageBreakBefore w:val="0"/>
        <w:numPr>
          <w:ilvl w:val="0"/>
          <w:numId w:val="11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机场工程地质条件和评价</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场地工程地质分区；</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场地水文地质条件；</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各主要持力层工程地质评价；</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场地与地基稳定性分析与评价；</w:t>
      </w:r>
    </w:p>
    <w:p>
      <w:pPr>
        <w:keepLines w:val="0"/>
        <w:pageBreakBefore w:val="0"/>
        <w:numPr>
          <w:ilvl w:val="0"/>
          <w:numId w:val="118"/>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机场环境工程地质问题预测。</w:t>
      </w:r>
    </w:p>
    <w:p>
      <w:pPr>
        <w:pStyle w:val="47"/>
        <w:keepLines w:val="0"/>
        <w:pageBreakBefore w:val="0"/>
        <w:numPr>
          <w:ilvl w:val="0"/>
          <w:numId w:val="11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结论和建议</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场址主要地质构造、地形地貌特征；</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基本岩土参数的分析与选用；</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岩土工程问题处理的建议；</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场地环境工程地质条件与机场建设的相互关系和影响；</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场地工程地质条件对建设机场适宜性影响的评价；</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可利用的建筑材料情况；</w:t>
      </w:r>
    </w:p>
    <w:p>
      <w:pPr>
        <w:keepLines w:val="0"/>
        <w:pageBreakBefore w:val="0"/>
        <w:numPr>
          <w:ilvl w:val="0"/>
          <w:numId w:val="119"/>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对后续勘察工作的建议。</w:t>
      </w:r>
    </w:p>
    <w:p>
      <w:pPr>
        <w:pStyle w:val="47"/>
        <w:keepLines w:val="0"/>
        <w:pageBreakBefore w:val="0"/>
        <w:numPr>
          <w:ilvl w:val="0"/>
          <w:numId w:val="116"/>
        </w:numPr>
        <w:kinsoku/>
        <w:wordWrap/>
        <w:overflowPunct/>
        <w:topLinePunct w:val="0"/>
        <w:autoSpaceDE/>
        <w:autoSpaceDN/>
        <w:bidi w:val="0"/>
        <w:adjustRightInd/>
        <w:spacing w:line="360" w:lineRule="auto"/>
        <w:ind w:left="0" w:firstLine="56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应附下列资料：</w:t>
      </w:r>
    </w:p>
    <w:p>
      <w:pPr>
        <w:keepLines w:val="0"/>
        <w:pageBreakBefore w:val="0"/>
        <w:numPr>
          <w:ilvl w:val="0"/>
          <w:numId w:val="12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附图，宜包含下列图件：</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①勘探点平面布置图；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②综合工程地质图；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③工程地质分区图；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④钻孔柱状图；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⑤工程地质剖面图；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⑥软土层顶埋深图、层底埋深图以及等厚度线图；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⑦砂土、粉土按液化等级划分的分区图以及在液化区域内砂土、粉土的层顶埋深图、层底埋深图以及等厚度线图；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⑧风化岩和残积土的层顶埋深图、层底埋深图以及等厚度线图；</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⑨其他查明的不良地质作用与特殊性岩土（如：素填土、地表土等）的分布范围及等厚度线图等；</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⑩勘探点主要数据一览表；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⑪其他需要的图表。</w:t>
      </w:r>
    </w:p>
    <w:p>
      <w:pPr>
        <w:keepLines w:val="0"/>
        <w:pageBreakBefore w:val="0"/>
        <w:numPr>
          <w:ilvl w:val="0"/>
          <w:numId w:val="12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试验、测试成果资料，应包括下列资料：</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①岩土试验指标综合成果表；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②原位测试成果表；</w:t>
      </w:r>
    </w:p>
    <w:p>
      <w:pPr>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③室内试验成果表。</w:t>
      </w:r>
    </w:p>
    <w:p>
      <w:pPr>
        <w:keepLines w:val="0"/>
        <w:pageBreakBefore w:val="0"/>
        <w:numPr>
          <w:ilvl w:val="0"/>
          <w:numId w:val="12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三维地质BIM建模，模型深度和精细度应能满足后续相关工作的需求。</w:t>
      </w:r>
    </w:p>
    <w:p>
      <w:pPr>
        <w:keepLines w:val="0"/>
        <w:pageBreakBefore w:val="0"/>
        <w:numPr>
          <w:ilvl w:val="0"/>
          <w:numId w:val="12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其他专题勘察报告资料，应单独成册。</w:t>
      </w:r>
    </w:p>
    <w:p>
      <w:pPr>
        <w:keepLines w:val="0"/>
        <w:pageBreakBefore w:val="0"/>
        <w:numPr>
          <w:ilvl w:val="0"/>
          <w:numId w:val="11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对以上勘察测量成果应提供可编辑的电子版文件（.dwg、.doc、.xls等格式）。</w:t>
      </w:r>
    </w:p>
    <w:p>
      <w:pPr>
        <w:pStyle w:val="3"/>
        <w:keepLines w:val="0"/>
        <w:pageBreakBefore w:val="0"/>
        <w:numPr>
          <w:ilvl w:val="0"/>
          <w:numId w:val="86"/>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3" w:name="_Toc32409"/>
      <w:r>
        <w:rPr>
          <w:rFonts w:hint="eastAsia" w:ascii="宋体" w:hAnsi="宋体" w:eastAsia="宋体" w:cs="宋体"/>
          <w:sz w:val="21"/>
          <w:szCs w:val="21"/>
          <w:highlight w:val="none"/>
        </w:rPr>
        <w:t>其他</w:t>
      </w:r>
      <w:bookmarkEnd w:id="43"/>
    </w:p>
    <w:p>
      <w:pPr>
        <w:keepLines w:val="0"/>
        <w:pageBreakBefore w:val="0"/>
        <w:numPr>
          <w:ilvl w:val="0"/>
          <w:numId w:val="1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勘察过程中应做好对场内及周边现有设施的保护（特别是场内埋设的管线、道路等）。</w:t>
      </w:r>
    </w:p>
    <w:p>
      <w:pPr>
        <w:keepLines w:val="0"/>
        <w:pageBreakBefore w:val="0"/>
        <w:numPr>
          <w:ilvl w:val="0"/>
          <w:numId w:val="121"/>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对本勘察技术要求未详细规定或未列入的内容，尚应执行《民用机场勘测规范》MH/T5025、《岩土工程勘察规范》（2009年版）GB50021及现行有关技术规范、标准的规定。</w:t>
      </w:r>
    </w:p>
    <w:p>
      <w:pPr>
        <w:spacing w:line="360" w:lineRule="auto"/>
        <w:ind w:firstLine="482" w:firstLineChars="200"/>
        <w:jc w:val="center"/>
        <w:rPr>
          <w:rFonts w:hint="eastAsia" w:ascii="宋体" w:hAnsi="宋体" w:eastAsia="宋体" w:cs="宋体"/>
          <w:b/>
          <w:bCs/>
          <w:color w:val="auto"/>
          <w:sz w:val="24"/>
          <w:szCs w:val="24"/>
          <w:highlight w:val="none"/>
          <w:lang w:val="en-US" w:eastAsia="zh-CN"/>
        </w:rPr>
      </w:pPr>
    </w:p>
    <w:p>
      <w:pPr>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商务条款（适用于各包组）</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4" w:name="_Toc14385"/>
      <w:r>
        <w:rPr>
          <w:rFonts w:hint="eastAsia" w:ascii="宋体" w:hAnsi="宋体" w:eastAsia="宋体" w:cs="宋体"/>
          <w:sz w:val="21"/>
          <w:szCs w:val="21"/>
          <w:highlight w:val="none"/>
        </w:rPr>
        <w:t>质量</w:t>
      </w:r>
      <w:r>
        <w:rPr>
          <w:rFonts w:hint="eastAsia" w:ascii="宋体" w:hAnsi="宋体" w:eastAsia="宋体" w:cs="宋体"/>
          <w:sz w:val="21"/>
          <w:szCs w:val="21"/>
          <w:highlight w:val="none"/>
          <w:lang w:eastAsia="zh-CN"/>
        </w:rPr>
        <w:t>要求</w:t>
      </w:r>
      <w:bookmarkEnd w:id="44"/>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的勘察过程和成果均必须符合中华人民共和国国家标准、中国民航局和建设部颁布的有关勘察方面的现行标准、规范、规程、定额、办法、示例，以及广东省、佛山市下发的有关勘察方面的文件和规定。在勘察过程中，如果国家或有关部门颁发了新的技术标准或规范，应采用新的标准或规范进行勘察。</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勘察前应将勘察方案上报</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审核及批准后方可实施。</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5" w:name="_Toc14948"/>
      <w:r>
        <w:rPr>
          <w:rFonts w:hint="eastAsia" w:ascii="宋体" w:hAnsi="宋体" w:eastAsia="宋体" w:cs="宋体"/>
          <w:sz w:val="21"/>
          <w:szCs w:val="21"/>
          <w:highlight w:val="none"/>
          <w:lang w:eastAsia="zh-CN"/>
        </w:rPr>
        <w:t>承包方式</w:t>
      </w:r>
      <w:bookmarkEnd w:id="45"/>
    </w:p>
    <w:p>
      <w:pPr>
        <w:spacing w:line="360" w:lineRule="auto"/>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包组一：</w:t>
      </w:r>
      <w:r>
        <w:rPr>
          <w:rFonts w:hint="eastAsia" w:ascii="宋体" w:hAnsi="宋体" w:eastAsia="宋体" w:cs="宋体"/>
          <w:color w:val="auto"/>
          <w:szCs w:val="21"/>
          <w:highlight w:val="none"/>
          <w:lang w:eastAsia="zh-CN"/>
        </w:rPr>
        <w:t>主体协调工作部分采用固定总价包干；机场料源区及填方区岩土工程初步勘察工作部分采用固定单价包干，按实结算，但最终结算金额不得超出本包组签约合同价。</w:t>
      </w:r>
      <w:r>
        <w:rPr>
          <w:rFonts w:hint="eastAsia" w:ascii="宋体" w:hAnsi="宋体" w:eastAsia="宋体" w:cs="宋体"/>
          <w:b/>
          <w:bCs/>
          <w:color w:val="auto"/>
          <w:szCs w:val="21"/>
          <w:highlight w:val="none"/>
          <w:lang w:eastAsia="zh-CN"/>
        </w:rPr>
        <w:t>包组二、三：</w:t>
      </w:r>
      <w:r>
        <w:rPr>
          <w:rFonts w:hint="eastAsia" w:ascii="宋体" w:hAnsi="宋体" w:eastAsia="宋体" w:cs="宋体"/>
          <w:color w:val="auto"/>
          <w:szCs w:val="21"/>
          <w:highlight w:val="none"/>
          <w:lang w:eastAsia="zh-CN"/>
        </w:rPr>
        <w:t>采用固定单价包干，按实结算，但最终结算金额不得超出本包组签约合同价。</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6" w:name="_Toc4489"/>
      <w:r>
        <w:rPr>
          <w:rFonts w:hint="eastAsia" w:ascii="宋体" w:hAnsi="宋体" w:eastAsia="宋体" w:cs="宋体"/>
          <w:sz w:val="21"/>
          <w:szCs w:val="21"/>
          <w:highlight w:val="none"/>
        </w:rPr>
        <w:t>报价要求</w:t>
      </w:r>
      <w:bookmarkEnd w:id="46"/>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包组一：</w:t>
      </w:r>
      <w:r>
        <w:rPr>
          <w:rFonts w:hint="eastAsia" w:ascii="宋体" w:hAnsi="宋体" w:eastAsia="宋体" w:cs="宋体"/>
          <w:color w:val="000000"/>
          <w:sz w:val="21"/>
          <w:szCs w:val="21"/>
          <w:highlight w:val="none"/>
          <w:lang w:val="en-US" w:eastAsia="zh-CN"/>
        </w:rPr>
        <w:t>投标总报价=</w:t>
      </w:r>
      <w:r>
        <w:rPr>
          <w:rFonts w:hint="eastAsia" w:ascii="宋体" w:hAnsi="宋体" w:eastAsia="宋体" w:cs="宋体"/>
          <w:color w:val="000000"/>
          <w:sz w:val="21"/>
          <w:szCs w:val="21"/>
          <w:highlight w:val="none"/>
          <w:lang w:eastAsia="zh-CN"/>
        </w:rPr>
        <w:t>岩溶勘察部分预留金（或称暂列金额）</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主体协调</w:t>
      </w:r>
      <w:r>
        <w:rPr>
          <w:rFonts w:hint="eastAsia" w:ascii="宋体" w:hAnsi="宋体" w:eastAsia="宋体" w:cs="宋体"/>
          <w:color w:val="000000"/>
          <w:sz w:val="21"/>
          <w:szCs w:val="21"/>
          <w:highlight w:val="none"/>
          <w:lang w:val="en-US" w:eastAsia="zh-CN"/>
        </w:rPr>
        <w:t>工作部分投标报价+机场料源区及填方区岩土工程初步勘察工作部分投标报价【其中机场料源区及填方区岩土工程初步勘察工作部分投标报价=钻孔综合单价报价（元/延米）×29450米】</w:t>
      </w:r>
      <w:r>
        <w:rPr>
          <w:rFonts w:hint="eastAsia" w:ascii="宋体" w:hAnsi="宋体" w:eastAsia="宋体" w:cs="宋体"/>
          <w:color w:val="000000"/>
          <w:sz w:val="21"/>
          <w:szCs w:val="21"/>
          <w:highlight w:val="none"/>
        </w:rPr>
        <w:t>。</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包组二：</w:t>
      </w:r>
      <w:r>
        <w:rPr>
          <w:rFonts w:hint="eastAsia" w:ascii="宋体" w:hAnsi="宋体" w:eastAsia="宋体" w:cs="宋体"/>
          <w:color w:val="000000"/>
          <w:sz w:val="21"/>
          <w:szCs w:val="21"/>
          <w:highlight w:val="none"/>
          <w:lang w:val="en-US" w:eastAsia="zh-CN"/>
        </w:rPr>
        <w:t>投标总报价=</w:t>
      </w:r>
      <w:r>
        <w:rPr>
          <w:rFonts w:hint="eastAsia" w:ascii="宋体" w:hAnsi="宋体" w:eastAsia="宋体" w:cs="宋体"/>
          <w:color w:val="000000"/>
          <w:sz w:val="21"/>
          <w:szCs w:val="21"/>
          <w:highlight w:val="none"/>
          <w:lang w:eastAsia="zh-CN"/>
        </w:rPr>
        <w:t>岩溶勘察部分预留金（或称暂列金额）</w:t>
      </w:r>
      <w:r>
        <w:rPr>
          <w:rFonts w:hint="eastAsia" w:ascii="宋体" w:hAnsi="宋体" w:eastAsia="宋体" w:cs="宋体"/>
          <w:color w:val="000000"/>
          <w:sz w:val="21"/>
          <w:szCs w:val="21"/>
          <w:highlight w:val="none"/>
          <w:lang w:val="en-US" w:eastAsia="zh-CN"/>
        </w:rPr>
        <w:t>+机场航站区岩土工程初步勘察工作部分投标报价【其中机场航站区岩土工程初步勘察工作部分投标报价=钻孔综合单价报价（元/延米）×17850米】。</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包组三：</w:t>
      </w:r>
      <w:r>
        <w:rPr>
          <w:rFonts w:hint="eastAsia" w:ascii="宋体" w:hAnsi="宋体" w:eastAsia="宋体" w:cs="宋体"/>
          <w:color w:val="000000"/>
          <w:sz w:val="21"/>
          <w:szCs w:val="21"/>
          <w:highlight w:val="none"/>
          <w:lang w:val="en-US" w:eastAsia="zh-CN"/>
        </w:rPr>
        <w:t>投标总报价=</w:t>
      </w:r>
      <w:r>
        <w:rPr>
          <w:rFonts w:hint="eastAsia" w:ascii="宋体" w:hAnsi="宋体" w:eastAsia="宋体" w:cs="宋体"/>
          <w:color w:val="000000"/>
          <w:sz w:val="21"/>
          <w:szCs w:val="21"/>
          <w:highlight w:val="none"/>
          <w:lang w:eastAsia="zh-CN"/>
        </w:rPr>
        <w:t>岩溶勘察部分预留金（或称暂列金额）</w:t>
      </w:r>
      <w:r>
        <w:rPr>
          <w:rFonts w:hint="eastAsia" w:ascii="宋体" w:hAnsi="宋体" w:eastAsia="宋体" w:cs="宋体"/>
          <w:color w:val="000000"/>
          <w:sz w:val="21"/>
          <w:szCs w:val="21"/>
          <w:highlight w:val="none"/>
          <w:lang w:val="en-US" w:eastAsia="zh-CN"/>
        </w:rPr>
        <w:t>+机场工作区岩土工程初步勘察工作部分投标报价【其中机场工作区岩土工程初步勘察工作部分投标报价=钻孔综合单价报价（元/延米）×13600米】。</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的投标报价以元为单位，保留小数点后两位小数（如X.XX），不得低于其成本价或高于最高限价及</w:t>
      </w:r>
      <w:r>
        <w:rPr>
          <w:rFonts w:hint="eastAsia" w:ascii="宋体" w:hAnsi="宋体" w:eastAsia="宋体" w:cs="宋体"/>
          <w:color w:val="000000"/>
          <w:sz w:val="21"/>
          <w:szCs w:val="21"/>
          <w:highlight w:val="none"/>
          <w:lang w:eastAsia="zh-CN"/>
        </w:rPr>
        <w:t>最高单价限价。其中投标总报价用作投标报价得分评审。</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各包组的岩溶勘察部分预留金（或称暂列金额）</w:t>
      </w:r>
      <w:r>
        <w:rPr>
          <w:rFonts w:hint="eastAsia" w:ascii="宋体" w:hAnsi="宋体" w:eastAsia="宋体" w:cs="宋体"/>
          <w:color w:val="000000"/>
          <w:sz w:val="21"/>
          <w:szCs w:val="21"/>
          <w:highlight w:val="none"/>
          <w:lang w:val="en-US" w:eastAsia="zh-CN"/>
        </w:rPr>
        <w:t>为不可竞争费，投标人在报价中必须包含且不得更改该金额。</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投标人可根据招标文件、主要协议条款、市场情况、风险因素等进行自主报价。 </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在填报投标报价时，应根据企业自身的成本核算情况，充分考虑市场价格的波动风险。一经投标，即认为该投标人已充分考虑有关风险，愿意承担因这些风险所造成的一切经济损失，并放弃因此造成的损失求偿权。</w:t>
      </w:r>
    </w:p>
    <w:p>
      <w:pPr>
        <w:keepLines w:val="0"/>
        <w:pageBreakBefore w:val="0"/>
        <w:numPr>
          <w:ilvl w:val="0"/>
          <w:numId w:val="123"/>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投标报价中包含</w:t>
      </w:r>
      <w:r>
        <w:rPr>
          <w:rFonts w:hint="eastAsia" w:ascii="宋体" w:hAnsi="宋体" w:eastAsia="宋体" w:cs="宋体"/>
          <w:color w:val="000000"/>
          <w:sz w:val="21"/>
          <w:szCs w:val="21"/>
          <w:highlight w:val="none"/>
          <w:lang w:eastAsia="zh-CN"/>
        </w:rPr>
        <w:t>人工、勘察材料以及加工、技术工作收费以及办理工程勘察相关许可、购买有关资料、工程测量、水中作业平台、水上作业用船及水监、机械设备进退场和搬运费、施工操作平台搭设、技术报告费（包含但不限于专家交通费、住宿费、场地租用费、会议餐费、专家评审费等）、试验、安全技术、青苗补偿等勘察及管理费用、税金等全部费用。各包组中标</w:t>
      </w:r>
      <w:r>
        <w:rPr>
          <w:rFonts w:hint="eastAsia" w:ascii="宋体" w:hAnsi="宋体" w:eastAsia="宋体" w:cs="宋体"/>
          <w:color w:val="000000"/>
          <w:sz w:val="21"/>
          <w:szCs w:val="21"/>
          <w:highlight w:val="none"/>
          <w:lang w:val="en-US" w:eastAsia="zh-CN"/>
        </w:rPr>
        <w:t>钻孔</w:t>
      </w:r>
      <w:r>
        <w:rPr>
          <w:rFonts w:hint="eastAsia" w:ascii="宋体" w:hAnsi="宋体" w:eastAsia="宋体" w:cs="宋体"/>
          <w:color w:val="000000"/>
          <w:sz w:val="21"/>
          <w:szCs w:val="21"/>
          <w:highlight w:val="none"/>
          <w:lang w:eastAsia="zh-CN"/>
        </w:rPr>
        <w:t>综合单价不因项目规模调整、国家政策调整、服务周期变化或法规、标准、土层岩层变化及市场因素等任何变化而进行调整</w:t>
      </w:r>
      <w:r>
        <w:rPr>
          <w:rFonts w:hint="eastAsia" w:ascii="宋体" w:hAnsi="宋体" w:eastAsia="宋体" w:cs="宋体"/>
          <w:color w:val="000000"/>
          <w:sz w:val="21"/>
          <w:szCs w:val="21"/>
          <w:highlight w:val="none"/>
        </w:rPr>
        <w:t>，凡未列入的均被认为已包含在投标报价中。</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7" w:name="_Toc29389"/>
      <w:r>
        <w:rPr>
          <w:rFonts w:hint="eastAsia" w:ascii="宋体" w:hAnsi="宋体" w:eastAsia="宋体" w:cs="宋体"/>
          <w:sz w:val="21"/>
          <w:szCs w:val="21"/>
          <w:highlight w:val="none"/>
        </w:rPr>
        <w:t>服务期限</w:t>
      </w:r>
      <w:r>
        <w:rPr>
          <w:rFonts w:hint="eastAsia" w:ascii="宋体" w:hAnsi="宋体" w:eastAsia="宋体" w:cs="宋体"/>
          <w:sz w:val="21"/>
          <w:szCs w:val="21"/>
          <w:highlight w:val="none"/>
          <w:lang w:eastAsia="zh-CN"/>
        </w:rPr>
        <w:t>（成果提交日期）</w:t>
      </w:r>
      <w:r>
        <w:rPr>
          <w:rFonts w:hint="eastAsia" w:ascii="宋体" w:hAnsi="宋体" w:eastAsia="宋体" w:cs="宋体"/>
          <w:sz w:val="21"/>
          <w:szCs w:val="21"/>
          <w:highlight w:val="none"/>
        </w:rPr>
        <w:t>、实施地点</w:t>
      </w:r>
      <w:bookmarkEnd w:id="47"/>
    </w:p>
    <w:p>
      <w:pPr>
        <w:keepLines w:val="0"/>
        <w:pageBreakBefore w:val="0"/>
        <w:numPr>
          <w:ilvl w:val="0"/>
          <w:numId w:val="12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服务期限（成果提交日期）：</w:t>
      </w:r>
      <w:r>
        <w:rPr>
          <w:rFonts w:hint="eastAsia" w:ascii="宋体" w:hAnsi="宋体" w:eastAsia="宋体" w:cs="宋体"/>
          <w:b/>
          <w:bCs/>
          <w:color w:val="000000"/>
          <w:sz w:val="21"/>
          <w:szCs w:val="21"/>
          <w:highlight w:val="none"/>
          <w:lang w:val="en-US" w:eastAsia="zh-CN"/>
        </w:rPr>
        <w:t>包组一：</w:t>
      </w:r>
      <w:r>
        <w:rPr>
          <w:rFonts w:hint="eastAsia" w:ascii="宋体" w:hAnsi="宋体" w:eastAsia="宋体" w:cs="宋体"/>
          <w:color w:val="000000"/>
          <w:sz w:val="21"/>
          <w:szCs w:val="21"/>
          <w:highlight w:val="none"/>
        </w:rPr>
        <w:t>自招标人发出开工令之日起90日历天内提交最终勘察成果报告，包括：</w:t>
      </w:r>
      <w:r>
        <w:rPr>
          <w:rFonts w:hint="eastAsia" w:ascii="宋体" w:hAnsi="宋体" w:eastAsia="宋体" w:cs="宋体"/>
          <w:color w:val="000000"/>
          <w:sz w:val="21"/>
          <w:szCs w:val="21"/>
          <w:highlight w:val="none"/>
          <w:lang w:eastAsia="zh-CN"/>
        </w:rPr>
        <w:t>本包组</w:t>
      </w:r>
      <w:r>
        <w:rPr>
          <w:rFonts w:hint="eastAsia" w:ascii="宋体" w:hAnsi="宋体" w:eastAsia="宋体" w:cs="宋体"/>
          <w:color w:val="000000"/>
          <w:sz w:val="21"/>
          <w:szCs w:val="21"/>
          <w:highlight w:val="none"/>
        </w:rPr>
        <w:t>勘察服务报告（含试验测试成果资料）、工程物探报告及其他专题勘察报告资料</w:t>
      </w:r>
      <w:r>
        <w:rPr>
          <w:rFonts w:hint="eastAsia" w:ascii="宋体" w:hAnsi="宋体" w:eastAsia="宋体" w:cs="宋体"/>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包组二、三：</w:t>
      </w:r>
      <w:r>
        <w:rPr>
          <w:rFonts w:hint="eastAsia" w:ascii="宋体" w:hAnsi="宋体" w:eastAsia="宋体" w:cs="宋体"/>
          <w:color w:val="000000"/>
          <w:sz w:val="21"/>
          <w:szCs w:val="21"/>
          <w:highlight w:val="none"/>
        </w:rPr>
        <w:t>自招标人发出开工令之日起</w:t>
      </w:r>
      <w:r>
        <w:rPr>
          <w:rFonts w:hint="eastAsia" w:ascii="宋体" w:hAnsi="宋体" w:eastAsia="宋体" w:cs="宋体"/>
          <w:color w:val="000000"/>
          <w:sz w:val="21"/>
          <w:szCs w:val="21"/>
          <w:highlight w:val="none"/>
          <w:lang w:val="en-US" w:eastAsia="zh-CN"/>
        </w:rPr>
        <w:t>60</w:t>
      </w:r>
      <w:r>
        <w:rPr>
          <w:rFonts w:hint="eastAsia" w:ascii="宋体" w:hAnsi="宋体" w:eastAsia="宋体" w:cs="宋体"/>
          <w:color w:val="000000"/>
          <w:sz w:val="21"/>
          <w:szCs w:val="21"/>
          <w:highlight w:val="none"/>
        </w:rPr>
        <w:t>日历天内提交最终勘察成果报告，包括：</w:t>
      </w:r>
      <w:r>
        <w:rPr>
          <w:rFonts w:hint="eastAsia" w:ascii="宋体" w:hAnsi="宋体" w:eastAsia="宋体" w:cs="宋体"/>
          <w:color w:val="000000"/>
          <w:sz w:val="21"/>
          <w:szCs w:val="21"/>
          <w:highlight w:val="none"/>
          <w:lang w:eastAsia="zh-CN"/>
        </w:rPr>
        <w:t>本包组</w:t>
      </w:r>
      <w:r>
        <w:rPr>
          <w:rFonts w:hint="eastAsia" w:ascii="宋体" w:hAnsi="宋体" w:eastAsia="宋体" w:cs="宋体"/>
          <w:color w:val="000000"/>
          <w:sz w:val="21"/>
          <w:szCs w:val="21"/>
          <w:highlight w:val="none"/>
        </w:rPr>
        <w:t>勘察服务报告（含试验测试成果资料）、工程物探报告及其他专题勘察报告资料</w:t>
      </w:r>
      <w:r>
        <w:rPr>
          <w:rFonts w:hint="eastAsia" w:ascii="宋体" w:hAnsi="宋体" w:eastAsia="宋体" w:cs="宋体"/>
          <w:color w:val="000000"/>
          <w:sz w:val="21"/>
          <w:szCs w:val="21"/>
          <w:highlight w:val="none"/>
          <w:lang w:eastAsia="zh-CN"/>
        </w:rPr>
        <w:t>。</w:t>
      </w:r>
    </w:p>
    <w:p>
      <w:pPr>
        <w:keepLines w:val="0"/>
        <w:pageBreakBefore w:val="0"/>
        <w:numPr>
          <w:ilvl w:val="0"/>
          <w:numId w:val="124"/>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实施地点：招标人指定地点</w:t>
      </w:r>
      <w:r>
        <w:rPr>
          <w:rFonts w:hint="eastAsia" w:ascii="宋体" w:hAnsi="宋体" w:eastAsia="宋体" w:cs="宋体"/>
          <w:color w:val="000000"/>
          <w:sz w:val="21"/>
          <w:szCs w:val="21"/>
          <w:highlight w:val="none"/>
        </w:rPr>
        <w:t>。</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8" w:name="_Toc23321"/>
      <w:r>
        <w:rPr>
          <w:rFonts w:hint="eastAsia" w:ascii="宋体" w:hAnsi="宋体" w:eastAsia="宋体" w:cs="宋体"/>
          <w:sz w:val="21"/>
          <w:szCs w:val="21"/>
          <w:highlight w:val="none"/>
        </w:rPr>
        <w:t>服务团队要求</w:t>
      </w:r>
      <w:bookmarkEnd w:id="48"/>
    </w:p>
    <w:p>
      <w:pPr>
        <w:keepLines w:val="0"/>
        <w:pageBreakBefore w:val="0"/>
        <w:numPr>
          <w:ilvl w:val="0"/>
          <w:numId w:val="12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本项目各包组中标人须安排项目负责人常驻现场，负责与招标人工作对接及勘察现场的管理。中标人安排的项目负责人必须与投标文件中项目负责人一致，未经招标人批准，不得擅自更换项目负责人。</w:t>
      </w:r>
    </w:p>
    <w:p>
      <w:pPr>
        <w:keepLines w:val="0"/>
        <w:pageBreakBefore w:val="0"/>
        <w:numPr>
          <w:ilvl w:val="0"/>
          <w:numId w:val="12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本项目包组一须提供的项目</w:t>
      </w:r>
      <w:r>
        <w:rPr>
          <w:rFonts w:hint="eastAsia" w:ascii="宋体" w:hAnsi="宋体" w:eastAsia="宋体" w:cs="宋体"/>
          <w:color w:val="000000"/>
          <w:sz w:val="21"/>
          <w:szCs w:val="21"/>
          <w:highlight w:val="none"/>
          <w:lang w:eastAsia="zh-CN"/>
        </w:rPr>
        <w:t>团队</w:t>
      </w:r>
      <w:r>
        <w:rPr>
          <w:rFonts w:hint="eastAsia" w:ascii="宋体" w:hAnsi="宋体" w:eastAsia="宋体" w:cs="宋体"/>
          <w:color w:val="000000"/>
          <w:sz w:val="21"/>
          <w:szCs w:val="21"/>
          <w:highlight w:val="none"/>
          <w:lang w:eastAsia="zh-CN"/>
        </w:rPr>
        <w:t>人员不得少于</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人；包组二、三须提供的项目团队人员不得少于</w:t>
      </w:r>
      <w:r>
        <w:rPr>
          <w:rFonts w:hint="eastAsia" w:ascii="宋体" w:hAnsi="宋体" w:eastAsia="宋体" w:cs="宋体"/>
          <w:color w:val="000000"/>
          <w:sz w:val="21"/>
          <w:szCs w:val="21"/>
          <w:highlight w:val="none"/>
          <w:lang w:val="en-US" w:eastAsia="zh-CN"/>
        </w:rPr>
        <w:t>6人</w:t>
      </w:r>
      <w:r>
        <w:rPr>
          <w:rFonts w:hint="eastAsia" w:ascii="宋体" w:hAnsi="宋体" w:eastAsia="宋体" w:cs="宋体"/>
          <w:color w:val="000000"/>
          <w:sz w:val="21"/>
          <w:szCs w:val="21"/>
          <w:highlight w:val="none"/>
          <w:lang w:eastAsia="zh-CN"/>
        </w:rPr>
        <w:t>（不含项目负责人，</w:t>
      </w:r>
      <w:r>
        <w:rPr>
          <w:rFonts w:hint="eastAsia" w:ascii="宋体" w:hAnsi="宋体" w:eastAsia="宋体" w:cs="宋体"/>
          <w:color w:val="000000"/>
          <w:sz w:val="21"/>
          <w:szCs w:val="21"/>
          <w:highlight w:val="none"/>
          <w:lang w:val="en-US" w:eastAsia="zh-CN"/>
        </w:rPr>
        <w:t>上述人员不能互相兼任且不能同时兼任项目负责人）。</w:t>
      </w:r>
    </w:p>
    <w:p>
      <w:pPr>
        <w:keepLines w:val="0"/>
        <w:pageBreakBefore w:val="0"/>
        <w:numPr>
          <w:ilvl w:val="0"/>
          <w:numId w:val="125"/>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对于中标人委派的项目负责人及项目团队人员因工作原因在服务期间引起的各种工伤、安全事件和事故，招标人免负一切责任。</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49" w:name="_Toc32091"/>
      <w:r>
        <w:rPr>
          <w:rFonts w:hint="eastAsia" w:ascii="宋体" w:hAnsi="宋体" w:eastAsia="宋体" w:cs="宋体"/>
          <w:sz w:val="21"/>
          <w:szCs w:val="21"/>
          <w:highlight w:val="none"/>
          <w:lang w:eastAsia="zh-CN"/>
        </w:rPr>
        <w:t>履约保证金</w:t>
      </w:r>
      <w:bookmarkEnd w:id="49"/>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履约担保的比例：签约合同价的10%（在签订服务合同后10天内递交）。</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履约保证金形式：不可撤销银行保函或专业担保公司保函。</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出具银行保函的银行级别：国有商业银行或股份制商业银行的支行或以上级别银行。</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履约保证金的有效期：中标人应保证其履约保证金在约定退回之日前一直有效。</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履约保证金退回时间：于完成所有服务内容后10天内退还给中标人。</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履约保证金用于补偿招标人因中标人的过失导致未能达到合同约定的服务和质量等要求而蒙受的损失或中标人违反合同应承担的违约金。</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在本包组合同执行期间，如因中标人的过失或工作不配合的原因造成招标人经济损失的，招标人有权根据损失的数额直接在履约保证金中扣除并书面通知中标人。中标人在收到招标人的通知后，应在3个工作日内补足被扣除的履约保证金。</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如中标人未能在规定的时间内提交履约保证金的，则视同自动放弃中标资格。在此情况下，招标人有权选择按规定选出的第二中标候选人为本包组的中标人或对本包组重新进行招标，由此给招标人带来的一切损失均由中标人承担。</w:t>
      </w:r>
    </w:p>
    <w:p>
      <w:pPr>
        <w:keepLines w:val="0"/>
        <w:pageBreakBefore w:val="0"/>
        <w:numPr>
          <w:ilvl w:val="0"/>
          <w:numId w:val="126"/>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中标人在合同履行期间不按合同约定履行义务的，招标人有权单方终止合同并没收全额履约保证金，由此产生的一切经济损失由中标人自行承担。</w:t>
      </w:r>
    </w:p>
    <w:p>
      <w:pPr>
        <w:pStyle w:val="3"/>
        <w:keepLines w:val="0"/>
        <w:pageBreakBefore w:val="0"/>
        <w:numPr>
          <w:ilvl w:val="0"/>
          <w:numId w:val="122"/>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rPr>
      </w:pPr>
      <w:bookmarkStart w:id="50" w:name="_Toc18133"/>
      <w:r>
        <w:rPr>
          <w:rFonts w:hint="eastAsia" w:ascii="宋体" w:hAnsi="宋体" w:eastAsia="宋体" w:cs="宋体"/>
          <w:sz w:val="21"/>
          <w:szCs w:val="21"/>
          <w:highlight w:val="none"/>
          <w:lang w:eastAsia="zh-CN"/>
        </w:rPr>
        <w:t>付款方式</w:t>
      </w:r>
      <w:bookmarkEnd w:id="50"/>
    </w:p>
    <w:p>
      <w:pPr>
        <w:keepLines w:val="0"/>
        <w:pageBreakBefore w:val="0"/>
        <w:numPr>
          <w:ilvl w:val="0"/>
          <w:numId w:val="12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正式签署，中标人向招标人提出支付申请并获得同意起15个工作日内，招标人向中标人支付工程勘察费签约合同价扣除暂列金额后的金额的10%作为预付款。招标人向中标人支付的预付款自动转为进度款，并在中标人第一次申请进度款时进行全额抵扣。</w:t>
      </w:r>
    </w:p>
    <w:p>
      <w:pPr>
        <w:keepLines w:val="0"/>
        <w:pageBreakBefore w:val="0"/>
        <w:numPr>
          <w:ilvl w:val="0"/>
          <w:numId w:val="12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勘察进度，中标人根据实际勘察进度向监理人书面上报已完成的并经确认的工程量及工程进度款（监理人在7日内审批并报招标人），招标人在收到监理人提交的工程量及工程进度款的确认材料并经审批确认后，在15个工作日内支付实际完成工程款（含经监理人审核、招标人审批确认的暂列金额费用）的80%，当中标人累计申请支付的进度款（含预付款）达到合同金额的70%后不予支付进度款。</w:t>
      </w:r>
    </w:p>
    <w:p>
      <w:pPr>
        <w:keepLines w:val="0"/>
        <w:pageBreakBefore w:val="0"/>
        <w:numPr>
          <w:ilvl w:val="0"/>
          <w:numId w:val="12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标人按要求完成全部勘察和测量工作，且提交的勘察报告和测量报告送审并通过专家审查合格后，中标人将所有勘察和测量成果提交给招标人，中标人向招标人提出支付申请并获得同意起15个工作日内，招标人向中标人支付至工程结算金额的90%。</w:t>
      </w:r>
    </w:p>
    <w:p>
      <w:pPr>
        <w:keepLines w:val="0"/>
        <w:pageBreakBefore w:val="0"/>
        <w:numPr>
          <w:ilvl w:val="0"/>
          <w:numId w:val="127"/>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标人完成了合同规定的全部勘察工作任务并提交了最终勘察报告，并按合同约定向招标人移交全部技术成果，且经招标人考核并完成勘察服务费结算，并配合招标人完成机场可行性研究和取得岩土工程专业初步设计批复后，中标人向招标人提出支付申请并获得招标人同意之日起15个工作日内，支付至实际结算勘察费用的100%。</w:t>
      </w:r>
    </w:p>
    <w:p>
      <w:pPr>
        <w:keepLines w:val="0"/>
        <w:pageBreakBefore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w:t>
      </w:r>
    </w:p>
    <w:p>
      <w:pPr>
        <w:keepLines w:val="0"/>
        <w:pageBreakBefore w:val="0"/>
        <w:numPr>
          <w:ilvl w:val="0"/>
          <w:numId w:val="12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所有款项的支付应提出申请，并附证明材料，经招标人审核后才办理支付手续。</w:t>
      </w:r>
    </w:p>
    <w:p>
      <w:pPr>
        <w:keepLines w:val="0"/>
        <w:pageBreakBefore w:val="0"/>
        <w:numPr>
          <w:ilvl w:val="0"/>
          <w:numId w:val="128"/>
        </w:numPr>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中标人收取款项时应提供等额有效的增值税普通发票。中标人提供等额合法有效发票是招标人付款的前提条件。否则，因付款期限未届至，招标人有权拒绝付款且不承担任何违约责任，中标人仍应履行合同义务。</w:t>
      </w:r>
    </w:p>
    <w:p>
      <w:pPr>
        <w:pStyle w:val="2"/>
        <w:rPr>
          <w:rFonts w:hint="eastAsia"/>
          <w:color w:val="auto"/>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outlineLvl w:val="0"/>
        <w:rPr>
          <w:rFonts w:hint="eastAsia" w:ascii="宋体" w:hAnsi="宋体"/>
          <w:b/>
          <w:bCs/>
          <w:color w:val="auto"/>
          <w:sz w:val="28"/>
          <w:highlight w:val="none"/>
        </w:rPr>
      </w:pPr>
      <w:bookmarkStart w:id="51" w:name="_Toc21650"/>
      <w:r>
        <w:rPr>
          <w:rFonts w:hint="eastAsia"/>
          <w:b/>
          <w:bCs/>
          <w:color w:val="auto"/>
          <w:sz w:val="28"/>
          <w:szCs w:val="28"/>
          <w:highlight w:val="none"/>
        </w:rPr>
        <w:t>第四章  评分体系与标准</w:t>
      </w:r>
      <w:bookmarkEnd w:id="51"/>
    </w:p>
    <w:p>
      <w:pPr>
        <w:numPr>
          <w:ilvl w:val="0"/>
          <w:numId w:val="129"/>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本评标办法采用综合评分法。</w:t>
      </w:r>
    </w:p>
    <w:p>
      <w:pPr>
        <w:numPr>
          <w:ilvl w:val="0"/>
          <w:numId w:val="129"/>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本项目按各包组进行独立评审，按包组的自然顺序进行评审。</w:t>
      </w:r>
    </w:p>
    <w:p>
      <w:pPr>
        <w:numPr>
          <w:ilvl w:val="0"/>
          <w:numId w:val="129"/>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各包组评标步骤：评标委员会先进行投标文件初审，对通过初审的投标文件进行技术、商务及价格的详细评审最后评标委员会出具评标报告。</w:t>
      </w:r>
    </w:p>
    <w:p>
      <w:pPr>
        <w:numPr>
          <w:ilvl w:val="0"/>
          <w:numId w:val="129"/>
        </w:numPr>
        <w:tabs>
          <w:tab w:val="left" w:pos="630"/>
        </w:tabs>
        <w:autoSpaceDE w:val="0"/>
        <w:autoSpaceDN w:val="0"/>
        <w:adjustRightInd w:val="0"/>
        <w:spacing w:line="360" w:lineRule="auto"/>
        <w:rPr>
          <w:rFonts w:hint="eastAsia" w:ascii="宋体" w:cs="宋体"/>
          <w:color w:val="auto"/>
          <w:szCs w:val="21"/>
          <w:highlight w:val="none"/>
        </w:rPr>
      </w:pPr>
      <w:r>
        <w:rPr>
          <w:rFonts w:hint="eastAsia" w:ascii="宋体" w:cs="宋体"/>
          <w:color w:val="auto"/>
          <w:szCs w:val="21"/>
          <w:highlight w:val="none"/>
        </w:rPr>
        <w:t>各包组评分及其统计：按照评标程序、评分标准以及权重分配的规定，评标委员会各成员分别就各个投标人的技术状况、商务状况及其对招标文件要求的响应情况进行评议和比较，评出其技术评分、商务评分、价格评分相加得出其综合得分。</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资格性和符合性审查条款（适用于各包组）</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noWrap w:val="0"/>
            <w:vAlign w:val="center"/>
          </w:tcPr>
          <w:p>
            <w:pPr>
              <w:jc w:val="center"/>
              <w:rPr>
                <w:rFonts w:hint="eastAsia" w:ascii="宋体" w:cs="宋体"/>
                <w:b/>
                <w:color w:val="auto"/>
                <w:highlight w:val="none"/>
              </w:rPr>
            </w:pPr>
            <w:r>
              <w:rPr>
                <w:rFonts w:hint="eastAsia" w:ascii="宋体" w:cs="宋体"/>
                <w:b/>
                <w:color w:val="auto"/>
                <w:highlight w:val="none"/>
              </w:rPr>
              <w:t>序号</w:t>
            </w:r>
          </w:p>
        </w:tc>
        <w:tc>
          <w:tcPr>
            <w:tcW w:w="8137" w:type="dxa"/>
            <w:tcBorders>
              <w:left w:val="single" w:color="auto" w:sz="4" w:space="0"/>
            </w:tcBorders>
            <w:noWrap w:val="0"/>
            <w:vAlign w:val="center"/>
          </w:tcPr>
          <w:p>
            <w:pPr>
              <w:jc w:val="center"/>
              <w:rPr>
                <w:rFonts w:ascii="宋体" w:cs="宋体"/>
                <w:color w:val="auto"/>
                <w:highlight w:val="none"/>
              </w:rPr>
            </w:pPr>
            <w:r>
              <w:rPr>
                <w:rFonts w:hint="eastAsia" w:ascii="宋体" w:hAnsi="宋体" w:cs="宋体"/>
                <w:color w:val="auto"/>
                <w:highlight w:val="none"/>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ascii="宋体" w:hAnsi="宋体" w:cs="宋体"/>
                <w:color w:val="auto"/>
                <w:highlight w:val="none"/>
              </w:rPr>
            </w:pPr>
            <w:r>
              <w:rPr>
                <w:rFonts w:hint="eastAsia" w:ascii="宋体" w:hAnsi="宋体" w:cs="宋体"/>
                <w:color w:val="auto"/>
                <w:highlight w:val="none"/>
              </w:rPr>
              <w:t>具备招标文件中规定资格要求的及资格证明文件齐全；</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投标函已提交并符合招标文件要求的；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ascii="宋体" w:hAnsi="宋体" w:cs="宋体"/>
                <w:color w:val="auto"/>
                <w:highlight w:val="none"/>
              </w:rPr>
            </w:pPr>
            <w:r>
              <w:rPr>
                <w:rFonts w:hint="eastAsia" w:ascii="宋体" w:hAnsi="宋体" w:cs="宋体"/>
                <w:color w:val="auto"/>
                <w:highlight w:val="none"/>
              </w:rPr>
              <w:t>投标人按招标文件要求缴纳投标保证金的；</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ind w:left="19" w:hanging="18" w:hangingChars="9"/>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按照招标文件规定要求签署、盖章且投标文件有法定代表人签字或盖章，或签字人有法定代表人有效授权书的；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投标报价</w:t>
            </w:r>
            <w:r>
              <w:rPr>
                <w:rFonts w:hint="eastAsia" w:ascii="宋体" w:hAnsi="宋体" w:cs="宋体"/>
                <w:color w:val="auto"/>
                <w:highlight w:val="none"/>
                <w:lang w:eastAsia="zh-CN"/>
              </w:rPr>
              <w:t>是固定价且是唯一，且</w:t>
            </w:r>
            <w:r>
              <w:rPr>
                <w:rFonts w:hint="eastAsia" w:ascii="宋体" w:hAnsi="宋体" w:cs="宋体"/>
                <w:color w:val="auto"/>
                <w:highlight w:val="none"/>
              </w:rPr>
              <w:t>未超过</w:t>
            </w:r>
            <w:r>
              <w:rPr>
                <w:rFonts w:hint="eastAsia" w:ascii="宋体" w:hAnsi="宋体" w:cs="宋体"/>
                <w:color w:val="auto"/>
                <w:highlight w:val="none"/>
                <w:lang w:val="en-US" w:eastAsia="zh-CN"/>
              </w:rPr>
              <w:t>本包组</w:t>
            </w:r>
            <w:r>
              <w:rPr>
                <w:rFonts w:hint="eastAsia" w:ascii="宋体" w:hAnsi="宋体" w:cs="宋体"/>
                <w:color w:val="auto"/>
                <w:highlight w:val="none"/>
                <w:lang w:eastAsia="zh-CN"/>
              </w:rPr>
              <w:t>最高限价及</w:t>
            </w:r>
            <w:r>
              <w:rPr>
                <w:rFonts w:hint="eastAsia" w:ascii="宋体" w:hAnsi="宋体" w:cs="宋体"/>
                <w:color w:val="auto"/>
                <w:highlight w:val="none"/>
              </w:rPr>
              <w:t>最高</w:t>
            </w:r>
            <w:r>
              <w:rPr>
                <w:rFonts w:hint="eastAsia" w:ascii="宋体" w:hAnsi="宋体" w:cs="宋体"/>
                <w:color w:val="auto"/>
                <w:highlight w:val="none"/>
                <w:lang w:eastAsia="zh-CN"/>
              </w:rPr>
              <w:t>单价</w:t>
            </w:r>
            <w:r>
              <w:rPr>
                <w:rFonts w:hint="eastAsia" w:ascii="宋体" w:hAnsi="宋体" w:cs="宋体"/>
                <w:color w:val="auto"/>
                <w:highlight w:val="none"/>
              </w:rPr>
              <w:t>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投标文件完全满足招标文件的实质性条款</w:t>
            </w:r>
            <w:r>
              <w:rPr>
                <w:rFonts w:hint="eastAsia" w:ascii="宋体" w:hAnsi="宋体" w:cs="宋体"/>
                <w:color w:val="auto"/>
                <w:highlight w:val="none"/>
                <w:lang w:eastAsia="zh-CN"/>
              </w:rPr>
              <w:t>【</w:t>
            </w:r>
            <w:r>
              <w:rPr>
                <w:rFonts w:hint="eastAsia" w:ascii="宋体" w:hAnsi="宋体" w:cs="宋体"/>
                <w:color w:val="auto"/>
                <w:highlight w:val="none"/>
              </w:rPr>
              <w:t>即标注★号条款（如有）及商务要求</w:t>
            </w:r>
            <w:r>
              <w:rPr>
                <w:rFonts w:hint="eastAsia" w:ascii="宋体" w:hAnsi="宋体" w:cs="宋体"/>
                <w:color w:val="auto"/>
                <w:highlight w:val="none"/>
                <w:lang w:eastAsia="zh-CN"/>
              </w:rPr>
              <w:t>】均</w:t>
            </w:r>
            <w:r>
              <w:rPr>
                <w:rFonts w:hint="eastAsia" w:ascii="宋体" w:hAnsi="宋体" w:cs="宋体"/>
                <w:color w:val="auto"/>
                <w:highlight w:val="none"/>
              </w:rPr>
              <w:t>无负偏离的，投标时提供</w:t>
            </w:r>
            <w:r>
              <w:rPr>
                <w:rFonts w:hint="eastAsia" w:ascii="宋体" w:hAnsi="宋体" w:cs="宋体"/>
                <w:color w:val="auto"/>
                <w:szCs w:val="21"/>
                <w:highlight w:val="none"/>
              </w:rPr>
              <w:t>1）</w:t>
            </w:r>
            <w:r>
              <w:rPr>
                <w:rFonts w:hint="eastAsia" w:ascii="宋体" w:hAnsi="宋体" w:cs="Courier New"/>
                <w:color w:val="auto"/>
                <w:szCs w:val="21"/>
                <w:highlight w:val="none"/>
              </w:rPr>
              <w:t>实质性条款响应一览表；</w:t>
            </w:r>
            <w:r>
              <w:rPr>
                <w:rFonts w:hint="eastAsia" w:ascii="宋体" w:hAnsi="宋体" w:cs="宋体"/>
                <w:color w:val="auto"/>
                <w:szCs w:val="21"/>
                <w:highlight w:val="none"/>
              </w:rPr>
              <w:t>2）</w:t>
            </w:r>
            <w:r>
              <w:rPr>
                <w:rFonts w:hint="eastAsia" w:ascii="宋体" w:hAnsi="宋体" w:cs="Courier New"/>
                <w:color w:val="auto"/>
                <w:szCs w:val="21"/>
                <w:highlight w:val="none"/>
              </w:rPr>
              <w:t>招标文件规定的证明材料</w:t>
            </w:r>
            <w:r>
              <w:rPr>
                <w:rFonts w:hint="eastAsia"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ascii="宋体" w:hAnsi="宋体" w:cs="宋体"/>
                <w:color w:val="auto"/>
                <w:highlight w:val="none"/>
              </w:rPr>
            </w:pPr>
            <w:r>
              <w:rPr>
                <w:rFonts w:hint="eastAsia" w:hAnsi="宋体" w:cs="宋体"/>
                <w:bCs/>
                <w:color w:val="auto"/>
                <w:kern w:val="0"/>
                <w:szCs w:val="21"/>
                <w:highlight w:val="none"/>
                <w:lang w:eastAsia="zh-CN"/>
              </w:rPr>
              <w:t>按照投标邀请规定的时间地点和要求登记并获取招标文件；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hAnsi="宋体" w:eastAsia="宋体" w:cs="宋体"/>
                <w:bCs/>
                <w:color w:val="auto"/>
                <w:kern w:val="0"/>
                <w:szCs w:val="21"/>
                <w:highlight w:val="none"/>
                <w:lang w:eastAsia="zh-CN"/>
              </w:rPr>
            </w:pPr>
            <w:r>
              <w:rPr>
                <w:rFonts w:hint="eastAsia" w:ascii="宋体" w:hAnsi="宋体" w:cs="宋体"/>
                <w:color w:val="auto"/>
                <w:highlight w:val="none"/>
              </w:rPr>
              <w:t>投标文件未含有</w:t>
            </w:r>
            <w:r>
              <w:rPr>
                <w:rFonts w:hint="eastAsia" w:ascii="宋体" w:hAnsi="宋体" w:cs="宋体"/>
                <w:color w:val="auto"/>
                <w:highlight w:val="none"/>
                <w:lang w:eastAsia="zh-CN"/>
              </w:rPr>
              <w:t>招标</w:t>
            </w:r>
            <w:r>
              <w:rPr>
                <w:rFonts w:hint="eastAsia" w:ascii="宋体" w:hAnsi="宋体" w:cs="宋体"/>
                <w:color w:val="auto"/>
                <w:highlight w:val="none"/>
              </w:rPr>
              <w:t>人不能接受的附加条件的</w:t>
            </w:r>
            <w:r>
              <w:rPr>
                <w:rFonts w:hint="eastAsia" w:ascii="宋体" w:hAnsi="宋体" w:cs="宋体"/>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ascii="宋体" w:hAnsi="宋体" w:cs="宋体"/>
                <w:color w:val="auto"/>
                <w:highlight w:val="none"/>
              </w:rPr>
            </w:pPr>
            <w:r>
              <w:rPr>
                <w:rFonts w:hint="eastAsia" w:ascii="宋体" w:hAnsi="宋体" w:cs="宋体"/>
                <w:color w:val="auto"/>
                <w:highlight w:val="none"/>
              </w:rPr>
              <w:t>投标文件没有招标文件中规定的被视为无效投标的其它条款的；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130"/>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lang w:eastAsia="zh-CN"/>
              </w:rPr>
              <w:t>没有违反有关法律、法规、规章要求，被视为投标无效的其他情况</w:t>
            </w:r>
            <w:r>
              <w:rPr>
                <w:rFonts w:hint="eastAsia" w:ascii="宋体" w:hAnsi="宋体" w:cs="宋体"/>
                <w:color w:val="auto"/>
                <w:highlight w:val="none"/>
              </w:rPr>
              <w:t>。</w:t>
            </w:r>
          </w:p>
        </w:tc>
      </w:tr>
    </w:tbl>
    <w:p>
      <w:pPr>
        <w:spacing w:line="400" w:lineRule="exact"/>
        <w:rPr>
          <w:color w:val="auto"/>
          <w:highlight w:val="none"/>
        </w:rPr>
        <w:sectPr>
          <w:pgSz w:w="11906" w:h="16838"/>
          <w:pgMar w:top="1440" w:right="1286" w:bottom="1440" w:left="1440" w:header="851" w:footer="992" w:gutter="0"/>
          <w:cols w:space="720" w:num="1"/>
          <w:docGrid w:type="lines" w:linePitch="312" w:charSpace="0"/>
        </w:sectPr>
      </w:pPr>
      <w:r>
        <w:rPr>
          <w:rFonts w:hint="eastAsia" w:ascii="宋体" w:hAnsi="宋体"/>
          <w:color w:val="auto"/>
          <w:szCs w:val="21"/>
          <w:highlight w:val="none"/>
        </w:rPr>
        <w:t>说明：</w:t>
      </w:r>
      <w:r>
        <w:rPr>
          <w:rFonts w:hint="eastAsia" w:ascii="宋体" w:hAnsi="宋体"/>
          <w:color w:val="auto"/>
          <w:highlight w:val="none"/>
        </w:rPr>
        <w:t>投标人必须严格按照资格性、符合性审查条款的评审内容的要求如实提供证明材料</w:t>
      </w:r>
      <w:r>
        <w:rPr>
          <w:rFonts w:hint="eastAsia" w:ascii="宋体" w:hAnsi="宋体"/>
          <w:bCs/>
          <w:color w:val="auto"/>
          <w:highlight w:val="none"/>
        </w:rPr>
        <w:t>并应加盖投标人公章,</w:t>
      </w:r>
      <w:r>
        <w:rPr>
          <w:rFonts w:hint="eastAsia" w:ascii="宋体" w:hAnsi="宋体"/>
          <w:color w:val="auto"/>
          <w:highlight w:val="none"/>
        </w:rPr>
        <w:t>对缺漏或不符合项将直接导致无效投标</w:t>
      </w:r>
      <w:r>
        <w:rPr>
          <w:rFonts w:hint="eastAsia" w:ascii="宋体" w:hAnsi="宋体" w:cs="宋体"/>
          <w:color w:val="auto"/>
          <w:szCs w:val="21"/>
          <w:highlight w:val="none"/>
        </w:rPr>
        <w:t>。</w:t>
      </w:r>
    </w:p>
    <w:p>
      <w:pPr>
        <w:adjustRightInd w:val="0"/>
        <w:snapToGrid w:val="0"/>
        <w:spacing w:before="156" w:beforeLines="50" w:after="156" w:afterLines="50"/>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技术部分评分表（适用于包组</w:t>
      </w:r>
      <w:r>
        <w:rPr>
          <w:rFonts w:hint="eastAsia" w:ascii="黑体" w:hAnsi="宋体" w:eastAsia="黑体" w:cs="宋体"/>
          <w:color w:val="auto"/>
          <w:sz w:val="28"/>
          <w:szCs w:val="28"/>
          <w:highlight w:val="none"/>
          <w:lang w:val="en-US" w:eastAsia="zh-CN"/>
        </w:rPr>
        <w:t>一</w:t>
      </w:r>
      <w:r>
        <w:rPr>
          <w:rFonts w:hint="eastAsia" w:ascii="黑体" w:hAnsi="宋体" w:eastAsia="黑体" w:cs="宋体"/>
          <w:color w:val="auto"/>
          <w:sz w:val="28"/>
          <w:szCs w:val="28"/>
          <w:highlight w:val="none"/>
        </w:rPr>
        <w:t>）</w:t>
      </w:r>
    </w:p>
    <w:p>
      <w:pPr>
        <w:adjustRightInd w:val="0"/>
        <w:snapToGrid w:val="0"/>
        <w:spacing w:before="156" w:beforeLines="50" w:after="156" w:afterLines="50"/>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60</w:t>
      </w:r>
      <w:r>
        <w:rPr>
          <w:rFonts w:hint="eastAsia" w:ascii="黑体" w:hAnsi="宋体" w:eastAsia="黑体" w:cs="宋体"/>
          <w:color w:val="auto"/>
          <w:sz w:val="28"/>
          <w:szCs w:val="28"/>
          <w:highlight w:val="none"/>
        </w:rPr>
        <w:t>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5"/>
        <w:gridCol w:w="1425"/>
        <w:gridCol w:w="855"/>
        <w:gridCol w:w="6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58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2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855" w:type="dxa"/>
            <w:noWrap w:val="0"/>
            <w:vAlign w:val="center"/>
          </w:tcPr>
          <w:p>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分值（分）</w:t>
            </w:r>
          </w:p>
        </w:tc>
        <w:tc>
          <w:tcPr>
            <w:tcW w:w="6461"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勘察范围、勘察内容</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勘察内容整体理解和认识内容的得基本分4.0分；勘察工作范围</w:t>
            </w:r>
            <w:r>
              <w:rPr>
                <w:rFonts w:hint="eastAsia" w:ascii="宋体" w:hAnsi="宋体" w:eastAsia="宋体" w:cs="宋体"/>
                <w:sz w:val="21"/>
                <w:szCs w:val="21"/>
                <w:highlight w:val="none"/>
                <w:lang w:eastAsia="zh-CN"/>
              </w:rPr>
              <w:t>、勘察</w:t>
            </w:r>
            <w:r>
              <w:rPr>
                <w:rFonts w:hint="eastAsia" w:ascii="宋体" w:hAnsi="宋体" w:eastAsia="宋体" w:cs="宋体"/>
                <w:sz w:val="21"/>
                <w:szCs w:val="21"/>
                <w:highlight w:val="none"/>
              </w:rPr>
              <w:t>内容理解准确、编制完整的加1.0分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勘察工作范围</w:t>
            </w:r>
            <w:r>
              <w:rPr>
                <w:rFonts w:hint="eastAsia" w:ascii="宋体" w:hAnsi="宋体" w:eastAsia="宋体" w:cs="宋体"/>
                <w:sz w:val="21"/>
                <w:szCs w:val="21"/>
                <w:highlight w:val="none"/>
                <w:lang w:eastAsia="zh-CN"/>
              </w:rPr>
              <w:t>、勘察</w:t>
            </w:r>
            <w:r>
              <w:rPr>
                <w:rFonts w:hint="eastAsia" w:ascii="宋体" w:hAnsi="宋体" w:eastAsia="宋体" w:cs="宋体"/>
                <w:sz w:val="21"/>
                <w:szCs w:val="21"/>
                <w:highlight w:val="none"/>
              </w:rPr>
              <w:t>内容理解</w:t>
            </w:r>
            <w:r>
              <w:rPr>
                <w:rFonts w:hint="eastAsia" w:ascii="宋体" w:hAnsi="宋体" w:eastAsia="宋体" w:cs="宋体"/>
                <w:sz w:val="21"/>
                <w:szCs w:val="21"/>
                <w:highlight w:val="none"/>
                <w:lang w:eastAsia="zh-CN"/>
              </w:rPr>
              <w:t>较</w:t>
            </w:r>
            <w:r>
              <w:rPr>
                <w:rFonts w:hint="eastAsia" w:ascii="宋体" w:hAnsi="宋体" w:eastAsia="宋体" w:cs="宋体"/>
                <w:sz w:val="21"/>
                <w:szCs w:val="21"/>
                <w:highlight w:val="none"/>
              </w:rPr>
              <w:t>准确、编制较完整的加0.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；勘察工作范围、勘察内容理解准确程度、编制完整度</w:t>
            </w:r>
            <w:r>
              <w:rPr>
                <w:rFonts w:hint="eastAsia" w:ascii="宋体" w:hAnsi="宋体" w:eastAsia="宋体" w:cs="宋体"/>
                <w:sz w:val="21"/>
                <w:szCs w:val="21"/>
                <w:highlight w:val="none"/>
              </w:rPr>
              <w:t>一般的加0.</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勘察依据、勘察工作目标</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项目服务方案中有招标项目勘察依据、勘察工作目标内容的得基本分4.0分；勘察依据、勘察工作目标明确的加1.0分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勘察依据、勘察工作目标较明确的加0.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勘察依据、勘察工作目标</w:t>
            </w:r>
            <w:r>
              <w:rPr>
                <w:rFonts w:hint="eastAsia" w:ascii="宋体" w:hAnsi="宋体" w:eastAsia="宋体" w:cs="宋体"/>
                <w:sz w:val="21"/>
                <w:szCs w:val="21"/>
                <w:highlight w:val="none"/>
                <w:lang w:eastAsia="zh-CN"/>
              </w:rPr>
              <w:t>明确性</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勘察机构设置和岗位职责</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项目服务方案中有招标项目勘察机构设置和岗位职责内容的得基本分4.0分；勘察机构设置和岗位职责科学合理的加1.0分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勘察机构设置和岗位职责较科学合理的加0.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勘察机构设置和岗位职责</w:t>
            </w:r>
            <w:r>
              <w:rPr>
                <w:rFonts w:hint="eastAsia" w:ascii="宋体" w:hAnsi="宋体" w:eastAsia="宋体" w:cs="宋体"/>
                <w:sz w:val="21"/>
                <w:szCs w:val="21"/>
                <w:highlight w:val="none"/>
                <w:lang w:eastAsia="zh-CN"/>
              </w:rPr>
              <w:t>科学性、合理</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勘察说明和勘察方案</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项目服务方案中有招标项目勘察说明和勘察方案内容的得基本分5.0分；根据项目岩土工程初步勘察的技术要求，勘察说明和勘察方案编制全面、针对性强的加1.0分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根据项目岩土工程初步勘察的技术要求，勘察说明和勘察方案编制较全面、针对性较强的加0.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根据项目岩土工程初步勘察的技术要求，勘察说明和勘察方案编制</w:t>
            </w:r>
            <w:r>
              <w:rPr>
                <w:rFonts w:hint="eastAsia" w:ascii="宋体" w:hAnsi="宋体" w:eastAsia="宋体" w:cs="宋体"/>
                <w:sz w:val="21"/>
                <w:szCs w:val="21"/>
                <w:highlight w:val="none"/>
                <w:lang w:eastAsia="zh-CN"/>
              </w:rPr>
              <w:t>全面</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、针对性一般的加0.5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1"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勘察质量、进度、保密等保证措施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6461" w:type="dxa"/>
            <w:noWrap w:val="0"/>
            <w:vAlign w:val="center"/>
          </w:tcPr>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质量、进度、保密等保证措施（包括但不限于采用三维数字化手段对现场钻孔位置、进尺深度进行实时监控管理、对现场相关取样和原位实验具体情况进行回溯和复核等）的得基本分5.0分；勘察质量、进度、保密等保证措施技术先进、措施完善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勘察质量、进度、保密等保证措施技术较先进、措施较完善的加0.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勘察质量、进度、保密等保证措施</w:t>
            </w:r>
            <w:r>
              <w:rPr>
                <w:rFonts w:hint="eastAsia" w:ascii="宋体" w:hAnsi="宋体" w:eastAsia="宋体" w:cs="宋体"/>
                <w:sz w:val="21"/>
                <w:szCs w:val="21"/>
                <w:highlight w:val="none"/>
                <w:lang w:eastAsia="zh-CN"/>
              </w:rPr>
              <w:t>先进性、完善程度</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勘察安全保证措施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项目服务方案中有勘察安全保证措施的得基本分4.0分；勘察安全保证措施对现场作业条件针对性强的加1.0分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勘察安全保证措施对现场作业条件针对性较强的加0.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勘察安全保证措施对现场作业条件针对性一般的加0.5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勘察工作重点、难点分析及合理化建议</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12</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项目服务方案中有勘察工作重点、难点分析及合理化建议</w:t>
            </w:r>
            <w:r>
              <w:rPr>
                <w:rFonts w:hint="eastAsia" w:ascii="宋体" w:hAnsi="宋体" w:eastAsia="宋体" w:cs="宋体"/>
                <w:sz w:val="21"/>
                <w:szCs w:val="21"/>
                <w:highlight w:val="none"/>
                <w:lang w:eastAsia="zh-CN"/>
              </w:rPr>
              <w:t>【包括但不限于</w:t>
            </w:r>
            <w:r>
              <w:rPr>
                <w:rFonts w:hint="eastAsia" w:ascii="宋体" w:hAnsi="宋体" w:eastAsia="宋体" w:cs="宋体"/>
                <w:sz w:val="21"/>
                <w:szCs w:val="21"/>
                <w:highlight w:val="none"/>
              </w:rPr>
              <w:t>对场地工程地质条件（</w:t>
            </w:r>
            <w:r>
              <w:rPr>
                <w:rFonts w:hint="eastAsia" w:ascii="宋体" w:hAnsi="宋体" w:eastAsia="宋体" w:cs="宋体"/>
                <w:sz w:val="21"/>
                <w:szCs w:val="21"/>
                <w:highlight w:val="none"/>
                <w:lang w:eastAsia="zh-CN"/>
              </w:rPr>
              <w:t>如</w:t>
            </w:r>
            <w:r>
              <w:rPr>
                <w:rFonts w:hint="eastAsia" w:ascii="宋体" w:hAnsi="宋体" w:eastAsia="宋体" w:cs="宋体"/>
                <w:sz w:val="21"/>
                <w:szCs w:val="21"/>
                <w:highlight w:val="none"/>
              </w:rPr>
              <w:t>水文地质情况、岩土工程条件、初步判断本场地岩土工程条件和初步定量参数等）</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得基本分10.0分；勘察工作重点、难点分析分析全面到位</w:t>
            </w:r>
            <w:r>
              <w:rPr>
                <w:rFonts w:hint="eastAsia" w:ascii="宋体" w:hAnsi="宋体" w:eastAsia="宋体" w:cs="宋体"/>
                <w:sz w:val="21"/>
                <w:szCs w:val="21"/>
                <w:highlight w:val="none"/>
                <w:lang w:eastAsia="zh-CN"/>
              </w:rPr>
              <w:t>，合理化建议针对性强</w:t>
            </w:r>
            <w:r>
              <w:rPr>
                <w:rFonts w:hint="eastAsia" w:ascii="宋体" w:hAnsi="宋体" w:eastAsia="宋体" w:cs="宋体"/>
                <w:sz w:val="21"/>
                <w:szCs w:val="21"/>
                <w:highlight w:val="none"/>
              </w:rPr>
              <w:t>的加2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勘察工作重点、难点分析较全面</w:t>
            </w:r>
            <w:r>
              <w:rPr>
                <w:rFonts w:hint="eastAsia" w:ascii="宋体" w:hAnsi="宋体" w:eastAsia="宋体" w:cs="宋体"/>
                <w:sz w:val="21"/>
                <w:szCs w:val="21"/>
                <w:highlight w:val="none"/>
                <w:lang w:eastAsia="zh-CN"/>
              </w:rPr>
              <w:t>，合理化建议</w:t>
            </w:r>
            <w:r>
              <w:rPr>
                <w:rFonts w:hint="eastAsia" w:ascii="宋体" w:hAnsi="宋体" w:eastAsia="宋体" w:cs="宋体"/>
                <w:sz w:val="21"/>
                <w:szCs w:val="21"/>
                <w:highlight w:val="none"/>
                <w:lang w:val="en-US" w:eastAsia="zh-CN"/>
              </w:rPr>
              <w:t>针对性较强</w:t>
            </w:r>
            <w:r>
              <w:rPr>
                <w:rFonts w:hint="eastAsia" w:ascii="宋体" w:hAnsi="宋体" w:eastAsia="宋体" w:cs="宋体"/>
                <w:sz w:val="21"/>
                <w:szCs w:val="21"/>
                <w:highlight w:val="none"/>
              </w:rPr>
              <w:t>的加1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勘察工作重点、难点分析全面性</w:t>
            </w:r>
            <w:r>
              <w:rPr>
                <w:rFonts w:hint="eastAsia" w:ascii="宋体" w:hAnsi="宋体" w:eastAsia="宋体" w:cs="宋体"/>
                <w:sz w:val="21"/>
                <w:szCs w:val="21"/>
                <w:highlight w:val="none"/>
                <w:lang w:eastAsia="zh-CN"/>
              </w:rPr>
              <w:t>，合理化建议</w:t>
            </w:r>
            <w:r>
              <w:rPr>
                <w:rFonts w:hint="eastAsia" w:ascii="宋体" w:hAnsi="宋体" w:eastAsia="宋体" w:cs="宋体"/>
                <w:sz w:val="21"/>
                <w:szCs w:val="21"/>
                <w:highlight w:val="none"/>
                <w:lang w:val="en-US" w:eastAsia="zh-CN"/>
              </w:rPr>
              <w:t>针对性一般</w:t>
            </w:r>
            <w:r>
              <w:rPr>
                <w:rFonts w:hint="eastAsia" w:ascii="宋体" w:hAnsi="宋体" w:eastAsia="宋体" w:cs="宋体"/>
                <w:sz w:val="21"/>
                <w:szCs w:val="21"/>
                <w:highlight w:val="none"/>
              </w:rPr>
              <w:t>的加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与地方单位及民航行业主管部门协调措施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项目服务方案中有与地方单位（包括但不限于佛山、肇庆</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有关单位）及民航行业主管部门协调措施的得基本分3.0分；与地方单位及民航行业主管部门协调措施合理完善的加1.0分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与地方单位及民航行业主管部门协调措施较为合理完善的加0.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与地方单位及民航行业主管部门协调措施</w:t>
            </w:r>
            <w:r>
              <w:rPr>
                <w:rFonts w:hint="eastAsia" w:ascii="宋体" w:hAnsi="宋体" w:eastAsia="宋体" w:cs="宋体"/>
                <w:sz w:val="21"/>
                <w:szCs w:val="21"/>
                <w:highlight w:val="none"/>
                <w:lang w:eastAsia="zh-CN"/>
              </w:rPr>
              <w:t>合理性、完善程度</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总体协调工作和后续服务安排及保证措施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项目服务方案中有作为总体协调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如何协调其他</w:t>
            </w:r>
            <w:r>
              <w:rPr>
                <w:rFonts w:hint="eastAsia" w:ascii="宋体" w:hAnsi="宋体" w:eastAsia="宋体" w:cs="宋体"/>
                <w:sz w:val="21"/>
                <w:szCs w:val="21"/>
                <w:highlight w:val="none"/>
                <w:lang w:eastAsia="zh-CN"/>
              </w:rPr>
              <w:t>包组</w:t>
            </w:r>
            <w:r>
              <w:rPr>
                <w:rFonts w:hint="eastAsia" w:ascii="宋体" w:hAnsi="宋体" w:eastAsia="宋体" w:cs="宋体"/>
                <w:sz w:val="21"/>
                <w:szCs w:val="21"/>
                <w:highlight w:val="none"/>
              </w:rPr>
              <w:t>中标人勘察工作的初步方案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后续服务安排及保证措施的得基本分3.0分；总体协调工作和后续服务安排及保证措施完善且可实施性强的加1.0分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总体协调工作和后续服务安排及保证措施较完善且可实施性较强的加0.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总体协调工作和后续服务安排及保证措施</w:t>
            </w:r>
            <w:r>
              <w:rPr>
                <w:rFonts w:hint="eastAsia" w:ascii="宋体" w:hAnsi="宋体" w:eastAsia="宋体" w:cs="宋体"/>
                <w:sz w:val="21"/>
                <w:szCs w:val="21"/>
                <w:highlight w:val="none"/>
                <w:lang w:eastAsia="zh-CN"/>
              </w:rPr>
              <w:t>完善程度、可实施性</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1"/>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项目管理班子配备情况</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6461" w:type="dxa"/>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w:t>
            </w:r>
            <w:r>
              <w:rPr>
                <w:rFonts w:hint="eastAsia" w:ascii="宋体" w:hAnsi="宋体" w:eastAsia="宋体" w:cs="宋体"/>
                <w:color w:val="auto"/>
                <w:sz w:val="21"/>
                <w:szCs w:val="21"/>
                <w:highlight w:val="none"/>
                <w:lang w:eastAsia="zh-CN"/>
              </w:rPr>
              <w:t>项目管理班子人员（</w:t>
            </w:r>
            <w:r>
              <w:rPr>
                <w:rFonts w:hint="eastAsia" w:ascii="宋体" w:hAnsi="宋体" w:eastAsia="宋体" w:cs="宋体"/>
                <w:color w:val="auto"/>
                <w:sz w:val="21"/>
                <w:szCs w:val="21"/>
                <w:highlight w:val="none"/>
                <w:lang w:val="en-US" w:eastAsia="zh-CN"/>
              </w:rPr>
              <w:t>除项目负责人外）：</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1、配备人员具有注册土木工程师（岩土）执业资格证书的，每人得1分，本小项最高4分；</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2、配备人员具有地质勘察或机场工程相关专业高级（或以上）职称的，每人得1分，本小项最高得4分。</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①拟派的上述人员相互不得兼任。</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000000"/>
                <w:kern w:val="0"/>
                <w:sz w:val="21"/>
                <w:szCs w:val="21"/>
                <w:highlight w:val="none"/>
                <w:lang w:bidi="zh-CN"/>
              </w:rPr>
              <w:t>同一人员不重复计分。</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③须提供相关证书复印件并加盖投标人公章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。职称以最高职称为准计算一次。专业以职称证书为准，若职称证书无专业则以毕业证书的专业为准。</w:t>
            </w:r>
          </w:p>
          <w:p>
            <w:pPr>
              <w:spacing w:line="240" w:lineRule="auto"/>
              <w:rPr>
                <w:rFonts w:hint="eastAsia" w:ascii="宋体" w:hAnsi="宋体" w:eastAsia="宋体" w:cs="宋体"/>
                <w:color w:val="000000"/>
                <w:kern w:val="0"/>
                <w:sz w:val="21"/>
                <w:szCs w:val="21"/>
                <w:highlight w:val="none"/>
                <w:lang w:bidi="zh-CN"/>
              </w:rPr>
            </w:pPr>
            <w:r>
              <w:rPr>
                <w:rFonts w:hint="eastAsia" w:ascii="宋体" w:hAnsi="宋体" w:eastAsia="宋体" w:cs="宋体"/>
                <w:color w:val="auto"/>
                <w:sz w:val="21"/>
                <w:szCs w:val="21"/>
                <w:highlight w:val="none"/>
              </w:rPr>
              <w:t>④须提供上述人员对应所在单位近半年（扣除发布招标公告当月往前顺推6个月，即</w:t>
            </w:r>
            <w:r>
              <w:rPr>
                <w:rFonts w:hint="eastAsia" w:ascii="宋体" w:hAnsi="宋体" w:eastAsia="宋体" w:cs="宋体"/>
                <w:color w:val="auto"/>
                <w:sz w:val="21"/>
                <w:szCs w:val="21"/>
                <w:highlight w:val="none"/>
                <w:lang w:eastAsia="zh-CN"/>
              </w:rPr>
              <w:t>2021年10月至2022年3月</w:t>
            </w:r>
            <w:r>
              <w:rPr>
                <w:rFonts w:hint="eastAsia" w:ascii="宋体" w:hAnsi="宋体" w:eastAsia="宋体" w:cs="宋体"/>
                <w:color w:val="auto"/>
                <w:sz w:val="21"/>
                <w:szCs w:val="21"/>
                <w:highlight w:val="none"/>
              </w:rPr>
              <w:t>）为其缴纳的社保资金的有效的社保证明材料</w:t>
            </w:r>
            <w:r>
              <w:rPr>
                <w:rFonts w:hint="eastAsia" w:ascii="宋体" w:hAnsi="宋体" w:eastAsia="宋体" w:cs="宋体"/>
                <w:color w:val="000000"/>
                <w:sz w:val="21"/>
                <w:szCs w:val="21"/>
                <w:highlight w:val="none"/>
              </w:rPr>
              <w:t>并加盖投标人公章</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bidi="zh-CN"/>
              </w:rPr>
              <w:t>社保证明材料要求同招标公告--投标人资格、投标人须知的社保证明材料要求。如投标人受疫情影响已向相关部门申请免除或缓缴社保费的，或相关部门发布通知可免除或缓缴社保费的，可不提供相应月份的社保证明，但须提供相关申请成功证明材料或相关部门的公告通知文件（或网站公示截图）复印件并加盖投标人公章。</w:t>
            </w:r>
          </w:p>
          <w:p>
            <w:pPr>
              <w:spacing w:line="240" w:lineRule="auto"/>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bidi="zh-CN"/>
              </w:rPr>
              <w:t>⑤省外进粤企业，上述人员须在“进粤企业和人员诚信信息登记平台”办理了登记手续，须附在广东建设信息网（网址：www.gdcic.net）“进粤企业和人员诚信信息登记平台”专栏关于投标人进粤企业及人员信息登记的查询网页打印件并加盖投标人公章。</w:t>
            </w:r>
          </w:p>
        </w:tc>
      </w:tr>
    </w:tbl>
    <w:p>
      <w:pPr>
        <w:snapToGrid w:val="0"/>
        <w:spacing w:line="360" w:lineRule="auto"/>
        <w:ind w:firstLine="105" w:firstLineChars="5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132"/>
        </w:numPr>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招标文件要求提交的与评价指标体系相关的各类有效资料，投标人如未按要求提交的，该项评分为零分。</w:t>
      </w:r>
    </w:p>
    <w:p>
      <w:pPr>
        <w:numPr>
          <w:ilvl w:val="0"/>
          <w:numId w:val="132"/>
        </w:numPr>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highlight w:val="none"/>
        </w:rPr>
        <w:t>技术评分：所有评委评分分值的算术平均值（四舍五入后，</w:t>
      </w:r>
      <w:r>
        <w:rPr>
          <w:rFonts w:hint="eastAsia" w:ascii="宋体" w:hAnsi="宋体" w:eastAsia="宋体" w:cs="宋体"/>
          <w:color w:val="auto"/>
          <w:szCs w:val="20"/>
          <w:highlight w:val="none"/>
        </w:rPr>
        <w:t>小数点后保留两位有效数</w:t>
      </w:r>
      <w:r>
        <w:rPr>
          <w:rFonts w:hint="eastAsia" w:ascii="宋体" w:hAnsi="宋体" w:eastAsia="宋体" w:cs="宋体"/>
          <w:bCs/>
          <w:color w:val="auto"/>
          <w:highlight w:val="none"/>
        </w:rPr>
        <w:t>）。</w:t>
      </w:r>
    </w:p>
    <w:p>
      <w:pPr>
        <w:numPr>
          <w:ilvl w:val="0"/>
          <w:numId w:val="132"/>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质勘察相关专业”是指：土木工程、岩土工程等相关专业；“机场工程相关专业”是指：机场工程、机场工程及运行、机场工程（岩土工程）等相关专业。专业名称以职称证的专业名称为准，如职称证无法显示专业名称的，以学历证书的专业名称为准。</w:t>
      </w:r>
    </w:p>
    <w:p>
      <w:pPr>
        <w:numPr>
          <w:ilvl w:val="0"/>
          <w:numId w:val="132"/>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关于职称证书核发机构的要求（满足以下两点之一）：</w:t>
      </w:r>
    </w:p>
    <w:p>
      <w:pPr>
        <w:numPr>
          <w:ilvl w:val="0"/>
          <w:numId w:val="133"/>
        </w:numPr>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如职称证书由人社部门（其中高级或以上职称须由省级或以上人社部门）或其他政府部门核发的，须提供职称证书（盖有人社部门或其他政府部门印章）复印件，否则，对该职称证书不予认可。</w:t>
      </w:r>
    </w:p>
    <w:p>
      <w:pPr>
        <w:numPr>
          <w:ilvl w:val="0"/>
          <w:numId w:val="133"/>
        </w:numPr>
        <w:snapToGrid w:val="0"/>
        <w:spacing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如职称证书非人社部门</w:t>
      </w:r>
      <w:r>
        <w:rPr>
          <w:rFonts w:hint="eastAsia" w:ascii="宋体" w:hAnsi="宋体" w:eastAsia="宋体" w:cs="宋体"/>
          <w:color w:val="auto"/>
          <w:highlight w:val="none"/>
          <w:lang w:eastAsia="zh-CN"/>
        </w:rPr>
        <w:t>或其他政府部门</w:t>
      </w:r>
      <w:r>
        <w:rPr>
          <w:rFonts w:hint="eastAsia" w:ascii="宋体" w:hAnsi="宋体" w:eastAsia="宋体" w:cs="宋体"/>
          <w:color w:val="auto"/>
          <w:highlight w:val="none"/>
          <w:lang w:eastAsia="zh-CN"/>
        </w:rPr>
        <w:t>核发的，须提供：①职称证书【盖有核发机构（或该机构职称评审委员会）印章】复印件；②发证单位（或该单位职称评审委员会）在人社部门授权或核准备案证明其具有职称评审权的证明文件复印件加盖投标人公章，或该人员在人社部门职称管理系统登记的获得该职称的信息记录网页或截图打印件加盖投标人公章。否则，对该职称证书不予认可</w:t>
      </w:r>
      <w:r>
        <w:rPr>
          <w:rFonts w:hint="eastAsia" w:ascii="宋体" w:hAnsi="宋体" w:eastAsia="宋体" w:cs="宋体"/>
          <w:color w:val="auto"/>
          <w:highlight w:val="none"/>
        </w:rPr>
        <w:t>。</w:t>
      </w:r>
    </w:p>
    <w:p>
      <w:pPr>
        <w:snapToGrid w:val="0"/>
        <w:spacing w:line="360" w:lineRule="auto"/>
        <w:ind w:firstLine="525" w:firstLineChars="250"/>
        <w:rPr>
          <w:rFonts w:ascii="宋体" w:hAnsi="宋体"/>
          <w:bCs/>
          <w:color w:val="auto"/>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商务部分评分表（适用于包组一）</w:t>
      </w:r>
    </w:p>
    <w:p>
      <w:pPr>
        <w:pStyle w:val="2"/>
        <w:ind w:firstLine="560"/>
        <w:jc w:val="center"/>
        <w:rPr>
          <w:rFonts w:eastAsia="黑体"/>
          <w:color w:val="auto"/>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20</w:t>
      </w:r>
      <w:r>
        <w:rPr>
          <w:rFonts w:hint="eastAsia" w:ascii="黑体" w:hAnsi="宋体" w:eastAsia="黑体" w:cs="宋体"/>
          <w:color w:val="auto"/>
          <w:sz w:val="28"/>
          <w:szCs w:val="28"/>
          <w:highlight w:val="none"/>
        </w:rPr>
        <w:t>分）</w:t>
      </w:r>
    </w:p>
    <w:tbl>
      <w:tblPr>
        <w:tblStyle w:val="25"/>
        <w:tblW w:w="9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1792"/>
        <w:gridCol w:w="945"/>
        <w:gridCol w:w="58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838" w:type="dxa"/>
            <w:noWrap w:val="0"/>
            <w:vAlign w:val="center"/>
          </w:tcPr>
          <w:p>
            <w:pPr>
              <w:pStyle w:val="55"/>
              <w:jc w:val="center"/>
              <w:rPr>
                <w:rFonts w:hint="eastAsia" w:ascii="宋体" w:hAnsi="宋体" w:cs="宋体"/>
                <w:b/>
                <w:color w:val="000000"/>
                <w:szCs w:val="21"/>
                <w:highlight w:val="none"/>
              </w:rPr>
            </w:pPr>
          </w:p>
          <w:p>
            <w:pPr>
              <w:pStyle w:val="55"/>
              <w:jc w:val="center"/>
              <w:rPr>
                <w:rFonts w:hint="eastAsia" w:ascii="宋体" w:hAnsi="宋体" w:cs="宋体"/>
                <w:b/>
                <w:szCs w:val="21"/>
                <w:highlight w:val="none"/>
              </w:rPr>
            </w:pPr>
            <w:r>
              <w:rPr>
                <w:rFonts w:hint="eastAsia" w:ascii="宋体" w:hAnsi="宋体" w:cs="宋体"/>
                <w:b/>
                <w:color w:val="000000"/>
                <w:szCs w:val="21"/>
                <w:highlight w:val="none"/>
              </w:rPr>
              <w:t>序号</w:t>
            </w:r>
          </w:p>
        </w:tc>
        <w:tc>
          <w:tcPr>
            <w:tcW w:w="1792"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评分因素</w:t>
            </w:r>
          </w:p>
        </w:tc>
        <w:tc>
          <w:tcPr>
            <w:tcW w:w="945" w:type="dxa"/>
            <w:noWrap w:val="0"/>
            <w:vAlign w:val="center"/>
          </w:tcPr>
          <w:p>
            <w:pPr>
              <w:pStyle w:val="55"/>
              <w:jc w:val="center"/>
              <w:rPr>
                <w:rFonts w:hint="eastAsia" w:ascii="宋体" w:hAnsi="宋体" w:cs="宋体"/>
                <w:b/>
                <w:szCs w:val="21"/>
                <w:highlight w:val="none"/>
                <w:u w:val="single"/>
              </w:rPr>
            </w:pPr>
            <w:r>
              <w:rPr>
                <w:rFonts w:hint="eastAsia" w:ascii="宋体" w:hAnsi="宋体" w:cs="宋体"/>
                <w:b/>
                <w:color w:val="000000"/>
                <w:szCs w:val="21"/>
                <w:highlight w:val="none"/>
              </w:rPr>
              <w:t>分值（分）</w:t>
            </w:r>
          </w:p>
        </w:tc>
        <w:tc>
          <w:tcPr>
            <w:tcW w:w="5809"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企业资质等级</w:t>
            </w:r>
          </w:p>
        </w:tc>
        <w:tc>
          <w:tcPr>
            <w:tcW w:w="945" w:type="dxa"/>
            <w:noWrap w:val="0"/>
            <w:vAlign w:val="center"/>
          </w:tcPr>
          <w:p>
            <w:pPr>
              <w:widowControl/>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color w:val="000000"/>
                <w:highlight w:val="none"/>
                <w:lang w:val="en-US" w:eastAsia="zh-CN"/>
              </w:rPr>
              <w:t>3</w:t>
            </w:r>
          </w:p>
        </w:tc>
        <w:tc>
          <w:tcPr>
            <w:tcW w:w="5809" w:type="dxa"/>
            <w:noWrap w:val="0"/>
            <w:vAlign w:val="center"/>
          </w:tcPr>
          <w:p>
            <w:pPr>
              <w:numPr>
                <w:ilvl w:val="0"/>
                <w:numId w:val="135"/>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投标人具有工程勘察综合</w:t>
            </w:r>
            <w:r>
              <w:rPr>
                <w:rFonts w:hint="eastAsia" w:ascii="宋体" w:hAnsi="宋体" w:eastAsia="宋体" w:cs="宋体"/>
                <w:bCs/>
                <w:sz w:val="21"/>
                <w:szCs w:val="21"/>
                <w:highlight w:val="none"/>
                <w:lang w:eastAsia="zh-CN"/>
              </w:rPr>
              <w:t>类</w:t>
            </w:r>
            <w:r>
              <w:rPr>
                <w:rFonts w:hint="eastAsia" w:ascii="宋体" w:hAnsi="宋体" w:eastAsia="宋体" w:cs="宋体"/>
                <w:bCs/>
                <w:sz w:val="21"/>
                <w:szCs w:val="21"/>
                <w:highlight w:val="none"/>
              </w:rPr>
              <w:t>甲级资质的得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w:t>
            </w:r>
          </w:p>
          <w:p>
            <w:pPr>
              <w:numPr>
                <w:ilvl w:val="0"/>
                <w:numId w:val="0"/>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投标人具有工程勘察专业类（岩土工程）甲级资质的得</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分。</w:t>
            </w:r>
          </w:p>
          <w:p>
            <w:pPr>
              <w:spacing w:line="24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【本项最高得3分】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注：提供资质证书复印件并加盖投标人公章。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color w:val="000000"/>
                <w:highlight w:val="none"/>
                <w:lang w:eastAsia="zh-CN"/>
              </w:rPr>
              <w:t>企业诚信（信用）评价等级</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2</w:t>
            </w:r>
          </w:p>
        </w:tc>
        <w:tc>
          <w:tcPr>
            <w:tcW w:w="5809" w:type="dxa"/>
            <w:noWrap w:val="0"/>
            <w:vAlign w:val="center"/>
          </w:tcPr>
          <w:p>
            <w:pPr>
              <w:numPr>
                <w:ilvl w:val="0"/>
                <w:numId w:val="0"/>
              </w:num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投标人开标当天在佛山市建筑诚信评价体系管理平台(资质类别：</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类企业)的诚信等级为</w:t>
            </w:r>
            <w:r>
              <w:rPr>
                <w:rFonts w:hint="eastAsia" w:ascii="宋体" w:hAnsi="宋体" w:eastAsia="宋体" w:cs="宋体"/>
                <w:color w:val="auto"/>
                <w:sz w:val="21"/>
                <w:szCs w:val="21"/>
                <w:highlight w:val="none"/>
                <w:lang w:val="en-US" w:eastAsia="zh-CN"/>
              </w:rPr>
              <w:t>B级或以上的得2分</w:t>
            </w:r>
            <w:r>
              <w:rPr>
                <w:rFonts w:hint="eastAsia" w:ascii="宋体" w:hAnsi="宋体" w:eastAsia="宋体" w:cs="宋体"/>
                <w:color w:val="auto"/>
                <w:sz w:val="21"/>
                <w:szCs w:val="21"/>
                <w:highlight w:val="none"/>
              </w:rPr>
              <w:t>；其余情况不得分。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注：投标人须提供佛山市建筑诚信评价体系管理平台的相关网页截图</w:t>
            </w:r>
            <w:r>
              <w:rPr>
                <w:rFonts w:hint="eastAsia" w:ascii="宋体" w:hAnsi="宋体" w:eastAsia="宋体" w:cs="宋体"/>
                <w:color w:val="auto"/>
                <w:sz w:val="21"/>
                <w:szCs w:val="21"/>
                <w:highlight w:val="none"/>
                <w:lang w:eastAsia="zh-CN"/>
              </w:rPr>
              <w:t>并加盖投标人公章</w:t>
            </w:r>
            <w:r>
              <w:rPr>
                <w:rFonts w:hint="eastAsia" w:ascii="宋体" w:hAnsi="宋体" w:eastAsia="宋体" w:cs="宋体"/>
                <w:color w:val="auto"/>
                <w:sz w:val="21"/>
                <w:szCs w:val="21"/>
                <w:highlight w:val="none"/>
              </w:rPr>
              <w:t>。企业诚信等级以开标当天资格审查时查询的诚信等级为准。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color w:val="000000"/>
                <w:highlight w:val="none"/>
                <w:lang w:eastAsia="zh-CN"/>
              </w:rPr>
            </w:pPr>
            <w:r>
              <w:rPr>
                <w:rFonts w:hint="eastAsia" w:ascii="宋体" w:hAnsi="宋体" w:cs="宋体"/>
                <w:color w:val="000000"/>
                <w:highlight w:val="none"/>
                <w:lang w:eastAsia="zh-CN"/>
              </w:rPr>
              <w:t>企业类似工程业绩</w:t>
            </w:r>
          </w:p>
        </w:tc>
        <w:tc>
          <w:tcPr>
            <w:tcW w:w="945" w:type="dxa"/>
            <w:noWrap w:val="0"/>
            <w:vAlign w:val="center"/>
          </w:tcPr>
          <w:p>
            <w:pPr>
              <w:widowControl/>
              <w:jc w:val="center"/>
              <w:rPr>
                <w:rFonts w:hint="eastAsia" w:ascii="宋体" w:hAnsi="宋体" w:cs="宋体"/>
                <w:color w:val="000000"/>
                <w:highlight w:val="none"/>
                <w:lang w:val="en-US" w:eastAsia="zh-CN"/>
              </w:rPr>
            </w:pPr>
            <w:r>
              <w:rPr>
                <w:rFonts w:hint="eastAsia" w:ascii="宋体" w:hAnsi="宋体" w:eastAsia="宋体" w:cs="宋体"/>
                <w:color w:val="000000"/>
                <w:highlight w:val="none"/>
                <w:lang w:val="en-US" w:eastAsia="zh-CN"/>
              </w:rPr>
              <w:t>9</w:t>
            </w:r>
          </w:p>
        </w:tc>
        <w:tc>
          <w:tcPr>
            <w:tcW w:w="5809" w:type="dxa"/>
            <w:noWrap w:val="0"/>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1、近五年内（自2017年1月1日起至投标截止时间止），投标人承揽过勘察费人民币600万元及以上的勘察类项目的，每个得2分，本小项最高得4分；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2、近五年内（自2017年1月1日起至投标截止时间止），投标人承揽过</w:t>
            </w:r>
            <w:r>
              <w:rPr>
                <w:rFonts w:hint="eastAsia" w:ascii="宋体" w:hAnsi="宋体" w:eastAsia="宋体" w:cs="宋体"/>
                <w:sz w:val="21"/>
                <w:szCs w:val="21"/>
                <w:highlight w:val="none"/>
              </w:rPr>
              <w:t>4E及以上级别民用运输机场建设勘察项目（需包含机场飞行区范围）</w:t>
            </w:r>
            <w:r>
              <w:rPr>
                <w:rFonts w:hint="eastAsia" w:ascii="宋体" w:hAnsi="宋体" w:eastAsia="宋体" w:cs="宋体"/>
                <w:color w:val="auto"/>
                <w:sz w:val="21"/>
                <w:szCs w:val="21"/>
                <w:highlight w:val="none"/>
                <w:lang w:val="en-US" w:eastAsia="zh-CN"/>
              </w:rPr>
              <w:t>的，每个得2分，本小项最高得4分；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3、投标人提供的上述</w:t>
            </w:r>
            <w:r>
              <w:rPr>
                <w:rFonts w:hint="eastAsia" w:ascii="宋体" w:hAnsi="宋体" w:eastAsia="宋体" w:cs="宋体"/>
                <w:sz w:val="21"/>
                <w:szCs w:val="21"/>
                <w:highlight w:val="none"/>
              </w:rPr>
              <w:t>勘察项目</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包含主体勘察协调(或勘察设计总协调)内容或是作为项目联合体牵头单位</w:t>
            </w:r>
            <w:r>
              <w:rPr>
                <w:rFonts w:hint="eastAsia" w:ascii="宋体" w:hAnsi="宋体" w:eastAsia="宋体" w:cs="宋体"/>
                <w:color w:val="auto"/>
                <w:sz w:val="21"/>
                <w:szCs w:val="21"/>
                <w:highlight w:val="none"/>
                <w:lang w:eastAsia="zh-CN"/>
              </w:rPr>
              <w:t>的，每个加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9分】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注：①同一项目业绩不重复计分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成果验收报告或</w:t>
            </w:r>
            <w:r>
              <w:rPr>
                <w:rFonts w:hint="eastAsia" w:ascii="宋体" w:hAnsi="宋体" w:eastAsia="宋体" w:cs="宋体"/>
                <w:color w:val="auto"/>
                <w:sz w:val="21"/>
                <w:szCs w:val="21"/>
                <w:highlight w:val="none"/>
                <w:lang w:eastAsia="en-US"/>
              </w:rPr>
              <w:t>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项目负责人业绩</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highlight w:val="none"/>
                <w:lang w:val="en-US" w:eastAsia="zh-CN"/>
              </w:rPr>
              <w:t>3</w:t>
            </w:r>
          </w:p>
        </w:tc>
        <w:tc>
          <w:tcPr>
            <w:tcW w:w="5809" w:type="dxa"/>
            <w:noWrap w:val="0"/>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1、近五年内（自2017年1月1日起至投标截止时间止）作为项目负责人承揽过勘察费人民币400万元及以上的勘察类项目的，每个得1分，本小项最高得2分；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2、近五年内（自2017年1月1日起至投标截止时间止）作为项目负责人承揽过4E及以上级别民用运输机场建设勘察项目（需包含机场飞行区范围）的，每个得1分，本小项最高得1分。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注：①</w:t>
            </w:r>
            <w:r>
              <w:rPr>
                <w:rFonts w:hint="eastAsia" w:ascii="宋体" w:hAnsi="宋体" w:eastAsia="宋体" w:cs="宋体"/>
                <w:color w:val="auto"/>
                <w:sz w:val="21"/>
                <w:szCs w:val="21"/>
                <w:highlight w:val="none"/>
                <w:lang w:eastAsia="zh-CN"/>
              </w:rPr>
              <w:t>同一项目业绩不重复计分。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合同协议书、成果验收报告或审查通过文件（如有）等复印件作为证明材料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highlight w:val="none"/>
                <w:lang w:eastAsia="zh-CN"/>
              </w:rPr>
              <w:t>企业管理体系认证</w:t>
            </w:r>
          </w:p>
        </w:tc>
        <w:tc>
          <w:tcPr>
            <w:tcW w:w="945" w:type="dxa"/>
            <w:noWrap w:val="0"/>
            <w:vAlign w:val="center"/>
          </w:tcPr>
          <w:p>
            <w:pPr>
              <w:widowControl/>
              <w:jc w:val="center"/>
              <w:rPr>
                <w:rFonts w:hint="eastAsia" w:ascii="宋体" w:hAnsi="宋体" w:cs="宋体"/>
                <w:highlight w:val="none"/>
                <w:lang w:val="en-US" w:eastAsia="zh-CN"/>
              </w:rPr>
            </w:pPr>
            <w:r>
              <w:rPr>
                <w:rFonts w:hint="default" w:ascii="宋体" w:hAnsi="宋体" w:cs="宋体"/>
                <w:color w:val="000000"/>
                <w:highlight w:val="none"/>
                <w:lang w:val="en-US" w:eastAsia="zh-CN"/>
              </w:rPr>
              <w:t>2</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有效期内的企业管理体系认证情况：</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同时具备质量管理体系认证、环境管理体系认证、职业健康安全管理体系认证，得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两项，得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一项，得1分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注：提供相关证明材料复印件</w:t>
            </w:r>
            <w:r>
              <w:rPr>
                <w:rFonts w:hint="eastAsia" w:ascii="宋体" w:hAnsi="宋体" w:eastAsia="宋体" w:cs="宋体"/>
                <w:color w:val="auto"/>
                <w:sz w:val="21"/>
                <w:szCs w:val="21"/>
                <w:highlight w:val="none"/>
                <w:lang w:val="en-US" w:eastAsia="zh-CN"/>
              </w:rPr>
              <w:t>并加盖投标人公章</w:t>
            </w:r>
            <w:r>
              <w:rPr>
                <w:rFonts w:hint="eastAsia" w:ascii="宋体" w:hAnsi="宋体" w:eastAsia="宋体" w:cs="宋体"/>
                <w:color w:val="auto"/>
                <w:sz w:val="21"/>
                <w:szCs w:val="21"/>
                <w:highlight w:val="none"/>
                <w:lang w:eastAsia="zh-CN"/>
              </w:rPr>
              <w:t>，否则不得分。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838" w:type="dxa"/>
            <w:noWrap w:val="0"/>
            <w:vAlign w:val="center"/>
          </w:tcPr>
          <w:p>
            <w:pPr>
              <w:widowControl/>
              <w:numPr>
                <w:ilvl w:val="0"/>
                <w:numId w:val="134"/>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项目负责人技术职称</w:t>
            </w:r>
          </w:p>
        </w:tc>
        <w:tc>
          <w:tcPr>
            <w:tcW w:w="945" w:type="dxa"/>
            <w:noWrap w:val="0"/>
            <w:vAlign w:val="center"/>
          </w:tcPr>
          <w:p>
            <w:pPr>
              <w:widowControl/>
              <w:jc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1</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拟派项目负责人具有地质勘察或机场工程相关专业研究员或教授级高级职称的得1分，具有高级职称的得0.5分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须提供相关证书复印件并加盖投标人公章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副高级职称按高级职称计算得分，正高级职称按</w:t>
            </w:r>
            <w:r>
              <w:rPr>
                <w:rFonts w:hint="eastAsia" w:ascii="宋体" w:hAnsi="宋体" w:eastAsia="宋体" w:cs="宋体"/>
                <w:color w:val="auto"/>
                <w:sz w:val="21"/>
                <w:szCs w:val="21"/>
                <w:highlight w:val="none"/>
                <w:lang w:val="en-US" w:eastAsia="zh-CN"/>
              </w:rPr>
              <w:t>教授级高级职称计算得分，</w:t>
            </w:r>
            <w:r>
              <w:rPr>
                <w:rFonts w:hint="eastAsia" w:ascii="宋体" w:hAnsi="宋体" w:eastAsia="宋体" w:cs="宋体"/>
                <w:color w:val="auto"/>
                <w:sz w:val="21"/>
                <w:szCs w:val="21"/>
                <w:highlight w:val="none"/>
              </w:rPr>
              <w:t>职称以最高职称为准计算一次。专业以职称证书为准，若职称证书无专业则以毕业证书的专业为准。</w:t>
            </w:r>
            <w:r>
              <w:rPr>
                <w:rFonts w:hint="eastAsia" w:ascii="宋体" w:hAnsi="宋体" w:eastAsia="宋体" w:cs="宋体"/>
                <w:color w:val="000000"/>
                <w:kern w:val="0"/>
                <w:sz w:val="21"/>
                <w:szCs w:val="21"/>
                <w:highlight w:val="none"/>
                <w:lang w:bidi="zh-CN"/>
              </w:rPr>
              <w:t xml:space="preserve"> </w:t>
            </w:r>
          </w:p>
        </w:tc>
      </w:tr>
    </w:tbl>
    <w:p>
      <w:pPr>
        <w:snapToGrid w:val="0"/>
        <w:spacing w:line="360" w:lineRule="auto"/>
        <w:ind w:left="210" w:leftChars="10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136"/>
        </w:numPr>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招标文件要求提交的与评价指标体系相关的各类有效资料，投标人如未按要求提交的，该项评分为零分。</w:t>
      </w:r>
    </w:p>
    <w:p>
      <w:pPr>
        <w:numPr>
          <w:ilvl w:val="0"/>
          <w:numId w:val="136"/>
        </w:numPr>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商务评分：所有评委评分分值的算术平均值（四舍五入后，</w:t>
      </w:r>
      <w:r>
        <w:rPr>
          <w:rFonts w:hint="eastAsia" w:ascii="宋体" w:hAnsi="宋体" w:eastAsia="宋体" w:cs="宋体"/>
          <w:color w:val="auto"/>
          <w:szCs w:val="20"/>
          <w:highlight w:val="none"/>
        </w:rPr>
        <w:t>小数点后保留两位有效数</w:t>
      </w:r>
      <w:r>
        <w:rPr>
          <w:rFonts w:hint="eastAsia" w:ascii="宋体" w:hAnsi="宋体" w:eastAsia="宋体" w:cs="宋体"/>
          <w:bCs/>
          <w:color w:val="auto"/>
          <w:highlight w:val="none"/>
        </w:rPr>
        <w:t>）。</w:t>
      </w:r>
    </w:p>
    <w:p>
      <w:pPr>
        <w:numPr>
          <w:ilvl w:val="0"/>
          <w:numId w:val="136"/>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“承揽过”：是指所承担的项目正在建设中或所承担的项目已完成并通过验收；如投标人所承担的项目已完成并通过验收，则除提供</w:t>
      </w:r>
      <w:r>
        <w:rPr>
          <w:rFonts w:hint="eastAsia" w:ascii="宋体" w:hAnsi="宋体" w:eastAsia="宋体" w:cs="宋体"/>
          <w:color w:val="auto"/>
          <w:sz w:val="21"/>
          <w:szCs w:val="21"/>
          <w:highlight w:val="none"/>
          <w:lang w:eastAsia="en-US"/>
        </w:rPr>
        <w:t>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复印件外，还需提供成果验收报告或审查通过文件复印件作为证明材料</w:t>
      </w:r>
      <w:r>
        <w:rPr>
          <w:rFonts w:hint="eastAsia" w:ascii="宋体" w:hAnsi="宋体" w:eastAsia="宋体" w:cs="宋体"/>
          <w:color w:val="auto"/>
          <w:highlight w:val="none"/>
          <w:lang w:eastAsia="zh-CN"/>
        </w:rPr>
        <w:t>。</w:t>
      </w:r>
    </w:p>
    <w:p>
      <w:pPr>
        <w:numPr>
          <w:ilvl w:val="0"/>
          <w:numId w:val="136"/>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质勘察相关专业”是指：土木工程、岩土工程等相关专业；“机场工程相关专业”是指：机场工程、机场工程及运行、机场工程（岩土工程）等相关专业。专业名称以职称证的专业名称为准，如职称证无法显示专业名称的，以学历证书的专业名称为准。</w:t>
      </w:r>
    </w:p>
    <w:p>
      <w:pPr>
        <w:numPr>
          <w:ilvl w:val="0"/>
          <w:numId w:val="136"/>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关于职称证书核发机构的要求（满足以下两点之一）：</w:t>
      </w:r>
    </w:p>
    <w:p>
      <w:pPr>
        <w:numPr>
          <w:ilvl w:val="0"/>
          <w:numId w:val="137"/>
        </w:numPr>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如职称证书由人社部门（其中高级或以上职称须由省级或以上人社部门）或其他政府部门核发的，须提供职称证书（盖有人社部门或其他政府部门印章）复印件，否则，对该职称证书不予认可。</w:t>
      </w:r>
    </w:p>
    <w:p>
      <w:pPr>
        <w:numPr>
          <w:ilvl w:val="0"/>
          <w:numId w:val="137"/>
        </w:numPr>
        <w:snapToGrid w:val="0"/>
        <w:spacing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如职称证书非人社部门或其他政府部门核发的，须提供：①职称证书【盖有核发机构（或该机构职称评审委员会）印章】复印件；②发证单位（或该单位职称评审委员会）在人社部门授权或核准备案证明其具有职称评审权的证明文件复印件加盖投标人公章，或该人员在人社部门职称管理系统登记的获得该职称的信息记录网页或截图打印件加盖投标人公章。否则，对该职称证书不予认可</w:t>
      </w:r>
      <w:r>
        <w:rPr>
          <w:rFonts w:hint="eastAsia" w:ascii="宋体" w:hAnsi="宋体" w:eastAsia="宋体" w:cs="宋体"/>
          <w:color w:val="auto"/>
          <w:highlight w:val="none"/>
        </w:rPr>
        <w:t>。</w:t>
      </w:r>
    </w:p>
    <w:p>
      <w:pPr>
        <w:pStyle w:val="2"/>
        <w:rPr>
          <w:color w:val="auto"/>
          <w:highlight w:val="none"/>
        </w:rPr>
      </w:pPr>
    </w:p>
    <w:p>
      <w:pPr>
        <w:adjustRightInd w:val="0"/>
        <w:snapToGrid w:val="0"/>
        <w:spacing w:before="156" w:beforeLines="50" w:after="156" w:afterLines="50"/>
        <w:jc w:val="center"/>
        <w:rPr>
          <w:rFonts w:hint="eastAsia" w:ascii="黑体" w:hAnsi="宋体" w:eastAsia="黑体" w:cs="宋体"/>
          <w:color w:val="auto"/>
          <w:sz w:val="28"/>
          <w:szCs w:val="28"/>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技术部分评分表（适用于包组</w:t>
      </w:r>
      <w:r>
        <w:rPr>
          <w:rFonts w:hint="eastAsia" w:ascii="黑体" w:hAnsi="宋体" w:eastAsia="黑体" w:cs="宋体"/>
          <w:color w:val="auto"/>
          <w:sz w:val="28"/>
          <w:szCs w:val="28"/>
          <w:highlight w:val="none"/>
          <w:lang w:val="en-US" w:eastAsia="zh-CN"/>
        </w:rPr>
        <w:t>二、包组三</w:t>
      </w:r>
      <w:r>
        <w:rPr>
          <w:rFonts w:hint="eastAsia" w:ascii="黑体" w:hAnsi="宋体" w:eastAsia="黑体" w:cs="宋体"/>
          <w:color w:val="auto"/>
          <w:sz w:val="28"/>
          <w:szCs w:val="28"/>
          <w:highlight w:val="none"/>
        </w:rPr>
        <w:t>）</w:t>
      </w:r>
    </w:p>
    <w:p>
      <w:pPr>
        <w:adjustRightInd w:val="0"/>
        <w:snapToGrid w:val="0"/>
        <w:spacing w:before="156" w:beforeLines="50" w:after="156" w:afterLines="50"/>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60</w:t>
      </w:r>
      <w:r>
        <w:rPr>
          <w:rFonts w:hint="eastAsia" w:ascii="黑体" w:hAnsi="宋体" w:eastAsia="黑体" w:cs="宋体"/>
          <w:color w:val="auto"/>
          <w:sz w:val="28"/>
          <w:szCs w:val="28"/>
          <w:highlight w:val="none"/>
        </w:rPr>
        <w:t>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5"/>
        <w:gridCol w:w="1425"/>
        <w:gridCol w:w="855"/>
        <w:gridCol w:w="6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58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2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855" w:type="dxa"/>
            <w:noWrap w:val="0"/>
            <w:vAlign w:val="center"/>
          </w:tcPr>
          <w:p>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分值（分）</w:t>
            </w:r>
          </w:p>
        </w:tc>
        <w:tc>
          <w:tcPr>
            <w:tcW w:w="6461"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勘察范围、勘察内容</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勘察内容整体理解和认识内容的得基本分4.0分；勘察工作范围</w:t>
            </w:r>
            <w:r>
              <w:rPr>
                <w:rFonts w:hint="eastAsia" w:ascii="宋体" w:hAnsi="宋体" w:eastAsia="宋体" w:cs="宋体"/>
                <w:sz w:val="21"/>
                <w:szCs w:val="21"/>
                <w:highlight w:val="none"/>
                <w:lang w:eastAsia="zh-CN"/>
              </w:rPr>
              <w:t>、勘察</w:t>
            </w:r>
            <w:r>
              <w:rPr>
                <w:rFonts w:hint="eastAsia" w:ascii="宋体" w:hAnsi="宋体" w:eastAsia="宋体" w:cs="宋体"/>
                <w:sz w:val="21"/>
                <w:szCs w:val="21"/>
                <w:highlight w:val="none"/>
              </w:rPr>
              <w:t>内容理解准确、编制完整的加1.0分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勘察工作范围</w:t>
            </w:r>
            <w:r>
              <w:rPr>
                <w:rFonts w:hint="eastAsia" w:ascii="宋体" w:hAnsi="宋体" w:eastAsia="宋体" w:cs="宋体"/>
                <w:sz w:val="21"/>
                <w:szCs w:val="21"/>
                <w:highlight w:val="none"/>
                <w:lang w:eastAsia="zh-CN"/>
              </w:rPr>
              <w:t>、勘察</w:t>
            </w:r>
            <w:r>
              <w:rPr>
                <w:rFonts w:hint="eastAsia" w:ascii="宋体" w:hAnsi="宋体" w:eastAsia="宋体" w:cs="宋体"/>
                <w:sz w:val="21"/>
                <w:szCs w:val="21"/>
                <w:highlight w:val="none"/>
              </w:rPr>
              <w:t>内容理解</w:t>
            </w:r>
            <w:r>
              <w:rPr>
                <w:rFonts w:hint="eastAsia" w:ascii="宋体" w:hAnsi="宋体" w:eastAsia="宋体" w:cs="宋体"/>
                <w:sz w:val="21"/>
                <w:szCs w:val="21"/>
                <w:highlight w:val="none"/>
                <w:lang w:eastAsia="zh-CN"/>
              </w:rPr>
              <w:t>较</w:t>
            </w:r>
            <w:r>
              <w:rPr>
                <w:rFonts w:hint="eastAsia" w:ascii="宋体" w:hAnsi="宋体" w:eastAsia="宋体" w:cs="宋体"/>
                <w:sz w:val="21"/>
                <w:szCs w:val="21"/>
                <w:highlight w:val="none"/>
              </w:rPr>
              <w:t>准确、编制较完整的加0.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；勘察工作范围、勘察内容理解准确程度、编制完整度</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勘察依据、勘察工作目标</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项目服务方案中有招标项目勘察依据、勘察工作目标内容的得基本分4.0分；勘察依据、勘察工作目标明确的加1.0分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勘察依据、勘察工作目标较明确的加0.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勘察依据、勘察工作目标</w:t>
            </w:r>
            <w:r>
              <w:rPr>
                <w:rFonts w:hint="eastAsia" w:ascii="宋体" w:hAnsi="宋体" w:eastAsia="宋体" w:cs="宋体"/>
                <w:sz w:val="21"/>
                <w:szCs w:val="21"/>
                <w:highlight w:val="none"/>
                <w:lang w:eastAsia="zh-CN"/>
              </w:rPr>
              <w:t>明确性</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勘察机构设置和岗位职责</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项目服务方案中有招标项目勘察机构设置和岗位职责内容的得基本分4.0分；勘察机构设置和岗位职责科学合理的加1.0分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勘察机构设置和岗位职责较科学合理的加0.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勘察机构设置和岗位职责</w:t>
            </w:r>
            <w:r>
              <w:rPr>
                <w:rFonts w:hint="eastAsia" w:ascii="宋体" w:hAnsi="宋体" w:eastAsia="宋体" w:cs="宋体"/>
                <w:sz w:val="21"/>
                <w:szCs w:val="21"/>
                <w:highlight w:val="none"/>
                <w:lang w:eastAsia="zh-CN"/>
              </w:rPr>
              <w:t>科学性、合理</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勘察说明和勘察方案</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项目服务方案中有招标项目勘察说明和勘察方案内容的得基本分5.0分；根据项目岩土工程初步勘察的技术要求，勘察说明和勘察方案编制全面、针对性强的加1.0分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根据项目岩土工程初步勘察的技术要求，勘察说明和勘察方案编制较全面、针对性较强的加0.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根据项目岩土工程初步勘察的技术要求，勘察说明和勘察方案编制</w:t>
            </w:r>
            <w:r>
              <w:rPr>
                <w:rFonts w:hint="eastAsia" w:ascii="宋体" w:hAnsi="宋体" w:eastAsia="宋体" w:cs="宋体"/>
                <w:sz w:val="21"/>
                <w:szCs w:val="21"/>
                <w:highlight w:val="none"/>
                <w:lang w:eastAsia="zh-CN"/>
              </w:rPr>
              <w:t>全面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针对性一般的加0.5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勘察质量、进度、保密等保证措施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6461" w:type="dxa"/>
            <w:noWrap w:val="0"/>
            <w:vAlign w:val="center"/>
          </w:tcPr>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招标项目勘察质量、进度、保密等保证措施（包括但不限于采用三维数字化手段对现场钻孔位置、进尺深度进行实时监控管理、对现场相关取样和原位实验具体情况进行回溯和复核等）的得基本分5.0分；勘察质量、进度、保密等保证措施技术先进、措施完善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勘察质量、进度、保密等保证措施技术较先进、措施较完善的加0.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勘察质量、进度、保密等保证措施</w:t>
            </w:r>
            <w:r>
              <w:rPr>
                <w:rFonts w:hint="eastAsia" w:ascii="宋体" w:hAnsi="宋体" w:eastAsia="宋体" w:cs="宋体"/>
                <w:sz w:val="21"/>
                <w:szCs w:val="21"/>
                <w:highlight w:val="none"/>
                <w:lang w:eastAsia="zh-CN"/>
              </w:rPr>
              <w:t>先进性、完善程度</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勘察安全保证措施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项目服务方案中有勘察安全保证措施的得基本分4.0分；勘察安全保证措施对现场作业条件针对性强的加1.0分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勘察安全保证措施对现场作业条件针对性较强的加0.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勘察安全保证措施对现场作业条件针对性一般的加0.5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勘察工作重点、难点分析及合理化建议</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12</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项目服务方案中有勘察工作重点、难点分析及合理化建议</w:t>
            </w:r>
            <w:r>
              <w:rPr>
                <w:rFonts w:hint="eastAsia" w:ascii="宋体" w:hAnsi="宋体" w:eastAsia="宋体" w:cs="宋体"/>
                <w:sz w:val="21"/>
                <w:szCs w:val="21"/>
                <w:highlight w:val="none"/>
                <w:lang w:eastAsia="zh-CN"/>
              </w:rPr>
              <w:t>【包括但不限于</w:t>
            </w:r>
            <w:r>
              <w:rPr>
                <w:rFonts w:hint="eastAsia" w:ascii="宋体" w:hAnsi="宋体" w:eastAsia="宋体" w:cs="宋体"/>
                <w:sz w:val="21"/>
                <w:szCs w:val="21"/>
                <w:highlight w:val="none"/>
              </w:rPr>
              <w:t>对场地工程地质条件（</w:t>
            </w:r>
            <w:r>
              <w:rPr>
                <w:rFonts w:hint="eastAsia" w:ascii="宋体" w:hAnsi="宋体" w:eastAsia="宋体" w:cs="宋体"/>
                <w:sz w:val="21"/>
                <w:szCs w:val="21"/>
                <w:highlight w:val="none"/>
                <w:lang w:eastAsia="zh-CN"/>
              </w:rPr>
              <w:t>如</w:t>
            </w:r>
            <w:r>
              <w:rPr>
                <w:rFonts w:hint="eastAsia" w:ascii="宋体" w:hAnsi="宋体" w:eastAsia="宋体" w:cs="宋体"/>
                <w:sz w:val="21"/>
                <w:szCs w:val="21"/>
                <w:highlight w:val="none"/>
              </w:rPr>
              <w:t>水文地质情况、岩土工程条件、初步判断本场地岩土工程条件和初步定量参数等）</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得基本分10.0分；勘察工作重点、难点分析分析全面到位</w:t>
            </w:r>
            <w:r>
              <w:rPr>
                <w:rFonts w:hint="eastAsia" w:ascii="宋体" w:hAnsi="宋体" w:eastAsia="宋体" w:cs="宋体"/>
                <w:sz w:val="21"/>
                <w:szCs w:val="21"/>
                <w:highlight w:val="none"/>
                <w:lang w:eastAsia="zh-CN"/>
              </w:rPr>
              <w:t>，合理化建议</w:t>
            </w:r>
            <w:r>
              <w:rPr>
                <w:rFonts w:hint="eastAsia" w:ascii="宋体" w:hAnsi="宋体" w:eastAsia="宋体" w:cs="宋体"/>
                <w:sz w:val="21"/>
                <w:szCs w:val="21"/>
                <w:highlight w:val="none"/>
                <w:lang w:val="en-US" w:eastAsia="zh-CN"/>
              </w:rPr>
              <w:t>针对性强</w:t>
            </w:r>
            <w:r>
              <w:rPr>
                <w:rFonts w:hint="eastAsia" w:ascii="宋体" w:hAnsi="宋体" w:eastAsia="宋体" w:cs="宋体"/>
                <w:sz w:val="21"/>
                <w:szCs w:val="21"/>
                <w:highlight w:val="none"/>
              </w:rPr>
              <w:t>的加2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勘察工作重点、难点分析较全面</w:t>
            </w:r>
            <w:r>
              <w:rPr>
                <w:rFonts w:hint="eastAsia" w:ascii="宋体" w:hAnsi="宋体" w:eastAsia="宋体" w:cs="宋体"/>
                <w:sz w:val="21"/>
                <w:szCs w:val="21"/>
                <w:highlight w:val="none"/>
                <w:lang w:eastAsia="zh-CN"/>
              </w:rPr>
              <w:t>，合理化建议</w:t>
            </w:r>
            <w:r>
              <w:rPr>
                <w:rFonts w:hint="eastAsia" w:ascii="宋体" w:hAnsi="宋体" w:eastAsia="宋体" w:cs="宋体"/>
                <w:sz w:val="21"/>
                <w:szCs w:val="21"/>
                <w:highlight w:val="none"/>
                <w:lang w:val="en-US" w:eastAsia="zh-CN"/>
              </w:rPr>
              <w:t>针对性较强</w:t>
            </w:r>
            <w:r>
              <w:rPr>
                <w:rFonts w:hint="eastAsia" w:ascii="宋体" w:hAnsi="宋体" w:eastAsia="宋体" w:cs="宋体"/>
                <w:sz w:val="21"/>
                <w:szCs w:val="21"/>
                <w:highlight w:val="none"/>
              </w:rPr>
              <w:t>的加1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勘察工作重点、难点分析全面性</w:t>
            </w:r>
            <w:r>
              <w:rPr>
                <w:rFonts w:hint="eastAsia" w:ascii="宋体" w:hAnsi="宋体" w:eastAsia="宋体" w:cs="宋体"/>
                <w:sz w:val="21"/>
                <w:szCs w:val="21"/>
                <w:highlight w:val="none"/>
                <w:lang w:eastAsia="zh-CN"/>
              </w:rPr>
              <w:t>，合理化建议</w:t>
            </w:r>
            <w:r>
              <w:rPr>
                <w:rFonts w:hint="eastAsia" w:ascii="宋体" w:hAnsi="宋体" w:eastAsia="宋体" w:cs="宋体"/>
                <w:sz w:val="21"/>
                <w:szCs w:val="21"/>
                <w:highlight w:val="none"/>
                <w:lang w:val="en-US" w:eastAsia="zh-CN"/>
              </w:rPr>
              <w:t>针对性一般</w:t>
            </w:r>
            <w:r>
              <w:rPr>
                <w:rFonts w:hint="eastAsia" w:ascii="宋体" w:hAnsi="宋体" w:eastAsia="宋体" w:cs="宋体"/>
                <w:sz w:val="21"/>
                <w:szCs w:val="21"/>
                <w:highlight w:val="none"/>
              </w:rPr>
              <w:t>的加</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与地方单位及民航行业主管部门协调措施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项目服务方案中有与地方单位（包括但不限于佛山、肇庆</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有关单位）及主管部门协调措施的得基本分3.0分；与地方单位及主管部门协调措施合理完善的加1.0分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与地方单位及主管部门协调措施较为合理完善的加0.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与地方单位及主管部门协调措施</w:t>
            </w:r>
            <w:r>
              <w:rPr>
                <w:rFonts w:hint="eastAsia" w:ascii="宋体" w:hAnsi="宋体" w:eastAsia="宋体" w:cs="宋体"/>
                <w:sz w:val="21"/>
                <w:szCs w:val="21"/>
                <w:highlight w:val="none"/>
                <w:lang w:eastAsia="zh-CN"/>
              </w:rPr>
              <w:t>合理性、完善程度</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1"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后续服务安排及保证措施</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6461"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项目服务方案中有后续服务安排及保证措施的得基本分3.0分；后续服务安排及保证措施完善且可实施性强的加1.0分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后续服务安排及保证措施较完善且可实施性较强的加0.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5分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后续服务安排及保证措施</w:t>
            </w:r>
            <w:r>
              <w:rPr>
                <w:rFonts w:hint="eastAsia" w:ascii="宋体" w:hAnsi="宋体" w:eastAsia="宋体" w:cs="宋体"/>
                <w:sz w:val="21"/>
                <w:szCs w:val="21"/>
                <w:highlight w:val="none"/>
                <w:lang w:eastAsia="zh-CN"/>
              </w:rPr>
              <w:t>完善程度、可实施性</w:t>
            </w:r>
            <w:r>
              <w:rPr>
                <w:rFonts w:hint="eastAsia" w:ascii="宋体" w:hAnsi="宋体" w:eastAsia="宋体" w:cs="宋体"/>
                <w:sz w:val="21"/>
                <w:szCs w:val="21"/>
                <w:highlight w:val="none"/>
              </w:rPr>
              <w:t>一般的加0.5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585" w:type="dxa"/>
            <w:noWrap w:val="0"/>
            <w:vAlign w:val="center"/>
          </w:tcPr>
          <w:p>
            <w:pPr>
              <w:widowControl/>
              <w:numPr>
                <w:ilvl w:val="0"/>
                <w:numId w:val="138"/>
              </w:numPr>
              <w:tabs>
                <w:tab w:val="left" w:pos="210"/>
              </w:tabs>
              <w:jc w:val="center"/>
              <w:rPr>
                <w:rFonts w:hint="eastAsia" w:ascii="宋体" w:hAnsi="宋体" w:eastAsia="宋体" w:cs="宋体"/>
                <w:color w:val="auto"/>
                <w:sz w:val="21"/>
                <w:szCs w:val="21"/>
                <w:highlight w:val="none"/>
              </w:rPr>
            </w:pPr>
          </w:p>
        </w:tc>
        <w:tc>
          <w:tcPr>
            <w:tcW w:w="1425" w:type="dxa"/>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项目管理班子配备情况</w:t>
            </w:r>
          </w:p>
        </w:tc>
        <w:tc>
          <w:tcPr>
            <w:tcW w:w="855" w:type="dxa"/>
            <w:noWrap w:val="0"/>
            <w:vAlign w:val="center"/>
          </w:tcPr>
          <w:p>
            <w:pPr>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6461" w:type="dxa"/>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w:t>
            </w:r>
            <w:r>
              <w:rPr>
                <w:rFonts w:hint="eastAsia" w:ascii="宋体" w:hAnsi="宋体" w:eastAsia="宋体" w:cs="宋体"/>
                <w:color w:val="auto"/>
                <w:sz w:val="21"/>
                <w:szCs w:val="21"/>
                <w:highlight w:val="none"/>
                <w:lang w:eastAsia="zh-CN"/>
              </w:rPr>
              <w:t>项目管理班子人员（</w:t>
            </w:r>
            <w:r>
              <w:rPr>
                <w:rFonts w:hint="eastAsia" w:ascii="宋体" w:hAnsi="宋体" w:eastAsia="宋体" w:cs="宋体"/>
                <w:color w:val="auto"/>
                <w:sz w:val="21"/>
                <w:szCs w:val="21"/>
                <w:highlight w:val="none"/>
                <w:lang w:val="en-US" w:eastAsia="zh-CN"/>
              </w:rPr>
              <w:t>除项目负责人外）：</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1、配备人员具有注册土木工程师（岩土）执业资格证书的，每人得2分，本小项最高4分；</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2、配备人员具有地质勘察相关专业高级（或以上）职称的，每人得1分，本小项最高得4分。</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①拟派的上述人员相互不得兼任。</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000000"/>
                <w:kern w:val="0"/>
                <w:sz w:val="21"/>
                <w:szCs w:val="21"/>
                <w:highlight w:val="none"/>
                <w:lang w:bidi="zh-CN"/>
              </w:rPr>
              <w:t>同一人员不重复计分。</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③须提供相关证书复印件并加盖投标人公章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。职称以最高职称为准计算一次。专业以职称证书为准，若职称证书无专业则以毕业证书的专业为准。</w:t>
            </w:r>
          </w:p>
          <w:p>
            <w:pPr>
              <w:spacing w:line="240" w:lineRule="auto"/>
              <w:rPr>
                <w:rFonts w:hint="eastAsia" w:ascii="宋体" w:hAnsi="宋体" w:eastAsia="宋体" w:cs="宋体"/>
                <w:color w:val="000000"/>
                <w:kern w:val="0"/>
                <w:sz w:val="21"/>
                <w:szCs w:val="21"/>
                <w:highlight w:val="none"/>
                <w:lang w:bidi="zh-CN"/>
              </w:rPr>
            </w:pPr>
            <w:r>
              <w:rPr>
                <w:rFonts w:hint="eastAsia" w:ascii="宋体" w:hAnsi="宋体" w:eastAsia="宋体" w:cs="宋体"/>
                <w:color w:val="auto"/>
                <w:sz w:val="21"/>
                <w:szCs w:val="21"/>
                <w:highlight w:val="none"/>
              </w:rPr>
              <w:t>④须提供上述人员对应所在单位近半年（扣除发布招标公告当月往前顺推6个月，即</w:t>
            </w:r>
            <w:r>
              <w:rPr>
                <w:rFonts w:hint="eastAsia" w:ascii="宋体" w:hAnsi="宋体" w:eastAsia="宋体" w:cs="宋体"/>
                <w:color w:val="auto"/>
                <w:sz w:val="21"/>
                <w:szCs w:val="21"/>
                <w:highlight w:val="none"/>
                <w:lang w:eastAsia="zh-CN"/>
              </w:rPr>
              <w:t>2021年10月至2022年3月</w:t>
            </w:r>
            <w:r>
              <w:rPr>
                <w:rFonts w:hint="eastAsia" w:ascii="宋体" w:hAnsi="宋体" w:eastAsia="宋体" w:cs="宋体"/>
                <w:color w:val="auto"/>
                <w:sz w:val="21"/>
                <w:szCs w:val="21"/>
                <w:highlight w:val="none"/>
              </w:rPr>
              <w:t>）为其缴纳的社保资金的有效的社保证明材料</w:t>
            </w:r>
            <w:r>
              <w:rPr>
                <w:rFonts w:hint="eastAsia" w:ascii="宋体" w:hAnsi="宋体" w:eastAsia="宋体" w:cs="宋体"/>
                <w:color w:val="000000"/>
                <w:sz w:val="21"/>
                <w:szCs w:val="21"/>
                <w:highlight w:val="none"/>
              </w:rPr>
              <w:t>并加盖投标人公章</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bidi="zh-CN"/>
              </w:rPr>
              <w:t>社保证明材料要求同招标公告--投标人资格、投标人须知的社保证明材料要求。如投标人受疫情影响已向相关部门申请免除或缓缴社保费的，或相关部门发布通知可免除或缓缴社保费的，可不提供相应月份的社保证明，但须提供相关申请成功证明材料或相关部门的公告通知文件（或网站公示截图）复印件并加盖投标人公章。</w:t>
            </w:r>
          </w:p>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bidi="zh-CN"/>
              </w:rPr>
              <w:t>⑤省外进粤企业，上述人员须在“进粤企业和人员诚信信息登记平台”办理了登记手续，须附在广东建设信息网（网址：www.gdcic.net）“进粤企业和人员诚信信息登记平台”专栏关于投标人进粤企业及人员信息登记的查询网页打印件并加盖投标人公章。</w:t>
            </w:r>
          </w:p>
        </w:tc>
      </w:tr>
    </w:tbl>
    <w:p>
      <w:pPr>
        <w:snapToGrid w:val="0"/>
        <w:spacing w:line="360" w:lineRule="auto"/>
        <w:ind w:firstLine="105" w:firstLineChars="5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139"/>
        </w:numPr>
        <w:snapToGrid w:val="0"/>
        <w:spacing w:line="360" w:lineRule="auto"/>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139"/>
        </w:numPr>
        <w:snapToGrid w:val="0"/>
        <w:spacing w:line="360" w:lineRule="auto"/>
        <w:rPr>
          <w:rFonts w:hint="eastAsia" w:ascii="宋体" w:hAnsi="宋体"/>
          <w:bCs/>
          <w:color w:val="auto"/>
          <w:highlight w:val="none"/>
        </w:rPr>
      </w:pPr>
      <w:r>
        <w:rPr>
          <w:rFonts w:hint="eastAsia" w:ascii="宋体" w:hAnsi="宋体"/>
          <w:bCs/>
          <w:color w:val="auto"/>
          <w:highlight w:val="none"/>
        </w:rPr>
        <w:t>技术评分：所有评委评分分值的算术平均值（四舍五入后，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r>
        <w:rPr>
          <w:rFonts w:hint="eastAsia" w:ascii="宋体" w:hAnsi="宋体"/>
          <w:bCs/>
          <w:color w:val="auto"/>
          <w:highlight w:val="none"/>
          <w:lang w:eastAsia="zh-CN"/>
        </w:rPr>
        <w:t>。</w:t>
      </w:r>
    </w:p>
    <w:p>
      <w:pPr>
        <w:numPr>
          <w:ilvl w:val="0"/>
          <w:numId w:val="139"/>
        </w:numPr>
        <w:snapToGrid w:val="0"/>
        <w:spacing w:line="360" w:lineRule="auto"/>
        <w:rPr>
          <w:rFonts w:hint="eastAsia" w:ascii="宋体" w:hAnsi="宋体"/>
          <w:bCs/>
          <w:color w:val="auto"/>
          <w:highlight w:val="none"/>
        </w:rPr>
      </w:pPr>
      <w:r>
        <w:rPr>
          <w:rFonts w:hint="eastAsia" w:ascii="宋体" w:hAnsi="宋体" w:eastAsia="宋体" w:cs="宋体"/>
          <w:color w:val="auto"/>
          <w:highlight w:val="none"/>
          <w:lang w:eastAsia="zh-CN"/>
        </w:rPr>
        <w:t>“地质勘察相关专业”是指：土木工程、岩土工程等相关专业。专业名称以职称证的专业名称为准，如职称证无法显示专业名称的，以学历证书的专业名称为准。</w:t>
      </w:r>
    </w:p>
    <w:p>
      <w:pPr>
        <w:numPr>
          <w:ilvl w:val="0"/>
          <w:numId w:val="139"/>
        </w:num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关于职称证书核发机构的要求（满足以下两点之一）：</w:t>
      </w:r>
    </w:p>
    <w:p>
      <w:pPr>
        <w:numPr>
          <w:ilvl w:val="0"/>
          <w:numId w:val="140"/>
        </w:numPr>
        <w:tabs>
          <w:tab w:val="left" w:pos="420"/>
        </w:tabs>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如职称证书由人社部门（其中高级或以上职称须由省级或以上人社部门）或其他政府部门核发的，须提供职称证书（盖有人社部门或其他政府部门印章）复印件，否则，对该职称证书不予认可。</w:t>
      </w:r>
    </w:p>
    <w:p>
      <w:pPr>
        <w:numPr>
          <w:ilvl w:val="0"/>
          <w:numId w:val="140"/>
        </w:numPr>
        <w:tabs>
          <w:tab w:val="left" w:pos="420"/>
        </w:tabs>
        <w:snapToGrid w:val="0"/>
        <w:spacing w:line="360" w:lineRule="auto"/>
        <w:ind w:leftChars="0" w:firstLine="420" w:firstLineChars="200"/>
        <w:rPr>
          <w:rFonts w:hint="eastAsia" w:ascii="宋体" w:hAnsi="宋体"/>
          <w:bCs/>
          <w:color w:val="auto"/>
          <w:highlight w:val="none"/>
        </w:rPr>
      </w:pPr>
      <w:r>
        <w:rPr>
          <w:rFonts w:hint="eastAsia" w:ascii="宋体" w:hAnsi="宋体" w:eastAsia="宋体" w:cs="宋体"/>
          <w:color w:val="auto"/>
          <w:highlight w:val="none"/>
          <w:lang w:eastAsia="zh-CN"/>
        </w:rPr>
        <w:t>如职称证书非人社部门或其他政府部门核发的，须提供：①职称证书【盖有核发机构（或该机构职称评审委员会）印章】复印件；②发证单位（或该单位职称评审委员会）在人社部门授权或核准备案证明其具有职称评审权的证明文件复印件加盖投标人公章，或该人员在人社部门职称管理系统登记的获得该职称的信息记录网页或截图打印件加盖投标人公章。否则，对该职称证书不予认可</w:t>
      </w:r>
      <w:r>
        <w:rPr>
          <w:rFonts w:hint="eastAsia" w:ascii="宋体" w:hAnsi="宋体"/>
          <w:bCs/>
          <w:color w:val="auto"/>
          <w:highlight w:val="none"/>
        </w:rPr>
        <w:t>。</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商务部分评分表（适用于包组二）</w:t>
      </w:r>
    </w:p>
    <w:p>
      <w:pPr>
        <w:pStyle w:val="2"/>
        <w:ind w:firstLine="560"/>
        <w:jc w:val="center"/>
        <w:rPr>
          <w:rFonts w:eastAsia="黑体"/>
          <w:color w:val="auto"/>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20</w:t>
      </w:r>
      <w:r>
        <w:rPr>
          <w:rFonts w:hint="eastAsia" w:ascii="黑体" w:hAnsi="宋体" w:eastAsia="黑体" w:cs="宋体"/>
          <w:color w:val="auto"/>
          <w:sz w:val="28"/>
          <w:szCs w:val="28"/>
          <w:highlight w:val="none"/>
        </w:rPr>
        <w:t>分）</w:t>
      </w:r>
    </w:p>
    <w:tbl>
      <w:tblPr>
        <w:tblStyle w:val="25"/>
        <w:tblW w:w="9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1792"/>
        <w:gridCol w:w="945"/>
        <w:gridCol w:w="58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838" w:type="dxa"/>
            <w:noWrap w:val="0"/>
            <w:vAlign w:val="center"/>
          </w:tcPr>
          <w:p>
            <w:pPr>
              <w:pStyle w:val="55"/>
              <w:jc w:val="center"/>
              <w:rPr>
                <w:rFonts w:hint="eastAsia" w:ascii="宋体" w:hAnsi="宋体" w:cs="宋体"/>
                <w:b/>
                <w:color w:val="000000"/>
                <w:szCs w:val="21"/>
                <w:highlight w:val="none"/>
              </w:rPr>
            </w:pPr>
          </w:p>
          <w:p>
            <w:pPr>
              <w:pStyle w:val="55"/>
              <w:jc w:val="center"/>
              <w:rPr>
                <w:rFonts w:hint="eastAsia" w:ascii="宋体" w:hAnsi="宋体" w:cs="宋体"/>
                <w:b/>
                <w:szCs w:val="21"/>
                <w:highlight w:val="none"/>
              </w:rPr>
            </w:pPr>
            <w:r>
              <w:rPr>
                <w:rFonts w:hint="eastAsia" w:ascii="宋体" w:hAnsi="宋体" w:cs="宋体"/>
                <w:b/>
                <w:color w:val="000000"/>
                <w:szCs w:val="21"/>
                <w:highlight w:val="none"/>
              </w:rPr>
              <w:t>序号</w:t>
            </w:r>
          </w:p>
        </w:tc>
        <w:tc>
          <w:tcPr>
            <w:tcW w:w="1792"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评分因素</w:t>
            </w:r>
          </w:p>
        </w:tc>
        <w:tc>
          <w:tcPr>
            <w:tcW w:w="945" w:type="dxa"/>
            <w:noWrap w:val="0"/>
            <w:vAlign w:val="center"/>
          </w:tcPr>
          <w:p>
            <w:pPr>
              <w:pStyle w:val="55"/>
              <w:jc w:val="center"/>
              <w:rPr>
                <w:rFonts w:hint="eastAsia" w:ascii="宋体" w:hAnsi="宋体" w:cs="宋体"/>
                <w:b/>
                <w:szCs w:val="21"/>
                <w:highlight w:val="none"/>
                <w:u w:val="single"/>
              </w:rPr>
            </w:pPr>
            <w:r>
              <w:rPr>
                <w:rFonts w:hint="eastAsia" w:ascii="宋体" w:hAnsi="宋体" w:cs="宋体"/>
                <w:b/>
                <w:color w:val="000000"/>
                <w:szCs w:val="21"/>
                <w:highlight w:val="none"/>
              </w:rPr>
              <w:t>分值（分）</w:t>
            </w:r>
          </w:p>
        </w:tc>
        <w:tc>
          <w:tcPr>
            <w:tcW w:w="5809"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企业资质等级</w:t>
            </w:r>
          </w:p>
        </w:tc>
        <w:tc>
          <w:tcPr>
            <w:tcW w:w="945" w:type="dxa"/>
            <w:noWrap w:val="0"/>
            <w:vAlign w:val="center"/>
          </w:tcPr>
          <w:p>
            <w:pPr>
              <w:widowControl/>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color w:val="000000"/>
                <w:highlight w:val="none"/>
                <w:lang w:val="en-US" w:eastAsia="zh-CN"/>
              </w:rPr>
              <w:t>3</w:t>
            </w:r>
          </w:p>
        </w:tc>
        <w:tc>
          <w:tcPr>
            <w:tcW w:w="5809" w:type="dxa"/>
            <w:noWrap w:val="0"/>
            <w:vAlign w:val="center"/>
          </w:tcPr>
          <w:p>
            <w:pPr>
              <w:numPr>
                <w:ilvl w:val="0"/>
                <w:numId w:val="142"/>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投标人具有工程勘察综合</w:t>
            </w:r>
            <w:r>
              <w:rPr>
                <w:rFonts w:hint="eastAsia" w:ascii="宋体" w:hAnsi="宋体" w:eastAsia="宋体" w:cs="宋体"/>
                <w:bCs/>
                <w:sz w:val="21"/>
                <w:szCs w:val="21"/>
                <w:highlight w:val="none"/>
                <w:lang w:eastAsia="zh-CN"/>
              </w:rPr>
              <w:t>类</w:t>
            </w:r>
            <w:r>
              <w:rPr>
                <w:rFonts w:hint="eastAsia" w:ascii="宋体" w:hAnsi="宋体" w:eastAsia="宋体" w:cs="宋体"/>
                <w:bCs/>
                <w:sz w:val="21"/>
                <w:szCs w:val="21"/>
                <w:highlight w:val="none"/>
              </w:rPr>
              <w:t>甲级资质的得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w:t>
            </w:r>
          </w:p>
          <w:p>
            <w:pPr>
              <w:numPr>
                <w:ilvl w:val="0"/>
                <w:numId w:val="0"/>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投标人具有工程勘察专业类（岩土工程）甲级资质的得</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分。</w:t>
            </w:r>
          </w:p>
          <w:p>
            <w:pPr>
              <w:spacing w:line="24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【本项最高得3分】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注：提供资质证书复印件并加盖投标人公章。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color w:val="000000"/>
                <w:highlight w:val="none"/>
                <w:lang w:eastAsia="zh-CN"/>
              </w:rPr>
              <w:t>企业诚信（信用）评价等级</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2</w:t>
            </w:r>
          </w:p>
        </w:tc>
        <w:tc>
          <w:tcPr>
            <w:tcW w:w="5809" w:type="dxa"/>
            <w:noWrap w:val="0"/>
            <w:vAlign w:val="center"/>
          </w:tcPr>
          <w:p>
            <w:pPr>
              <w:numPr>
                <w:ilvl w:val="0"/>
                <w:numId w:val="0"/>
              </w:num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投标人开标当天在佛山市建筑诚信评价体系管理平台(资质类别：</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类企业)的诚信等级为</w:t>
            </w:r>
            <w:r>
              <w:rPr>
                <w:rFonts w:hint="eastAsia" w:ascii="宋体" w:hAnsi="宋体" w:eastAsia="宋体" w:cs="宋体"/>
                <w:color w:val="auto"/>
                <w:sz w:val="21"/>
                <w:szCs w:val="21"/>
                <w:highlight w:val="none"/>
                <w:lang w:val="en-US" w:eastAsia="zh-CN"/>
              </w:rPr>
              <w:t>B级或以上的得2分；</w:t>
            </w:r>
            <w:r>
              <w:rPr>
                <w:rFonts w:hint="eastAsia" w:ascii="宋体" w:hAnsi="宋体" w:eastAsia="宋体" w:cs="宋体"/>
                <w:color w:val="auto"/>
                <w:sz w:val="21"/>
                <w:szCs w:val="21"/>
                <w:highlight w:val="none"/>
              </w:rPr>
              <w:t>其余情况不得分。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注：投标人须提供佛山市建筑诚信评价体系管理平台的相关网页截图</w:t>
            </w:r>
            <w:r>
              <w:rPr>
                <w:rFonts w:hint="eastAsia" w:ascii="宋体" w:hAnsi="宋体" w:eastAsia="宋体" w:cs="宋体"/>
                <w:color w:val="auto"/>
                <w:sz w:val="21"/>
                <w:szCs w:val="21"/>
                <w:highlight w:val="none"/>
                <w:lang w:eastAsia="zh-CN"/>
              </w:rPr>
              <w:t>并加盖投标人公章</w:t>
            </w:r>
            <w:r>
              <w:rPr>
                <w:rFonts w:hint="eastAsia" w:ascii="宋体" w:hAnsi="宋体" w:eastAsia="宋体" w:cs="宋体"/>
                <w:color w:val="auto"/>
                <w:sz w:val="21"/>
                <w:szCs w:val="21"/>
                <w:highlight w:val="none"/>
              </w:rPr>
              <w:t>。企业诚信等级以开标当天资格审查时查询的诚信等级为准。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color w:val="000000"/>
                <w:highlight w:val="none"/>
                <w:lang w:eastAsia="zh-CN"/>
              </w:rPr>
            </w:pPr>
            <w:r>
              <w:rPr>
                <w:rFonts w:hint="eastAsia" w:ascii="宋体" w:hAnsi="宋体" w:cs="宋体"/>
                <w:color w:val="000000"/>
                <w:highlight w:val="none"/>
                <w:lang w:eastAsia="zh-CN"/>
              </w:rPr>
              <w:t>企业类似工程业绩</w:t>
            </w:r>
          </w:p>
        </w:tc>
        <w:tc>
          <w:tcPr>
            <w:tcW w:w="945" w:type="dxa"/>
            <w:noWrap w:val="0"/>
            <w:vAlign w:val="center"/>
          </w:tcPr>
          <w:p>
            <w:pPr>
              <w:widowControl/>
              <w:jc w:val="center"/>
              <w:rPr>
                <w:rFonts w:hint="eastAsia" w:ascii="宋体" w:hAnsi="宋体" w:cs="宋体"/>
                <w:color w:val="000000"/>
                <w:highlight w:val="none"/>
                <w:lang w:val="en-US" w:eastAsia="zh-CN"/>
              </w:rPr>
            </w:pPr>
            <w:r>
              <w:rPr>
                <w:rFonts w:hint="eastAsia" w:ascii="宋体" w:hAnsi="宋体" w:eastAsia="宋体" w:cs="宋体"/>
                <w:color w:val="000000"/>
                <w:highlight w:val="none"/>
                <w:lang w:val="en-US" w:eastAsia="zh-CN"/>
              </w:rPr>
              <w:t>8</w:t>
            </w:r>
          </w:p>
        </w:tc>
        <w:tc>
          <w:tcPr>
            <w:tcW w:w="5809" w:type="dxa"/>
            <w:noWrap w:val="0"/>
            <w:vAlign w:val="center"/>
          </w:tcPr>
          <w:p>
            <w:pPr>
              <w:numPr>
                <w:ilvl w:val="0"/>
                <w:numId w:val="143"/>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近五年内（自2017年1月1日起至投标截止时间止），投标人承揽过勘察费人民币400万元及以上的勘察类项目的，每个得2分，本小项最高得4分。</w:t>
            </w:r>
          </w:p>
          <w:p>
            <w:pPr>
              <w:numPr>
                <w:ilvl w:val="0"/>
                <w:numId w:val="143"/>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近五年内（自2017年1月1日起至投标截止时间止），投标人承揽过勘察费人民币</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万元及以上民用运输机场或</w:t>
            </w:r>
            <w:r>
              <w:rPr>
                <w:rFonts w:hint="eastAsia" w:ascii="宋体" w:hAnsi="宋体" w:eastAsia="宋体" w:cs="宋体"/>
                <w:highlight w:val="none"/>
                <w:lang w:eastAsia="zh-CN"/>
              </w:rPr>
              <w:t>轨道交通</w:t>
            </w:r>
            <w:r>
              <w:rPr>
                <w:rFonts w:hint="eastAsia" w:ascii="宋体" w:hAnsi="宋体" w:eastAsia="宋体" w:cs="宋体"/>
                <w:color w:val="auto"/>
                <w:sz w:val="21"/>
                <w:szCs w:val="21"/>
                <w:highlight w:val="none"/>
              </w:rPr>
              <w:t>项目勘察项目的，每个得2分，本小项最高得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8分】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注：①同一项目业绩不重复计分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成果验收报告或</w:t>
            </w:r>
            <w:r>
              <w:rPr>
                <w:rFonts w:hint="eastAsia" w:ascii="宋体" w:hAnsi="宋体" w:eastAsia="宋体" w:cs="宋体"/>
                <w:color w:val="auto"/>
                <w:sz w:val="21"/>
                <w:szCs w:val="21"/>
                <w:highlight w:val="none"/>
                <w:lang w:eastAsia="en-US"/>
              </w:rPr>
              <w:t>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项目负责人业绩</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highlight w:val="none"/>
                <w:lang w:val="en-US" w:eastAsia="zh-CN"/>
              </w:rPr>
              <w:t>4</w:t>
            </w:r>
          </w:p>
        </w:tc>
        <w:tc>
          <w:tcPr>
            <w:tcW w:w="5809" w:type="dxa"/>
            <w:noWrap w:val="0"/>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近五年内（自2017年1月1日起至投标截止时间止）作为项目负责人承揽过勘察费人民币300万元及以上的勘察类项目的，每个得2分，最高得4分。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4分】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成果验收报告或</w:t>
            </w:r>
            <w:r>
              <w:rPr>
                <w:rFonts w:hint="eastAsia" w:ascii="宋体" w:hAnsi="宋体" w:eastAsia="宋体" w:cs="宋体"/>
                <w:color w:val="auto"/>
                <w:sz w:val="21"/>
                <w:szCs w:val="21"/>
                <w:highlight w:val="none"/>
                <w:lang w:eastAsia="en-US"/>
              </w:rPr>
              <w:t>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highlight w:val="none"/>
                <w:lang w:eastAsia="zh-CN"/>
              </w:rPr>
              <w:t>企业管理体系认证</w:t>
            </w:r>
          </w:p>
        </w:tc>
        <w:tc>
          <w:tcPr>
            <w:tcW w:w="945" w:type="dxa"/>
            <w:noWrap w:val="0"/>
            <w:vAlign w:val="center"/>
          </w:tcPr>
          <w:p>
            <w:pPr>
              <w:widowControl/>
              <w:jc w:val="center"/>
              <w:rPr>
                <w:rFonts w:hint="eastAsia" w:ascii="宋体" w:hAnsi="宋体" w:cs="宋体"/>
                <w:highlight w:val="none"/>
                <w:lang w:val="en-US" w:eastAsia="zh-CN"/>
              </w:rPr>
            </w:pPr>
            <w:r>
              <w:rPr>
                <w:rFonts w:hint="default" w:ascii="宋体" w:hAnsi="宋体" w:cs="宋体"/>
                <w:color w:val="000000"/>
                <w:highlight w:val="none"/>
                <w:lang w:val="en-US" w:eastAsia="zh-CN"/>
              </w:rPr>
              <w:t>2</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有效期内的企业管理体系认证情况：</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同时具备质量管理体系认证、环境管理体系认证、职业健康安全管理体系认证，得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两项，得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一项，得1分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注：提供相关证明材料复印件</w:t>
            </w:r>
            <w:r>
              <w:rPr>
                <w:rFonts w:hint="eastAsia" w:ascii="宋体" w:hAnsi="宋体" w:eastAsia="宋体" w:cs="宋体"/>
                <w:color w:val="auto"/>
                <w:sz w:val="21"/>
                <w:szCs w:val="21"/>
                <w:highlight w:val="none"/>
                <w:lang w:val="en-US" w:eastAsia="zh-CN"/>
              </w:rPr>
              <w:t>并加盖投标人公章</w:t>
            </w:r>
            <w:r>
              <w:rPr>
                <w:rFonts w:hint="eastAsia" w:ascii="宋体" w:hAnsi="宋体" w:eastAsia="宋体" w:cs="宋体"/>
                <w:color w:val="auto"/>
                <w:sz w:val="21"/>
                <w:szCs w:val="21"/>
                <w:highlight w:val="none"/>
                <w:lang w:eastAsia="zh-CN"/>
              </w:rPr>
              <w:t>，否则不得分。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838" w:type="dxa"/>
            <w:noWrap w:val="0"/>
            <w:vAlign w:val="center"/>
          </w:tcPr>
          <w:p>
            <w:pPr>
              <w:widowControl/>
              <w:numPr>
                <w:ilvl w:val="0"/>
                <w:numId w:val="141"/>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项目负责人技术职称</w:t>
            </w:r>
          </w:p>
        </w:tc>
        <w:tc>
          <w:tcPr>
            <w:tcW w:w="945" w:type="dxa"/>
            <w:noWrap w:val="0"/>
            <w:vAlign w:val="center"/>
          </w:tcPr>
          <w:p>
            <w:pPr>
              <w:widowControl/>
              <w:jc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1</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拟派项目负责人具有地质勘察相关专业研究员或教授级高级职称的得1分，具有高级职称的得0.5分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须提供相关证书复印件并加盖投标人公章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副高级职称按高级职称计算得分，正高级职称按</w:t>
            </w:r>
            <w:r>
              <w:rPr>
                <w:rFonts w:hint="eastAsia" w:ascii="宋体" w:hAnsi="宋体" w:eastAsia="宋体" w:cs="宋体"/>
                <w:color w:val="auto"/>
                <w:sz w:val="21"/>
                <w:szCs w:val="21"/>
                <w:highlight w:val="none"/>
                <w:lang w:val="en-US" w:eastAsia="zh-CN"/>
              </w:rPr>
              <w:t>教授级高级职称计算得分，</w:t>
            </w:r>
            <w:r>
              <w:rPr>
                <w:rFonts w:hint="eastAsia" w:ascii="宋体" w:hAnsi="宋体" w:eastAsia="宋体" w:cs="宋体"/>
                <w:color w:val="auto"/>
                <w:sz w:val="21"/>
                <w:szCs w:val="21"/>
                <w:highlight w:val="none"/>
              </w:rPr>
              <w:t>职称以最高职称为准计算一次。专业以职称证书为准，若职称证书无专业则以毕业证书的专业为准。</w:t>
            </w:r>
            <w:r>
              <w:rPr>
                <w:rFonts w:hint="eastAsia" w:ascii="宋体" w:hAnsi="宋体" w:eastAsia="宋体" w:cs="宋体"/>
                <w:color w:val="000000"/>
                <w:kern w:val="0"/>
                <w:sz w:val="21"/>
                <w:szCs w:val="21"/>
                <w:highlight w:val="none"/>
                <w:lang w:bidi="zh-CN"/>
              </w:rPr>
              <w:t xml:space="preserve"> </w:t>
            </w:r>
          </w:p>
        </w:tc>
      </w:tr>
    </w:tbl>
    <w:p>
      <w:pPr>
        <w:snapToGrid w:val="0"/>
        <w:spacing w:line="360" w:lineRule="auto"/>
        <w:ind w:left="210" w:leftChars="10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144"/>
        </w:numPr>
        <w:tabs>
          <w:tab w:val="left" w:pos="420"/>
        </w:tabs>
        <w:snapToGrid w:val="0"/>
        <w:spacing w:line="360" w:lineRule="auto"/>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144"/>
        </w:numPr>
        <w:tabs>
          <w:tab w:val="left" w:pos="420"/>
        </w:tabs>
        <w:snapToGrid w:val="0"/>
        <w:spacing w:line="360" w:lineRule="auto"/>
        <w:rPr>
          <w:rFonts w:hint="eastAsia" w:ascii="宋体" w:hAnsi="宋体"/>
          <w:bCs/>
          <w:color w:val="auto"/>
          <w:highlight w:val="none"/>
        </w:rPr>
      </w:pPr>
      <w:r>
        <w:rPr>
          <w:rFonts w:hint="eastAsia" w:ascii="宋体" w:hAnsi="宋体"/>
          <w:bCs/>
          <w:color w:val="auto"/>
          <w:highlight w:val="none"/>
        </w:rPr>
        <w:t>商务评分：所有评委评分分值的算术平均值（四舍五入后，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r>
        <w:rPr>
          <w:rFonts w:hint="eastAsia" w:ascii="宋体" w:hAnsi="宋体"/>
          <w:bCs/>
          <w:color w:val="auto"/>
          <w:highlight w:val="none"/>
          <w:lang w:eastAsia="zh-CN"/>
        </w:rPr>
        <w:t>。</w:t>
      </w:r>
    </w:p>
    <w:p>
      <w:pPr>
        <w:numPr>
          <w:ilvl w:val="0"/>
          <w:numId w:val="144"/>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承揽过”：是指所承担的项目正在建设中或所承担的项目已完成并通过验收；如投标人所承担的项目已完成并通过验收，则除提供中标通知书或合同协议书复印件外，还需提供成果验收报告或审查通过文件复印件作为证明材料。</w:t>
      </w:r>
    </w:p>
    <w:p>
      <w:pPr>
        <w:numPr>
          <w:ilvl w:val="0"/>
          <w:numId w:val="144"/>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“地质勘察相关专业”是指：土木工程、岩土工程等相关专业。专业名称以职称证的专业名称为准，如职称证无法显示专业名称的，以学历证书的专业名称为准。</w:t>
      </w:r>
    </w:p>
    <w:p>
      <w:pPr>
        <w:numPr>
          <w:ilvl w:val="0"/>
          <w:numId w:val="144"/>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关于职称证书核发机构的要求（满足以下两点之一）：</w:t>
      </w:r>
    </w:p>
    <w:p>
      <w:pPr>
        <w:numPr>
          <w:ilvl w:val="0"/>
          <w:numId w:val="145"/>
        </w:numPr>
        <w:tabs>
          <w:tab w:val="left" w:pos="420"/>
        </w:tabs>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如职称证书由人社部门（其中高级或以上职称须由省级或以上人社部门）或其他政府部门核发的，须提供职称证书（盖有人社部门或其他政府部门印章）复印件，否则，对该职称证书不予认可。</w:t>
      </w:r>
    </w:p>
    <w:p>
      <w:pPr>
        <w:numPr>
          <w:ilvl w:val="0"/>
          <w:numId w:val="145"/>
        </w:numPr>
        <w:tabs>
          <w:tab w:val="left" w:pos="420"/>
        </w:tabs>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非人社部门或其他政府部门核发的，须提供：①职称证书【盖有核发机构（或该机构职称评审委员会）印章】复印件；②发证单位（或该单位职称评审委员会）在人社部门授权或核准备案证明其具有职称评审权的证明文件复印件加盖投标人公章，或该人员在人社部门职称管理系统登记的获得该职称的信息记录网页或截图打印件加盖投标人公章。否则，对该职称证书不予认可。</w:t>
      </w:r>
    </w:p>
    <w:p>
      <w:pPr>
        <w:pStyle w:val="49"/>
        <w:rPr>
          <w:color w:val="auto"/>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商务部分评分表（适用于包组三）</w:t>
      </w:r>
    </w:p>
    <w:p>
      <w:pPr>
        <w:pStyle w:val="2"/>
        <w:ind w:firstLine="560"/>
        <w:jc w:val="center"/>
        <w:rPr>
          <w:rFonts w:eastAsia="黑体"/>
          <w:color w:val="auto"/>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20</w:t>
      </w:r>
      <w:r>
        <w:rPr>
          <w:rFonts w:hint="eastAsia" w:ascii="黑体" w:hAnsi="宋体" w:eastAsia="黑体" w:cs="宋体"/>
          <w:color w:val="auto"/>
          <w:sz w:val="28"/>
          <w:szCs w:val="28"/>
          <w:highlight w:val="none"/>
        </w:rPr>
        <w:t>分）</w:t>
      </w:r>
    </w:p>
    <w:tbl>
      <w:tblPr>
        <w:tblStyle w:val="25"/>
        <w:tblW w:w="9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1792"/>
        <w:gridCol w:w="945"/>
        <w:gridCol w:w="58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838" w:type="dxa"/>
            <w:noWrap w:val="0"/>
            <w:vAlign w:val="center"/>
          </w:tcPr>
          <w:p>
            <w:pPr>
              <w:pStyle w:val="55"/>
              <w:jc w:val="center"/>
              <w:rPr>
                <w:rFonts w:hint="eastAsia" w:ascii="宋体" w:hAnsi="宋体" w:cs="宋体"/>
                <w:b/>
                <w:color w:val="000000"/>
                <w:szCs w:val="21"/>
                <w:highlight w:val="none"/>
              </w:rPr>
            </w:pPr>
          </w:p>
          <w:p>
            <w:pPr>
              <w:pStyle w:val="55"/>
              <w:jc w:val="center"/>
              <w:rPr>
                <w:rFonts w:hint="eastAsia" w:ascii="宋体" w:hAnsi="宋体" w:cs="宋体"/>
                <w:b/>
                <w:szCs w:val="21"/>
                <w:highlight w:val="none"/>
              </w:rPr>
            </w:pPr>
            <w:r>
              <w:rPr>
                <w:rFonts w:hint="eastAsia" w:ascii="宋体" w:hAnsi="宋体" w:cs="宋体"/>
                <w:b/>
                <w:color w:val="000000"/>
                <w:szCs w:val="21"/>
                <w:highlight w:val="none"/>
              </w:rPr>
              <w:t>序号</w:t>
            </w:r>
          </w:p>
        </w:tc>
        <w:tc>
          <w:tcPr>
            <w:tcW w:w="1792"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评分因素</w:t>
            </w:r>
          </w:p>
        </w:tc>
        <w:tc>
          <w:tcPr>
            <w:tcW w:w="945" w:type="dxa"/>
            <w:noWrap w:val="0"/>
            <w:vAlign w:val="center"/>
          </w:tcPr>
          <w:p>
            <w:pPr>
              <w:pStyle w:val="55"/>
              <w:jc w:val="center"/>
              <w:rPr>
                <w:rFonts w:hint="eastAsia" w:ascii="宋体" w:hAnsi="宋体" w:cs="宋体"/>
                <w:b/>
                <w:szCs w:val="21"/>
                <w:highlight w:val="none"/>
                <w:u w:val="single"/>
              </w:rPr>
            </w:pPr>
            <w:r>
              <w:rPr>
                <w:rFonts w:hint="eastAsia" w:ascii="宋体" w:hAnsi="宋体" w:cs="宋体"/>
                <w:b/>
                <w:color w:val="000000"/>
                <w:szCs w:val="21"/>
                <w:highlight w:val="none"/>
              </w:rPr>
              <w:t>分值（分）</w:t>
            </w:r>
          </w:p>
        </w:tc>
        <w:tc>
          <w:tcPr>
            <w:tcW w:w="5809" w:type="dxa"/>
            <w:noWrap w:val="0"/>
            <w:vAlign w:val="center"/>
          </w:tcPr>
          <w:p>
            <w:pPr>
              <w:pStyle w:val="55"/>
              <w:jc w:val="center"/>
              <w:rPr>
                <w:rFonts w:hint="eastAsia" w:ascii="宋体" w:hAnsi="宋体" w:cs="宋体"/>
                <w:b/>
                <w:szCs w:val="21"/>
                <w:highlight w:val="none"/>
              </w:rPr>
            </w:pPr>
            <w:r>
              <w:rPr>
                <w:rFonts w:hint="eastAsia" w:ascii="宋体" w:hAnsi="宋体" w:cs="宋体"/>
                <w:b/>
                <w:color w:val="000000"/>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企业资质等级</w:t>
            </w:r>
          </w:p>
        </w:tc>
        <w:tc>
          <w:tcPr>
            <w:tcW w:w="945" w:type="dxa"/>
            <w:noWrap w:val="0"/>
            <w:vAlign w:val="center"/>
          </w:tcPr>
          <w:p>
            <w:pPr>
              <w:widowControl/>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color w:val="000000"/>
                <w:highlight w:val="none"/>
                <w:lang w:val="en-US" w:eastAsia="zh-CN"/>
              </w:rPr>
              <w:t>3</w:t>
            </w:r>
          </w:p>
        </w:tc>
        <w:tc>
          <w:tcPr>
            <w:tcW w:w="5809" w:type="dxa"/>
            <w:noWrap w:val="0"/>
            <w:vAlign w:val="center"/>
          </w:tcPr>
          <w:p>
            <w:pPr>
              <w:numPr>
                <w:ilvl w:val="0"/>
                <w:numId w:val="147"/>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投标人具有工程勘察综合</w:t>
            </w:r>
            <w:r>
              <w:rPr>
                <w:rFonts w:hint="eastAsia" w:ascii="宋体" w:hAnsi="宋体" w:eastAsia="宋体" w:cs="宋体"/>
                <w:bCs/>
                <w:sz w:val="21"/>
                <w:szCs w:val="21"/>
                <w:highlight w:val="none"/>
                <w:lang w:eastAsia="zh-CN"/>
              </w:rPr>
              <w:t>类</w:t>
            </w:r>
            <w:r>
              <w:rPr>
                <w:rFonts w:hint="eastAsia" w:ascii="宋体" w:hAnsi="宋体" w:eastAsia="宋体" w:cs="宋体"/>
                <w:bCs/>
                <w:sz w:val="21"/>
                <w:szCs w:val="21"/>
                <w:highlight w:val="none"/>
              </w:rPr>
              <w:t>甲级资质的得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w:t>
            </w:r>
          </w:p>
          <w:p>
            <w:pPr>
              <w:numPr>
                <w:ilvl w:val="0"/>
                <w:numId w:val="0"/>
              </w:numPr>
              <w:spacing w:line="24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投标人具有工程勘察专业类（岩土工程）甲级资质的得</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分。</w:t>
            </w:r>
          </w:p>
          <w:p>
            <w:pPr>
              <w:spacing w:line="24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【本项最高得3分】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注：提供资质证书复印件并加盖投标人公章。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color w:val="000000"/>
                <w:highlight w:val="none"/>
                <w:lang w:eastAsia="zh-CN"/>
              </w:rPr>
              <w:t>企业诚信（信用）评价等级</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2</w:t>
            </w:r>
          </w:p>
        </w:tc>
        <w:tc>
          <w:tcPr>
            <w:tcW w:w="5809" w:type="dxa"/>
            <w:noWrap w:val="0"/>
            <w:vAlign w:val="center"/>
          </w:tcPr>
          <w:p>
            <w:pPr>
              <w:numPr>
                <w:ilvl w:val="0"/>
                <w:numId w:val="0"/>
              </w:num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投标人开标当天在佛山市建筑诚信评价体系管理平台(资质类别：</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类企业)的诚信等级为</w:t>
            </w:r>
            <w:r>
              <w:rPr>
                <w:rFonts w:hint="eastAsia" w:ascii="宋体" w:hAnsi="宋体" w:eastAsia="宋体" w:cs="宋体"/>
                <w:color w:val="auto"/>
                <w:sz w:val="21"/>
                <w:szCs w:val="21"/>
                <w:highlight w:val="none"/>
                <w:lang w:val="en-US" w:eastAsia="zh-CN"/>
              </w:rPr>
              <w:t>B级或以上的得2分；</w:t>
            </w:r>
            <w:r>
              <w:rPr>
                <w:rFonts w:hint="eastAsia" w:ascii="宋体" w:hAnsi="宋体" w:eastAsia="宋体" w:cs="宋体"/>
                <w:color w:val="auto"/>
                <w:sz w:val="21"/>
                <w:szCs w:val="21"/>
                <w:highlight w:val="none"/>
              </w:rPr>
              <w:t>其余情况不得分。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注：投标人须提供佛山市建筑诚信评价体系管理平台的相关网页截图</w:t>
            </w:r>
            <w:r>
              <w:rPr>
                <w:rFonts w:hint="eastAsia" w:ascii="宋体" w:hAnsi="宋体" w:eastAsia="宋体" w:cs="宋体"/>
                <w:color w:val="auto"/>
                <w:sz w:val="21"/>
                <w:szCs w:val="21"/>
                <w:highlight w:val="none"/>
                <w:lang w:eastAsia="zh-CN"/>
              </w:rPr>
              <w:t>并加盖投标人公章</w:t>
            </w:r>
            <w:r>
              <w:rPr>
                <w:rFonts w:hint="eastAsia" w:ascii="宋体" w:hAnsi="宋体" w:eastAsia="宋体" w:cs="宋体"/>
                <w:color w:val="auto"/>
                <w:sz w:val="21"/>
                <w:szCs w:val="21"/>
                <w:highlight w:val="none"/>
              </w:rPr>
              <w:t>。企业诚信等级以开标当天资格审查时查询的诚信等级为准。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color w:val="000000"/>
                <w:highlight w:val="none"/>
                <w:lang w:eastAsia="zh-CN"/>
              </w:rPr>
            </w:pPr>
            <w:r>
              <w:rPr>
                <w:rFonts w:hint="eastAsia" w:ascii="宋体" w:hAnsi="宋体" w:cs="宋体"/>
                <w:color w:val="000000"/>
                <w:highlight w:val="none"/>
                <w:lang w:eastAsia="zh-CN"/>
              </w:rPr>
              <w:t>企业类似工程业绩</w:t>
            </w:r>
          </w:p>
        </w:tc>
        <w:tc>
          <w:tcPr>
            <w:tcW w:w="945" w:type="dxa"/>
            <w:noWrap w:val="0"/>
            <w:vAlign w:val="center"/>
          </w:tcPr>
          <w:p>
            <w:pPr>
              <w:widowControl/>
              <w:jc w:val="center"/>
              <w:rPr>
                <w:rFonts w:hint="eastAsia" w:ascii="宋体" w:hAnsi="宋体" w:cs="宋体"/>
                <w:color w:val="000000"/>
                <w:highlight w:val="none"/>
                <w:lang w:val="en-US" w:eastAsia="zh-CN"/>
              </w:rPr>
            </w:pPr>
            <w:r>
              <w:rPr>
                <w:rFonts w:hint="eastAsia" w:ascii="宋体" w:hAnsi="宋体" w:eastAsia="宋体" w:cs="宋体"/>
                <w:color w:val="000000"/>
                <w:highlight w:val="none"/>
                <w:lang w:val="en-US" w:eastAsia="zh-CN"/>
              </w:rPr>
              <w:t>8</w:t>
            </w:r>
          </w:p>
        </w:tc>
        <w:tc>
          <w:tcPr>
            <w:tcW w:w="5809" w:type="dxa"/>
            <w:noWrap w:val="0"/>
            <w:vAlign w:val="center"/>
          </w:tcPr>
          <w:p>
            <w:pPr>
              <w:numPr>
                <w:ilvl w:val="0"/>
                <w:numId w:val="148"/>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近五年内（自2017年1月1日起至投标截止时间止），投标人承揽过勘察费人民币300万元及以上的勘察类项目的，每个得2分，本小项最高得4分。</w:t>
            </w:r>
          </w:p>
          <w:p>
            <w:pPr>
              <w:numPr>
                <w:ilvl w:val="0"/>
                <w:numId w:val="148"/>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近五年内（自2017年1月1日起至投标截止时间止），投标人承揽过勘察费人民币</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万元及以上民用运输机场或</w:t>
            </w:r>
            <w:r>
              <w:rPr>
                <w:rFonts w:hint="eastAsia" w:ascii="宋体" w:hAnsi="宋体" w:eastAsia="宋体" w:cs="宋体"/>
                <w:highlight w:val="none"/>
                <w:lang w:eastAsia="zh-CN"/>
              </w:rPr>
              <w:t>轨道交通</w:t>
            </w:r>
            <w:r>
              <w:rPr>
                <w:rFonts w:hint="eastAsia" w:ascii="宋体" w:hAnsi="宋体" w:eastAsia="宋体" w:cs="宋体"/>
                <w:color w:val="auto"/>
                <w:sz w:val="21"/>
                <w:szCs w:val="21"/>
                <w:highlight w:val="none"/>
              </w:rPr>
              <w:t>项目建设勘察项目的，每个得2分，本小项最高得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8分】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注：①同一项目业绩不重复计分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成果验收报告或</w:t>
            </w:r>
            <w:r>
              <w:rPr>
                <w:rFonts w:hint="eastAsia" w:ascii="宋体" w:hAnsi="宋体" w:eastAsia="宋体" w:cs="宋体"/>
                <w:color w:val="auto"/>
                <w:sz w:val="21"/>
                <w:szCs w:val="21"/>
                <w:highlight w:val="none"/>
                <w:lang w:eastAsia="en-US"/>
              </w:rPr>
              <w:t>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项目负责人业绩</w:t>
            </w:r>
          </w:p>
        </w:tc>
        <w:tc>
          <w:tcPr>
            <w:tcW w:w="945" w:type="dxa"/>
            <w:noWrap w:val="0"/>
            <w:vAlign w:val="center"/>
          </w:tcPr>
          <w:p>
            <w:pPr>
              <w:widowControl/>
              <w:jc w:val="center"/>
              <w:rPr>
                <w:rFonts w:hint="eastAsia" w:ascii="宋体" w:hAnsi="宋体" w:eastAsia="宋体" w:cs="宋体"/>
                <w:color w:val="000000"/>
                <w:highlight w:val="none"/>
                <w:lang w:val="en-US" w:eastAsia="zh-CN"/>
              </w:rPr>
            </w:pPr>
            <w:r>
              <w:rPr>
                <w:rFonts w:hint="eastAsia" w:ascii="宋体" w:hAnsi="宋体" w:cs="宋体"/>
                <w:highlight w:val="none"/>
                <w:lang w:val="en-US" w:eastAsia="zh-CN"/>
              </w:rPr>
              <w:t>4</w:t>
            </w:r>
          </w:p>
        </w:tc>
        <w:tc>
          <w:tcPr>
            <w:tcW w:w="5809" w:type="dxa"/>
            <w:noWrap w:val="0"/>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近五年内（自2017年1月1日起至投标截止时间止）作为项目负责人承揽过勘察费人民币200万元及以上的勘察类项目的，每个得2分，最高得4分。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4分】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en-US"/>
              </w:rPr>
              <w:t>须提供中标通知书</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eastAsia="en-US"/>
              </w:rPr>
              <w:t>合同协议书、</w:t>
            </w:r>
            <w:r>
              <w:rPr>
                <w:rFonts w:hint="eastAsia" w:ascii="宋体" w:hAnsi="宋体" w:eastAsia="宋体" w:cs="宋体"/>
                <w:color w:val="auto"/>
                <w:sz w:val="21"/>
                <w:szCs w:val="21"/>
                <w:highlight w:val="none"/>
                <w:lang w:eastAsia="zh-CN"/>
              </w:rPr>
              <w:t>成果验收报告或</w:t>
            </w:r>
            <w:r>
              <w:rPr>
                <w:rFonts w:hint="eastAsia" w:ascii="宋体" w:hAnsi="宋体" w:eastAsia="宋体" w:cs="宋体"/>
                <w:color w:val="auto"/>
                <w:sz w:val="21"/>
                <w:szCs w:val="21"/>
                <w:highlight w:val="none"/>
                <w:lang w:eastAsia="en-US"/>
              </w:rPr>
              <w:t>审查通过文件（如有）等复印件作为证明材料</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eastAsia="en-US"/>
              </w:rPr>
              <w:t>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en-US"/>
              </w:rPr>
              <w:t>若不能清晰反映有关特征和必要信息的，还须提供该业绩的业主证明（须反映有关特征和必要信息）并须附有业主方的联系人及联系电话</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lang w:eastAsia="en-US"/>
              </w:rPr>
              <w:t>。同时提供中标通知书、合同协议书、</w:t>
            </w:r>
            <w:r>
              <w:rPr>
                <w:rFonts w:hint="eastAsia" w:ascii="宋体" w:hAnsi="宋体" w:eastAsia="宋体" w:cs="宋体"/>
                <w:color w:val="auto"/>
                <w:sz w:val="21"/>
                <w:szCs w:val="21"/>
                <w:highlight w:val="none"/>
                <w:lang w:eastAsia="zh-CN"/>
              </w:rPr>
              <w:t>成果验收报告、</w:t>
            </w:r>
            <w:r>
              <w:rPr>
                <w:rFonts w:hint="eastAsia" w:ascii="宋体" w:hAnsi="宋体" w:eastAsia="宋体" w:cs="宋体"/>
                <w:color w:val="auto"/>
                <w:sz w:val="21"/>
                <w:szCs w:val="21"/>
                <w:highlight w:val="none"/>
                <w:lang w:eastAsia="en-US"/>
              </w:rPr>
              <w:t>审查通过文件的，以最接近本项目招标公告发布的时间为准</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3"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highlight w:val="none"/>
                <w:lang w:eastAsia="zh-CN"/>
              </w:rPr>
              <w:t>企业管理体系认证</w:t>
            </w:r>
          </w:p>
        </w:tc>
        <w:tc>
          <w:tcPr>
            <w:tcW w:w="945" w:type="dxa"/>
            <w:noWrap w:val="0"/>
            <w:vAlign w:val="center"/>
          </w:tcPr>
          <w:p>
            <w:pPr>
              <w:widowControl/>
              <w:jc w:val="center"/>
              <w:rPr>
                <w:rFonts w:hint="eastAsia" w:ascii="宋体" w:hAnsi="宋体" w:cs="宋体"/>
                <w:highlight w:val="none"/>
                <w:lang w:val="en-US" w:eastAsia="zh-CN"/>
              </w:rPr>
            </w:pPr>
            <w:r>
              <w:rPr>
                <w:rFonts w:hint="default" w:ascii="宋体" w:hAnsi="宋体" w:cs="宋体"/>
                <w:color w:val="000000"/>
                <w:highlight w:val="none"/>
                <w:lang w:val="en-US" w:eastAsia="zh-CN"/>
              </w:rPr>
              <w:t>2</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有效期内的企业管理体系认证情况：</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同时具备质量管理体系认证、环境管理体系认证、职业健康安全管理体系认证，得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两项，得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只具备上述三项认证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一项，得1分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注：提供相关证明材料复印件</w:t>
            </w:r>
            <w:r>
              <w:rPr>
                <w:rFonts w:hint="eastAsia" w:ascii="宋体" w:hAnsi="宋体" w:eastAsia="宋体" w:cs="宋体"/>
                <w:color w:val="auto"/>
                <w:sz w:val="21"/>
                <w:szCs w:val="21"/>
                <w:highlight w:val="none"/>
                <w:lang w:val="en-US" w:eastAsia="zh-CN"/>
              </w:rPr>
              <w:t>并加盖投标人公章</w:t>
            </w:r>
            <w:r>
              <w:rPr>
                <w:rFonts w:hint="eastAsia" w:ascii="宋体" w:hAnsi="宋体" w:eastAsia="宋体" w:cs="宋体"/>
                <w:color w:val="auto"/>
                <w:sz w:val="21"/>
                <w:szCs w:val="21"/>
                <w:highlight w:val="none"/>
                <w:lang w:eastAsia="zh-CN"/>
              </w:rPr>
              <w:t>，否则不得分。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838" w:type="dxa"/>
            <w:noWrap w:val="0"/>
            <w:vAlign w:val="center"/>
          </w:tcPr>
          <w:p>
            <w:pPr>
              <w:widowControl/>
              <w:numPr>
                <w:ilvl w:val="0"/>
                <w:numId w:val="146"/>
              </w:numPr>
              <w:tabs>
                <w:tab w:val="left" w:pos="210"/>
              </w:tabs>
              <w:jc w:val="center"/>
              <w:rPr>
                <w:rFonts w:hint="eastAsia" w:ascii="宋体" w:hAnsi="宋体" w:cs="宋体"/>
                <w:szCs w:val="21"/>
                <w:highlight w:val="none"/>
              </w:rPr>
            </w:pPr>
          </w:p>
        </w:tc>
        <w:tc>
          <w:tcPr>
            <w:tcW w:w="1792"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项目负责人技术职称</w:t>
            </w:r>
          </w:p>
        </w:tc>
        <w:tc>
          <w:tcPr>
            <w:tcW w:w="945" w:type="dxa"/>
            <w:noWrap w:val="0"/>
            <w:vAlign w:val="center"/>
          </w:tcPr>
          <w:p>
            <w:pPr>
              <w:widowControl/>
              <w:jc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1</w:t>
            </w:r>
          </w:p>
        </w:tc>
        <w:tc>
          <w:tcPr>
            <w:tcW w:w="5809" w:type="dxa"/>
            <w:noWrap w:val="0"/>
            <w:vAlign w:val="top"/>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拟派项目负责人具有地质勘察相关专业研究员或教授级高级职称的得1分，具有高级职称的得0.5分</w:t>
            </w:r>
            <w:r>
              <w:rPr>
                <w:rFonts w:hint="eastAsia" w:ascii="宋体" w:hAnsi="宋体" w:eastAsia="宋体" w:cs="宋体"/>
                <w:color w:val="auto"/>
                <w:sz w:val="21"/>
                <w:szCs w:val="21"/>
                <w:highlight w:val="none"/>
                <w:lang w:eastAsia="zh-CN"/>
              </w:rPr>
              <w:t>。</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1分】</w:t>
            </w:r>
          </w:p>
          <w:p>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须提供相关证书复印件并加盖投标人公章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副高级职称按高级职称计算得分，正高级职称按</w:t>
            </w:r>
            <w:r>
              <w:rPr>
                <w:rFonts w:hint="eastAsia" w:ascii="宋体" w:hAnsi="宋体" w:eastAsia="宋体" w:cs="宋体"/>
                <w:color w:val="auto"/>
                <w:sz w:val="21"/>
                <w:szCs w:val="21"/>
                <w:highlight w:val="none"/>
                <w:lang w:val="en-US" w:eastAsia="zh-CN"/>
              </w:rPr>
              <w:t>教授级高级职称计算得分，</w:t>
            </w:r>
            <w:r>
              <w:rPr>
                <w:rFonts w:hint="eastAsia" w:ascii="宋体" w:hAnsi="宋体" w:eastAsia="宋体" w:cs="宋体"/>
                <w:color w:val="auto"/>
                <w:sz w:val="21"/>
                <w:szCs w:val="21"/>
                <w:highlight w:val="none"/>
              </w:rPr>
              <w:t>职称以最高职称为准计算一次。专业以职称证书为准，若职称证书无专业则以毕业证书的专业为准。</w:t>
            </w:r>
            <w:r>
              <w:rPr>
                <w:rFonts w:hint="eastAsia" w:ascii="宋体" w:hAnsi="宋体" w:eastAsia="宋体" w:cs="宋体"/>
                <w:color w:val="000000"/>
                <w:kern w:val="0"/>
                <w:sz w:val="21"/>
                <w:szCs w:val="21"/>
                <w:highlight w:val="none"/>
                <w:lang w:bidi="zh-CN"/>
              </w:rPr>
              <w:t xml:space="preserve"> </w:t>
            </w:r>
          </w:p>
        </w:tc>
      </w:tr>
    </w:tbl>
    <w:p>
      <w:pPr>
        <w:snapToGrid w:val="0"/>
        <w:spacing w:line="360" w:lineRule="auto"/>
        <w:ind w:left="210" w:leftChars="10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149"/>
        </w:numPr>
        <w:tabs>
          <w:tab w:val="left" w:pos="420"/>
        </w:tabs>
        <w:snapToGrid w:val="0"/>
        <w:spacing w:line="360" w:lineRule="auto"/>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149"/>
        </w:numPr>
        <w:tabs>
          <w:tab w:val="left" w:pos="420"/>
        </w:tabs>
        <w:snapToGrid w:val="0"/>
        <w:spacing w:line="360" w:lineRule="auto"/>
        <w:rPr>
          <w:rFonts w:hint="eastAsia" w:ascii="宋体" w:hAnsi="宋体"/>
          <w:bCs/>
          <w:color w:val="auto"/>
          <w:highlight w:val="none"/>
        </w:rPr>
      </w:pPr>
      <w:r>
        <w:rPr>
          <w:rFonts w:hint="eastAsia" w:ascii="宋体" w:hAnsi="宋体"/>
          <w:bCs/>
          <w:color w:val="auto"/>
          <w:highlight w:val="none"/>
        </w:rPr>
        <w:t>商务评分：所有评委评分分值的算术平均值（四舍五入后，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pPr>
        <w:numPr>
          <w:ilvl w:val="0"/>
          <w:numId w:val="149"/>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承揽过”：是指所承担的项目正在建设中或所承担的项目已完成并通过验收；如投标人所承担的项目已完成并通过验收，则除提供中标通知书或合同协议书复印件外，还需提供成果验收报告或审查通过文件复印件作为证明材料。</w:t>
      </w:r>
    </w:p>
    <w:p>
      <w:pPr>
        <w:numPr>
          <w:ilvl w:val="0"/>
          <w:numId w:val="149"/>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“地质勘察相关专业”是指：土木工程、岩土工程等相关专业</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bidi="zh-CN"/>
        </w:rPr>
        <w:t>专业名称以职称证的专业名称为准，如职称证无法显示专业名称的，以学历证书的专业名称为准。</w:t>
      </w:r>
    </w:p>
    <w:p>
      <w:pPr>
        <w:numPr>
          <w:ilvl w:val="0"/>
          <w:numId w:val="149"/>
        </w:numPr>
        <w:tabs>
          <w:tab w:val="left" w:pos="420"/>
        </w:tabs>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关于职称证书核发机构的要求（满足以下两点之一）：</w:t>
      </w:r>
    </w:p>
    <w:p>
      <w:pPr>
        <w:numPr>
          <w:ilvl w:val="0"/>
          <w:numId w:val="150"/>
        </w:numPr>
        <w:snapToGrid w:val="0"/>
        <w:spacing w:line="360" w:lineRule="auto"/>
        <w:ind w:leftChars="0"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如职称证书由人社部门（其中高级或以上职称须由省级或以上人社部门）或其他政府部门核发的，须提供职称证书（盖有人社部门或其他政府部门印章）复印件，否则，对该职称证书不予认可。</w:t>
      </w:r>
    </w:p>
    <w:p>
      <w:pPr>
        <w:numPr>
          <w:ilvl w:val="0"/>
          <w:numId w:val="150"/>
        </w:numPr>
        <w:snapToGrid w:val="0"/>
        <w:spacing w:line="360" w:lineRule="auto"/>
        <w:ind w:leftChars="0" w:firstLine="420" w:firstLineChars="200"/>
        <w:jc w:val="left"/>
        <w:rPr>
          <w:rFonts w:hint="eastAsia" w:ascii="宋体" w:hAnsi="宋体" w:eastAsia="宋体" w:cs="宋体"/>
          <w:color w:val="auto"/>
          <w:sz w:val="21"/>
          <w:szCs w:val="21"/>
          <w:highlight w:val="none"/>
        </w:rPr>
        <w:sectPr>
          <w:pgSz w:w="11906" w:h="16838"/>
          <w:pgMar w:top="1440" w:right="586" w:bottom="1440" w:left="1440" w:header="851" w:footer="992" w:gutter="0"/>
          <w:cols w:space="720" w:num="1"/>
          <w:docGrid w:type="lines" w:linePitch="312" w:charSpace="0"/>
        </w:sectPr>
      </w:pPr>
      <w:r>
        <w:rPr>
          <w:rFonts w:hint="eastAsia" w:ascii="宋体" w:hAnsi="宋体" w:eastAsia="宋体" w:cs="宋体"/>
          <w:color w:val="auto"/>
          <w:highlight w:val="none"/>
          <w:lang w:eastAsia="zh-CN"/>
        </w:rPr>
        <w:t>如职称证书非人社部门或其他政府部门核发的，须提供：①职称证书【盖有核发机构（或该机构职称评审委员会）印章】复印件；②发证单位（或该单位职称评审委员会）在人社部门授权或核准备案证明其具有职称评审权的证明文件复印件加盖投标人公章，或该人员在人社部门职称管理系统登记的获得该职称的信息记录网页或截图打印件加盖投标人公章。否则，对该职称证书不予认可</w:t>
      </w:r>
      <w:r>
        <w:rPr>
          <w:rFonts w:hint="eastAsia" w:ascii="宋体" w:hAnsi="宋体" w:eastAsia="宋体" w:cs="宋体"/>
          <w:color w:val="auto"/>
          <w:sz w:val="21"/>
          <w:szCs w:val="21"/>
          <w:highlight w:val="none"/>
          <w:lang w:eastAsia="zh-CN"/>
        </w:rPr>
        <w:t>。</w:t>
      </w:r>
    </w:p>
    <w:p>
      <w:pPr>
        <w:numPr>
          <w:ilvl w:val="0"/>
          <w:numId w:val="0"/>
        </w:numPr>
        <w:snapToGrid w:val="0"/>
        <w:spacing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价 格 评 分 表（适用于各包组）</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20</w:t>
      </w:r>
      <w:r>
        <w:rPr>
          <w:rFonts w:hint="eastAsia" w:ascii="黑体" w:hAnsi="宋体" w:eastAsia="黑体" w:cs="宋体"/>
          <w:color w:val="auto"/>
          <w:sz w:val="28"/>
          <w:szCs w:val="28"/>
          <w:highlight w:val="none"/>
        </w:rPr>
        <w:t>分）</w:t>
      </w:r>
    </w:p>
    <w:p>
      <w:pPr>
        <w:numPr>
          <w:ilvl w:val="0"/>
          <w:numId w:val="151"/>
        </w:num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价格核准：评标委员会详细分析、核准价格表，检查其是否存在计算上或累加上的算术错误，修正错误的原则详见第五章第25.2条相关条款。</w:t>
      </w:r>
    </w:p>
    <w:p>
      <w:pPr>
        <w:numPr>
          <w:ilvl w:val="0"/>
          <w:numId w:val="151"/>
        </w:num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价格分计算方式：报价得分：M＝N-100×(|P-Q|÷Q)×F</w:t>
      </w:r>
    </w:p>
    <w:p>
      <w:pPr>
        <w:snapToGrid w:val="0"/>
        <w:spacing w:line="360" w:lineRule="auto"/>
        <w:jc w:val="center"/>
        <w:outlineLvl w:val="0"/>
        <w:rPr>
          <w:rFonts w:hint="eastAsia" w:ascii="宋体" w:hAnsi="宋体" w:eastAsia="宋体" w:cs="宋体"/>
          <w:color w:val="auto"/>
          <w:highlight w:val="none"/>
        </w:rPr>
      </w:pPr>
      <w:bookmarkStart w:id="52" w:name="_Toc15372"/>
      <w:bookmarkStart w:id="53" w:name="_Toc9624"/>
      <w:r>
        <w:rPr>
          <w:rFonts w:hint="eastAsia" w:ascii="宋体" w:hAnsi="宋体" w:eastAsia="宋体" w:cs="宋体"/>
          <w:color w:val="auto"/>
          <w:highlight w:val="none"/>
        </w:rPr>
        <w:t>其中N（分）：投标报价权重分值，为</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bookmarkEnd w:id="52"/>
      <w:bookmarkEnd w:id="53"/>
    </w:p>
    <w:p>
      <w:pPr>
        <w:pStyle w:val="2"/>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P：投标文件通过初步评审的有效投标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w:t>
      </w:r>
    </w:p>
    <w:p>
      <w:pPr>
        <w:snapToGrid w:val="0"/>
        <w:spacing w:line="360" w:lineRule="auto"/>
        <w:jc w:val="center"/>
        <w:outlineLvl w:val="0"/>
        <w:rPr>
          <w:rFonts w:hint="eastAsia" w:ascii="宋体" w:hAnsi="宋体" w:eastAsia="宋体" w:cs="宋体"/>
          <w:color w:val="auto"/>
          <w:highlight w:val="none"/>
        </w:rPr>
      </w:pPr>
      <w:bookmarkStart w:id="54" w:name="_Toc17757"/>
      <w:bookmarkStart w:id="55" w:name="_Toc9722"/>
      <w:r>
        <w:rPr>
          <w:rFonts w:hint="eastAsia" w:ascii="宋体" w:hAnsi="宋体" w:eastAsia="宋体" w:cs="宋体"/>
          <w:color w:val="auto"/>
          <w:highlight w:val="none"/>
        </w:rPr>
        <w:t>Q：评标基准价；</w:t>
      </w:r>
      <w:bookmarkEnd w:id="54"/>
      <w:bookmarkEnd w:id="55"/>
    </w:p>
    <w:p>
      <w:pPr>
        <w:snapToGrid w:val="0"/>
        <w:spacing w:line="360" w:lineRule="auto"/>
        <w:jc w:val="center"/>
        <w:outlineLvl w:val="0"/>
        <w:rPr>
          <w:rFonts w:hint="eastAsia" w:ascii="宋体" w:hAnsi="宋体" w:eastAsia="宋体" w:cs="宋体"/>
          <w:color w:val="auto"/>
          <w:highlight w:val="none"/>
        </w:rPr>
      </w:pPr>
      <w:bookmarkStart w:id="56" w:name="_Toc20434"/>
      <w:bookmarkStart w:id="57" w:name="_Toc5377"/>
      <w:r>
        <w:rPr>
          <w:rFonts w:hint="eastAsia" w:ascii="宋体" w:hAnsi="宋体" w:eastAsia="宋体" w:cs="宋体"/>
          <w:color w:val="auto"/>
          <w:highlight w:val="none"/>
        </w:rPr>
        <w:t>F：偏离扣分分值，当P≥Q，F=0.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；当P＜Q，F=0.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bookmarkEnd w:id="56"/>
      <w:bookmarkEnd w:id="57"/>
    </w:p>
    <w:p>
      <w:pPr>
        <w:snapToGrid w:val="0"/>
        <w:spacing w:line="360" w:lineRule="auto"/>
        <w:outlineLvl w:val="0"/>
        <w:rPr>
          <w:rFonts w:hint="eastAsia" w:ascii="宋体" w:hAnsi="宋体" w:eastAsia="宋体" w:cs="宋体"/>
          <w:color w:val="auto"/>
          <w:highlight w:val="none"/>
        </w:rPr>
      </w:pPr>
      <w:bookmarkStart w:id="58" w:name="_Toc24938"/>
      <w:bookmarkStart w:id="59" w:name="_Toc344"/>
      <w:r>
        <w:rPr>
          <w:rFonts w:hint="eastAsia" w:ascii="宋体" w:hAnsi="宋体" w:eastAsia="宋体" w:cs="宋体"/>
          <w:color w:val="auto"/>
          <w:highlight w:val="none"/>
        </w:rPr>
        <w:t>注：</w:t>
      </w:r>
      <w:bookmarkEnd w:id="58"/>
      <w:bookmarkEnd w:id="59"/>
    </w:p>
    <w:p>
      <w:pPr>
        <w:numPr>
          <w:ilvl w:val="0"/>
          <w:numId w:val="152"/>
        </w:numPr>
        <w:snapToGrid w:val="0"/>
        <w:spacing w:line="360" w:lineRule="auto"/>
        <w:outlineLvl w:val="0"/>
        <w:rPr>
          <w:rFonts w:hint="eastAsia" w:ascii="宋体" w:hAnsi="宋体" w:eastAsia="宋体" w:cs="宋体"/>
          <w:color w:val="auto"/>
          <w:highlight w:val="none"/>
        </w:rPr>
      </w:pPr>
      <w:bookmarkStart w:id="60" w:name="_Toc28108"/>
      <w:bookmarkStart w:id="61" w:name="_Toc12708"/>
      <w:r>
        <w:rPr>
          <w:rFonts w:hint="eastAsia" w:ascii="宋体" w:hAnsi="宋体" w:eastAsia="宋体" w:cs="宋体"/>
          <w:color w:val="auto"/>
          <w:highlight w:val="none"/>
        </w:rPr>
        <w:t>计算值按四舍五入法保留两位有效小数，本项最低得分为0分。</w:t>
      </w:r>
      <w:bookmarkEnd w:id="60"/>
      <w:bookmarkEnd w:id="61"/>
    </w:p>
    <w:p>
      <w:pPr>
        <w:pStyle w:val="2"/>
        <w:numPr>
          <w:ilvl w:val="0"/>
          <w:numId w:val="152"/>
        </w:numPr>
        <w:spacing w:line="360" w:lineRule="auto"/>
        <w:ind w:firstLineChars="0"/>
        <w:rPr>
          <w:rFonts w:hint="eastAsia" w:ascii="宋体" w:hAnsi="宋体" w:eastAsia="宋体" w:cs="宋体"/>
          <w:color w:val="auto"/>
          <w:highlight w:val="none"/>
        </w:rPr>
      </w:pPr>
      <w:r>
        <w:rPr>
          <w:rFonts w:hint="eastAsia" w:ascii="宋体" w:hAnsi="宋体" w:eastAsia="宋体" w:cs="宋体"/>
          <w:color w:val="auto"/>
          <w:highlight w:val="none"/>
        </w:rPr>
        <w:t>评标基准价（Q）计算办法：取所有通过初步评审的投标文件的有效投标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报价的算术平均值【通过初步评审的投标文件的有效投标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报价中，小于（不含等于）</w:t>
      </w:r>
      <w:r>
        <w:rPr>
          <w:rFonts w:hint="eastAsia" w:ascii="宋体" w:hAnsi="宋体" w:eastAsia="宋体" w:cs="宋体"/>
          <w:color w:val="auto"/>
          <w:highlight w:val="none"/>
          <w:lang w:eastAsia="zh-CN"/>
        </w:rPr>
        <w:t>最高限价</w:t>
      </w:r>
      <w:r>
        <w:rPr>
          <w:rFonts w:hint="eastAsia" w:ascii="宋体" w:hAnsi="宋体" w:eastAsia="宋体" w:cs="宋体"/>
          <w:color w:val="auto"/>
          <w:highlight w:val="none"/>
        </w:rPr>
        <w:t>85%的投标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报价不参与评标基准价计算。当有效投标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报价数量大于或者等于7家时，去掉一个最高投标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报价和一个最低投标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报价后进行算术平均】为评标基准价。</w:t>
      </w:r>
    </w:p>
    <w:p>
      <w:pPr>
        <w:adjustRightInd w:val="0"/>
        <w:snapToGrid w:val="0"/>
        <w:spacing w:line="360" w:lineRule="auto"/>
        <w:ind w:firstLine="411" w:firstLineChars="196"/>
        <w:rPr>
          <w:rFonts w:ascii="宋体" w:hAnsi="宋体"/>
          <w:bCs/>
          <w:color w:val="auto"/>
          <w:highlight w:val="none"/>
        </w:rPr>
      </w:pPr>
      <w:r>
        <w:rPr>
          <w:rFonts w:hint="eastAsia" w:ascii="宋体" w:hAnsi="宋体"/>
          <w:bCs/>
          <w:color w:val="auto"/>
          <w:highlight w:val="none"/>
        </w:rPr>
        <w:br w:type="page"/>
      </w:r>
    </w:p>
    <w:p>
      <w:pPr>
        <w:snapToGrid w:val="0"/>
        <w:spacing w:line="360" w:lineRule="auto"/>
        <w:jc w:val="center"/>
        <w:outlineLvl w:val="0"/>
        <w:rPr>
          <w:rFonts w:hint="eastAsia"/>
          <w:b/>
          <w:bCs/>
          <w:color w:val="auto"/>
          <w:sz w:val="44"/>
          <w:szCs w:val="44"/>
          <w:highlight w:val="none"/>
        </w:rPr>
      </w:pPr>
      <w:bookmarkStart w:id="62" w:name="_Toc355879665"/>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pStyle w:val="3"/>
        <w:numPr>
          <w:ilvl w:val="0"/>
          <w:numId w:val="0"/>
        </w:numPr>
        <w:ind w:leftChars="0"/>
        <w:rPr>
          <w:rFonts w:hint="eastAsia"/>
          <w:highlight w:val="none"/>
        </w:rPr>
      </w:pPr>
    </w:p>
    <w:p>
      <w:pPr>
        <w:snapToGrid w:val="0"/>
        <w:spacing w:line="360" w:lineRule="auto"/>
        <w:jc w:val="center"/>
        <w:outlineLvl w:val="0"/>
        <w:rPr>
          <w:b/>
          <w:bCs/>
          <w:color w:val="auto"/>
          <w:sz w:val="44"/>
          <w:szCs w:val="44"/>
          <w:highlight w:val="none"/>
        </w:rPr>
      </w:pPr>
      <w:bookmarkStart w:id="63" w:name="_Toc15050"/>
      <w:r>
        <w:rPr>
          <w:rFonts w:hint="eastAsia"/>
          <w:b/>
          <w:bCs/>
          <w:color w:val="auto"/>
          <w:sz w:val="44"/>
          <w:szCs w:val="44"/>
          <w:highlight w:val="none"/>
        </w:rPr>
        <w:t>第五章</w:t>
      </w:r>
      <w:bookmarkEnd w:id="62"/>
      <w:bookmarkEnd w:id="63"/>
    </w:p>
    <w:p>
      <w:pPr>
        <w:snapToGrid w:val="0"/>
        <w:spacing w:line="360" w:lineRule="auto"/>
        <w:jc w:val="center"/>
        <w:outlineLvl w:val="0"/>
        <w:rPr>
          <w:b/>
          <w:bCs/>
          <w:color w:val="auto"/>
          <w:sz w:val="44"/>
          <w:szCs w:val="44"/>
          <w:highlight w:val="none"/>
        </w:rPr>
      </w:pPr>
      <w:bookmarkStart w:id="64" w:name="_Toc5615"/>
      <w:bookmarkStart w:id="65" w:name="_Toc355879666"/>
      <w:bookmarkStart w:id="66" w:name="_Toc7276"/>
      <w:r>
        <w:rPr>
          <w:rFonts w:hint="eastAsia"/>
          <w:b/>
          <w:bCs/>
          <w:color w:val="auto"/>
          <w:sz w:val="44"/>
          <w:szCs w:val="44"/>
          <w:highlight w:val="none"/>
        </w:rPr>
        <w:t>投 标 人 须 知</w:t>
      </w:r>
      <w:bookmarkEnd w:id="64"/>
      <w:bookmarkEnd w:id="65"/>
      <w:bookmarkEnd w:id="66"/>
    </w:p>
    <w:p>
      <w:pPr>
        <w:numPr>
          <w:ilvl w:val="0"/>
          <w:numId w:val="153"/>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rPr>
      </w:pPr>
      <w:r>
        <w:rPr>
          <w:rFonts w:ascii="黑体" w:eastAsia="黑体" w:cs="黑体"/>
          <w:b/>
          <w:bCs/>
          <w:color w:val="auto"/>
          <w:sz w:val="52"/>
          <w:szCs w:val="52"/>
          <w:highlight w:val="none"/>
        </w:rPr>
        <w:br w:type="page"/>
      </w:r>
      <w:bookmarkStart w:id="67" w:name="_Toc24229"/>
      <w:bookmarkStart w:id="68" w:name="_Toc31479"/>
      <w:bookmarkStart w:id="69" w:name="_Toc410722638"/>
      <w:bookmarkStart w:id="70" w:name="_Toc355879667"/>
      <w:bookmarkStart w:id="71" w:name="_Toc355879708"/>
      <w:r>
        <w:rPr>
          <w:rFonts w:ascii="宋体" w:hAnsi="宋体"/>
          <w:b/>
          <w:color w:val="auto"/>
          <w:sz w:val="28"/>
          <w:szCs w:val="28"/>
          <w:highlight w:val="none"/>
          <w:lang w:eastAsia="zh-TW"/>
        </w:rPr>
        <w:t>说 明</w:t>
      </w:r>
      <w:bookmarkEnd w:id="67"/>
      <w:bookmarkEnd w:id="68"/>
      <w:bookmarkEnd w:id="69"/>
      <w:bookmarkEnd w:id="70"/>
      <w:bookmarkStart w:id="72" w:name="_Toc292267791"/>
    </w:p>
    <w:bookmarkEnd w:id="72"/>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73" w:name="_Toc23552"/>
      <w:bookmarkStart w:id="74" w:name="_Toc410722639"/>
      <w:bookmarkStart w:id="75" w:name="_Toc355879668"/>
      <w:bookmarkStart w:id="76" w:name="_Toc24527"/>
      <w:r>
        <w:rPr>
          <w:rFonts w:hint="eastAsia" w:ascii="宋体" w:hAnsi="宋体"/>
          <w:b/>
          <w:bCs/>
          <w:color w:val="auto"/>
          <w:szCs w:val="21"/>
          <w:highlight w:val="none"/>
        </w:rPr>
        <w:t>适用范围</w:t>
      </w:r>
      <w:bookmarkEnd w:id="73"/>
      <w:bookmarkEnd w:id="74"/>
      <w:bookmarkEnd w:id="75"/>
      <w:r>
        <w:rPr>
          <w:rFonts w:hint="eastAsia" w:ascii="宋体" w:hAnsi="宋体"/>
          <w:b/>
          <w:bCs/>
          <w:color w:val="auto"/>
          <w:szCs w:val="21"/>
          <w:highlight w:val="none"/>
          <w:lang w:eastAsia="zh-CN"/>
        </w:rPr>
        <w:t>和法律</w:t>
      </w:r>
      <w:bookmarkEnd w:id="76"/>
    </w:p>
    <w:p>
      <w:pPr>
        <w:numPr>
          <w:ilvl w:val="1"/>
          <w:numId w:val="154"/>
        </w:numPr>
        <w:autoSpaceDE w:val="0"/>
        <w:autoSpaceDN w:val="0"/>
        <w:adjustRightInd w:val="0"/>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本招标文件适用于本投标邀请中所述项目的招投标</w:t>
      </w:r>
      <w:r>
        <w:rPr>
          <w:rFonts w:ascii="宋体" w:hAnsi="宋体"/>
          <w:color w:val="auto"/>
          <w:szCs w:val="21"/>
          <w:highlight w:val="none"/>
        </w:rPr>
        <w:t>活动</w:t>
      </w:r>
      <w:r>
        <w:rPr>
          <w:rFonts w:hint="eastAsia" w:ascii="宋体" w:hAnsi="宋体"/>
          <w:color w:val="auto"/>
          <w:szCs w:val="21"/>
          <w:highlight w:val="none"/>
          <w:lang w:eastAsia="zh-CN"/>
        </w:rPr>
        <w:t>。</w:t>
      </w:r>
    </w:p>
    <w:p>
      <w:pPr>
        <w:numPr>
          <w:ilvl w:val="1"/>
          <w:numId w:val="154"/>
        </w:numPr>
        <w:autoSpaceDE w:val="0"/>
        <w:autoSpaceDN w:val="0"/>
        <w:adjustRightInd w:val="0"/>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参照《中华人民共和国招标投标法》、《中华人民共和国招标投标法实施条例》及其相关法规进行招标。</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77" w:name="_Toc410722640"/>
      <w:bookmarkStart w:id="78" w:name="_Toc19772"/>
      <w:bookmarkStart w:id="79" w:name="_Toc355879669"/>
      <w:bookmarkStart w:id="80" w:name="_Toc28027"/>
      <w:r>
        <w:rPr>
          <w:rFonts w:hint="eastAsia" w:ascii="宋体" w:hAnsi="宋体"/>
          <w:b/>
          <w:bCs/>
          <w:color w:val="auto"/>
          <w:szCs w:val="21"/>
          <w:highlight w:val="none"/>
        </w:rPr>
        <w:t>监管部门及招标采购单位</w:t>
      </w:r>
      <w:bookmarkEnd w:id="77"/>
      <w:bookmarkEnd w:id="78"/>
      <w:bookmarkEnd w:id="79"/>
      <w:bookmarkEnd w:id="80"/>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监管部门指招标人或其上级主管单位纪律部门</w:t>
      </w:r>
      <w:r>
        <w:rPr>
          <w:rFonts w:hint="eastAsia" w:ascii="宋体" w:hAnsi="宋体" w:cs="宋体"/>
          <w:color w:val="auto"/>
          <w:szCs w:val="21"/>
          <w:highlight w:val="none"/>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指招标人及招标代理机构。</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招标人指进行招标的单位</w:t>
      </w:r>
      <w:r>
        <w:rPr>
          <w:rFonts w:hint="eastAsia" w:ascii="宋体" w:hAnsi="宋体" w:cs="宋体"/>
          <w:color w:val="auto"/>
          <w:szCs w:val="21"/>
          <w:highlight w:val="none"/>
        </w:rPr>
        <w:t>。</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招标代理机构是指依法取得招标资格、从事招标代理业务并提供相关服务的专门机构。</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81" w:name="_Toc24825"/>
      <w:bookmarkStart w:id="82" w:name="_Toc6374"/>
      <w:bookmarkStart w:id="83" w:name="_Toc355879670"/>
      <w:bookmarkStart w:id="84" w:name="_Toc410722641"/>
      <w:r>
        <w:rPr>
          <w:rFonts w:hint="eastAsia" w:ascii="宋体" w:hAnsi="宋体"/>
          <w:b/>
          <w:bCs/>
          <w:color w:val="auto"/>
          <w:szCs w:val="21"/>
          <w:highlight w:val="none"/>
        </w:rPr>
        <w:t>合格的投标人</w:t>
      </w:r>
      <w:bookmarkEnd w:id="81"/>
      <w:bookmarkEnd w:id="82"/>
      <w:bookmarkEnd w:id="83"/>
      <w:bookmarkEnd w:id="84"/>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投标人是响应招标并且符合招标文件规定资格条件和参加投标竞争的法人、其他组织或者自然人。</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合格的投标人</w:t>
      </w:r>
    </w:p>
    <w:p>
      <w:pPr>
        <w:numPr>
          <w:ilvl w:val="2"/>
          <w:numId w:val="154"/>
        </w:numPr>
        <w:tabs>
          <w:tab w:val="left" w:pos="851"/>
        </w:tabs>
        <w:autoSpaceDE w:val="0"/>
        <w:autoSpaceDN w:val="0"/>
        <w:adjustRightInd w:val="0"/>
        <w:snapToGrid w:val="0"/>
        <w:spacing w:line="360" w:lineRule="auto"/>
        <w:rPr>
          <w:rFonts w:ascii="宋体" w:hAnsi="宋体"/>
          <w:color w:val="auto"/>
          <w:szCs w:val="21"/>
          <w:highlight w:val="none"/>
        </w:rPr>
      </w:pPr>
      <w:r>
        <w:rPr>
          <w:rFonts w:ascii="宋体" w:hAnsi="宋体"/>
          <w:color w:val="auto"/>
          <w:szCs w:val="21"/>
          <w:highlight w:val="none"/>
        </w:rPr>
        <w:t>具有独立承担民事责任的能力。</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具有良好的商业信誉和健全的财务会计制度</w:t>
      </w:r>
      <w:r>
        <w:rPr>
          <w:rFonts w:hint="eastAsia" w:ascii="宋体" w:hAnsi="宋体"/>
          <w:color w:val="auto"/>
          <w:szCs w:val="21"/>
          <w:highlight w:val="none"/>
        </w:rPr>
        <w:t>。</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具有履行合同所必需的设备和专业技术能力</w:t>
      </w:r>
      <w:r>
        <w:rPr>
          <w:rFonts w:hint="eastAsia" w:ascii="宋体" w:hAnsi="宋体"/>
          <w:color w:val="auto"/>
          <w:szCs w:val="21"/>
          <w:highlight w:val="none"/>
        </w:rPr>
        <w:t>。</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有依法缴纳税收和社会保障资金的良好记录</w:t>
      </w:r>
      <w:r>
        <w:rPr>
          <w:rFonts w:hint="eastAsia" w:ascii="宋体" w:hAnsi="宋体"/>
          <w:color w:val="auto"/>
          <w:szCs w:val="21"/>
          <w:highlight w:val="none"/>
        </w:rPr>
        <w:t>。</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参加采购活动前三年内，在经营活动中没有重大违法记录</w:t>
      </w:r>
      <w:r>
        <w:rPr>
          <w:rFonts w:hint="eastAsia" w:ascii="宋体" w:hAnsi="宋体"/>
          <w:color w:val="auto"/>
          <w:szCs w:val="21"/>
          <w:highlight w:val="none"/>
        </w:rPr>
        <w:t>。</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法律、行政法规规定的其他条件</w:t>
      </w:r>
      <w:r>
        <w:rPr>
          <w:rFonts w:hint="eastAsia" w:ascii="宋体" w:hAnsi="宋体"/>
          <w:color w:val="auto"/>
          <w:szCs w:val="21"/>
          <w:highlight w:val="none"/>
        </w:rPr>
        <w:t>。</w:t>
      </w:r>
    </w:p>
    <w:p>
      <w:pPr>
        <w:numPr>
          <w:ilvl w:val="2"/>
          <w:numId w:val="154"/>
        </w:numPr>
        <w:tabs>
          <w:tab w:val="left" w:pos="851"/>
          <w:tab w:val="left" w:pos="1260"/>
          <w:tab w:val="clear" w:pos="1135"/>
        </w:tabs>
        <w:autoSpaceDE w:val="0"/>
        <w:autoSpaceDN w:val="0"/>
        <w:adjustRightInd w:val="0"/>
        <w:snapToGrid w:val="0"/>
        <w:spacing w:line="360" w:lineRule="auto"/>
        <w:ind w:left="1260" w:hanging="692"/>
        <w:rPr>
          <w:rFonts w:hint="eastAsia" w:ascii="宋体" w:hAnsi="宋体"/>
          <w:color w:val="auto"/>
          <w:szCs w:val="21"/>
          <w:highlight w:val="none"/>
        </w:rPr>
      </w:pPr>
      <w:r>
        <w:rPr>
          <w:rFonts w:hint="eastAsia" w:ascii="宋体" w:hAnsi="宋体"/>
          <w:color w:val="auto"/>
          <w:szCs w:val="21"/>
          <w:highlight w:val="none"/>
        </w:rPr>
        <w:t>只有在法律上和财务上独立、合法运作并独立于招标人和招标代理机构的供货商才能参加投标。</w:t>
      </w:r>
    </w:p>
    <w:p>
      <w:pPr>
        <w:numPr>
          <w:ilvl w:val="2"/>
          <w:numId w:val="154"/>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第一章投标邀请“</w:t>
      </w:r>
      <w:r>
        <w:rPr>
          <w:rFonts w:hint="eastAsia" w:ascii="宋体" w:hAnsi="宋体" w:cs="黑体"/>
          <w:color w:val="auto"/>
          <w:szCs w:val="21"/>
          <w:highlight w:val="none"/>
          <w:lang w:eastAsia="zh-CN"/>
        </w:rPr>
        <w:t>投标人资格</w:t>
      </w:r>
      <w:r>
        <w:rPr>
          <w:rFonts w:hint="eastAsia" w:ascii="宋体" w:hAnsi="宋体" w:cs="黑体"/>
          <w:color w:val="auto"/>
          <w:szCs w:val="21"/>
          <w:highlight w:val="none"/>
        </w:rPr>
        <w:t>”</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中标人是指经法定程序确定并授予</w:t>
      </w:r>
      <w:r>
        <w:rPr>
          <w:rFonts w:hint="eastAsia" w:hAnsi="宋体" w:cs="宋体"/>
          <w:bCs/>
          <w:color w:val="auto"/>
          <w:szCs w:val="21"/>
          <w:highlight w:val="none"/>
        </w:rPr>
        <w:t>协议</w:t>
      </w:r>
      <w:r>
        <w:rPr>
          <w:rFonts w:hint="eastAsia" w:ascii="宋体" w:hAnsi="宋体"/>
          <w:color w:val="auto"/>
          <w:szCs w:val="21"/>
          <w:highlight w:val="none"/>
        </w:rPr>
        <w:t>的投标人。</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85" w:name="_Toc32161"/>
      <w:bookmarkStart w:id="86" w:name="_Toc410722642"/>
      <w:bookmarkStart w:id="87" w:name="_Toc1538"/>
      <w:bookmarkStart w:id="88" w:name="_Toc322096862"/>
      <w:r>
        <w:rPr>
          <w:rFonts w:hint="eastAsia" w:ascii="宋体" w:hAnsi="宋体"/>
          <w:b/>
          <w:bCs/>
          <w:color w:val="auto"/>
          <w:szCs w:val="21"/>
          <w:highlight w:val="none"/>
        </w:rPr>
        <w:t>合格的服务</w:t>
      </w:r>
      <w:r>
        <w:rPr>
          <w:rFonts w:hint="eastAsia" w:ascii="宋体" w:hAnsi="宋体"/>
          <w:b/>
          <w:bCs/>
          <w:color w:val="auto"/>
          <w:szCs w:val="21"/>
          <w:highlight w:val="none"/>
          <w:lang w:eastAsia="zh-CN"/>
        </w:rPr>
        <w:t>、工程</w:t>
      </w:r>
      <w:r>
        <w:rPr>
          <w:rFonts w:hint="eastAsia" w:ascii="宋体" w:hAnsi="宋体"/>
          <w:b/>
          <w:bCs/>
          <w:color w:val="auto"/>
          <w:szCs w:val="21"/>
          <w:highlight w:val="none"/>
        </w:rPr>
        <w:t>和货物</w:t>
      </w:r>
      <w:bookmarkEnd w:id="85"/>
      <w:bookmarkEnd w:id="86"/>
      <w:bookmarkEnd w:id="87"/>
      <w:bookmarkEnd w:id="88"/>
    </w:p>
    <w:p>
      <w:pPr>
        <w:numPr>
          <w:ilvl w:val="1"/>
          <w:numId w:val="154"/>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货物”是指各种形态和种类的物品，包括原材料、燃料、设备、产品等。“合格的货物”是指投标人制造或组织符合招标文件要求的全新的货物等。投标货物的设计、制造、包装和运输必须符合中华人民共和国的相关国家标准、行业标准或企业标准（如有）的强制性规定，并满足招标文件规定的规格、参数、质量、价格、有效期、售后服务等要求。</w:t>
      </w:r>
    </w:p>
    <w:p>
      <w:pPr>
        <w:numPr>
          <w:ilvl w:val="1"/>
          <w:numId w:val="154"/>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招标文件规定的质量验收等级标准的建设工程</w:t>
      </w:r>
      <w:r>
        <w:rPr>
          <w:rFonts w:hint="eastAsia" w:ascii="宋体" w:hAnsi="宋体"/>
          <w:color w:val="auto"/>
          <w:szCs w:val="21"/>
          <w:highlight w:val="none"/>
          <w:lang w:eastAsia="zh-CN"/>
        </w:rPr>
        <w:t>。</w:t>
      </w:r>
    </w:p>
    <w:p>
      <w:pPr>
        <w:numPr>
          <w:ilvl w:val="1"/>
          <w:numId w:val="154"/>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服务”是指除货物和工程以外的其他招标对象。“合格的服务”是指投标人按招标文件的规定，依据中华人民共和国的相关法律、法规、规章以及相关国家标准、行业标准或地方（或企业）标准（如有）的规定或规范要求，向招标人提供的满足招标文件规定的需求或特定目标的服务。</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89" w:name="_Toc355879672"/>
      <w:bookmarkStart w:id="90" w:name="_Toc27282"/>
      <w:bookmarkStart w:id="91" w:name="_Toc13681"/>
      <w:bookmarkStart w:id="92" w:name="_Toc410722643"/>
      <w:r>
        <w:rPr>
          <w:rFonts w:hint="eastAsia" w:ascii="宋体" w:hAnsi="宋体"/>
          <w:b/>
          <w:bCs/>
          <w:color w:val="auto"/>
          <w:szCs w:val="21"/>
          <w:highlight w:val="none"/>
        </w:rPr>
        <w:t>投标费用</w:t>
      </w:r>
      <w:bookmarkEnd w:id="89"/>
      <w:bookmarkEnd w:id="90"/>
      <w:bookmarkEnd w:id="91"/>
      <w:bookmarkEnd w:id="92"/>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投标人应承担所有与准备和参加投标有关的费用。不论投标的结果如何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招标采购单位均无义务和责任承担这些费用</w:t>
      </w:r>
      <w:r>
        <w:rPr>
          <w:rFonts w:hint="eastAsia" w:ascii="宋体" w:hAnsi="宋体" w:cs="宋体"/>
          <w:color w:val="auto"/>
          <w:szCs w:val="21"/>
          <w:highlight w:val="none"/>
        </w:rPr>
        <w:t>。</w:t>
      </w:r>
    </w:p>
    <w:p>
      <w:pPr>
        <w:numPr>
          <w:ilvl w:val="0"/>
          <w:numId w:val="153"/>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lang w:eastAsia="zh-TW"/>
        </w:rPr>
      </w:pPr>
      <w:bookmarkStart w:id="93" w:name="_Toc410722644"/>
      <w:bookmarkStart w:id="94" w:name="_Toc19229"/>
      <w:bookmarkStart w:id="95" w:name="_Toc9382"/>
      <w:r>
        <w:rPr>
          <w:rFonts w:hint="eastAsia" w:ascii="宋体" w:hAnsi="宋体"/>
          <w:b/>
          <w:color w:val="auto"/>
          <w:sz w:val="28"/>
          <w:szCs w:val="28"/>
          <w:highlight w:val="none"/>
          <w:lang w:eastAsia="zh-TW"/>
        </w:rPr>
        <w:t>招标文件</w:t>
      </w:r>
      <w:bookmarkEnd w:id="93"/>
      <w:bookmarkEnd w:id="94"/>
      <w:bookmarkEnd w:id="95"/>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96" w:name="_Toc410722645"/>
      <w:bookmarkStart w:id="97" w:name="_Toc355879674"/>
      <w:bookmarkStart w:id="98" w:name="_Toc24439"/>
      <w:bookmarkStart w:id="99" w:name="_Toc15567"/>
      <w:r>
        <w:rPr>
          <w:rFonts w:hint="eastAsia" w:ascii="宋体" w:hAnsi="宋体"/>
          <w:b/>
          <w:bCs/>
          <w:color w:val="auto"/>
          <w:szCs w:val="21"/>
          <w:highlight w:val="none"/>
        </w:rPr>
        <w:t>招标文件的构成</w:t>
      </w:r>
      <w:bookmarkEnd w:id="96"/>
      <w:bookmarkEnd w:id="97"/>
      <w:bookmarkEnd w:id="98"/>
      <w:bookmarkEnd w:id="99"/>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要求提供的货物、</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过程和</w:t>
      </w:r>
      <w:r>
        <w:rPr>
          <w:rFonts w:hint="eastAsia" w:ascii="宋体" w:hAnsi="宋体" w:cs="宋体"/>
          <w:color w:val="auto"/>
          <w:szCs w:val="21"/>
          <w:highlight w:val="none"/>
        </w:rPr>
        <w:t>协议</w:t>
      </w:r>
      <w:r>
        <w:rPr>
          <w:rFonts w:hint="eastAsia" w:ascii="宋体" w:hAnsi="宋体" w:cs="宋体"/>
          <w:color w:val="auto"/>
          <w:szCs w:val="21"/>
          <w:highlight w:val="none"/>
          <w:lang w:eastAsia="zh-TW"/>
        </w:rPr>
        <w:t>条件在招标文件中均有说明。招标文件以中文文字编写。</w:t>
      </w:r>
    </w:p>
    <w:p>
      <w:pPr>
        <w:snapToGrid w:val="0"/>
        <w:spacing w:line="360" w:lineRule="auto"/>
        <w:ind w:left="571" w:leftChars="272"/>
        <w:rPr>
          <w:rFonts w:ascii="宋体" w:hAnsi="宋体"/>
          <w:color w:val="auto"/>
          <w:szCs w:val="21"/>
          <w:highlight w:val="none"/>
        </w:rPr>
      </w:pPr>
      <w:r>
        <w:rPr>
          <w:rFonts w:hint="eastAsia" w:ascii="宋体" w:hAnsi="宋体" w:cs="宋体"/>
          <w:color w:val="auto"/>
          <w:szCs w:val="21"/>
          <w:highlight w:val="none"/>
          <w:lang w:eastAsia="zh-TW"/>
        </w:rPr>
        <w:t>招标文件共</w:t>
      </w:r>
      <w:r>
        <w:rPr>
          <w:rFonts w:hint="eastAsia" w:ascii="宋体" w:hAnsi="宋体" w:cs="宋体"/>
          <w:color w:val="auto"/>
          <w:szCs w:val="21"/>
          <w:highlight w:val="none"/>
        </w:rPr>
        <w:t>七</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pPr>
        <w:snapToGrid w:val="0"/>
        <w:spacing w:line="360" w:lineRule="auto"/>
        <w:ind w:left="445" w:leftChars="212" w:firstLine="143"/>
        <w:rPr>
          <w:rFonts w:ascii="宋体" w:hAnsi="宋体"/>
          <w:color w:val="auto"/>
          <w:szCs w:val="21"/>
          <w:highlight w:val="none"/>
        </w:rPr>
      </w:pPr>
      <w:r>
        <w:rPr>
          <w:rFonts w:hint="eastAsia" w:ascii="宋体" w:hAnsi="宋体" w:cs="宋体"/>
          <w:color w:val="auto"/>
          <w:szCs w:val="21"/>
          <w:highlight w:val="none"/>
          <w:lang w:eastAsia="zh-TW"/>
        </w:rPr>
        <w:t>第一章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投标邀请</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第二章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投标资料表</w:t>
      </w:r>
    </w:p>
    <w:p>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用户需求书</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评分</w:t>
      </w:r>
      <w:r>
        <w:rPr>
          <w:rFonts w:hint="eastAsia" w:ascii="宋体" w:hAnsi="宋体" w:cs="宋体"/>
          <w:color w:val="auto"/>
          <w:szCs w:val="21"/>
          <w:highlight w:val="none"/>
        </w:rPr>
        <w:t>体系</w:t>
      </w:r>
      <w:r>
        <w:rPr>
          <w:rFonts w:hint="eastAsia" w:ascii="宋体" w:hAnsi="宋体" w:cs="宋体"/>
          <w:color w:val="auto"/>
          <w:szCs w:val="21"/>
          <w:highlight w:val="none"/>
          <w:lang w:eastAsia="zh-TW"/>
        </w:rPr>
        <w:t>和标准</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五</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投标人须知</w:t>
      </w:r>
    </w:p>
    <w:p>
      <w:pPr>
        <w:snapToGrid w:val="0"/>
        <w:spacing w:line="360" w:lineRule="auto"/>
        <w:ind w:left="688" w:leftChars="270" w:hanging="121"/>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六</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CN"/>
        </w:rPr>
        <w:t>合同条款</w:t>
      </w:r>
    </w:p>
    <w:p>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rPr>
        <w:t>第七章　投标文件格式</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要求等）。投标人没有按照招标文件要求提交全部资料，或者投标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没有对招标文件在各方面都作出实质性响应是投标人的风险，有可能导致其投标被拒绝，或被认定为无效投标或被确定为投标无效。</w:t>
      </w:r>
    </w:p>
    <w:p>
      <w:pPr>
        <w:numPr>
          <w:ilvl w:val="1"/>
          <w:numId w:val="154"/>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rPr>
        <w:t>本</w:t>
      </w:r>
      <w:r>
        <w:rPr>
          <w:rFonts w:hint="eastAsia" w:ascii="宋体" w:hAnsi="宋体" w:cs="宋体"/>
          <w:color w:val="auto"/>
          <w:szCs w:val="21"/>
          <w:highlight w:val="none"/>
          <w:lang w:eastAsia="zh-TW"/>
        </w:rPr>
        <w:t>招标文件的解释权归“广东中采招标有限公司”所有。</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00" w:name="_Toc355879675"/>
      <w:bookmarkStart w:id="101" w:name="_Toc15423"/>
      <w:bookmarkStart w:id="102" w:name="_Toc410722646"/>
      <w:bookmarkStart w:id="103" w:name="_Toc26645"/>
      <w:r>
        <w:rPr>
          <w:rFonts w:hint="eastAsia" w:ascii="宋体" w:hAnsi="宋体"/>
          <w:b/>
          <w:bCs/>
          <w:color w:val="auto"/>
          <w:szCs w:val="21"/>
          <w:highlight w:val="none"/>
        </w:rPr>
        <w:t>招标文件的澄清</w:t>
      </w:r>
      <w:bookmarkEnd w:id="100"/>
      <w:bookmarkEnd w:id="101"/>
      <w:bookmarkEnd w:id="102"/>
      <w:r>
        <w:rPr>
          <w:rFonts w:hint="eastAsia" w:ascii="宋体" w:hAnsi="宋体"/>
          <w:b/>
          <w:bCs/>
          <w:color w:val="auto"/>
          <w:szCs w:val="21"/>
          <w:highlight w:val="none"/>
          <w:lang w:eastAsia="zh-CN"/>
        </w:rPr>
        <w:t>或修改</w:t>
      </w:r>
      <w:bookmarkEnd w:id="103"/>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招标文件疑问的提出时间：投标人应仔细阅读和检查招标文件的全部内容，如有疑问，应在</w:t>
      </w:r>
      <w:r>
        <w:rPr>
          <w:rFonts w:hint="eastAsia" w:ascii="宋体" w:hAnsi="宋体" w:cs="宋体"/>
          <w:color w:val="auto"/>
          <w:szCs w:val="21"/>
          <w:highlight w:val="none"/>
          <w:lang w:eastAsia="zh-CN"/>
        </w:rPr>
        <w:t>获取文件</w:t>
      </w:r>
      <w:r>
        <w:rPr>
          <w:rFonts w:hint="eastAsia" w:ascii="宋体" w:hAnsi="宋体" w:cs="宋体"/>
          <w:color w:val="auto"/>
          <w:szCs w:val="21"/>
          <w:highlight w:val="none"/>
          <w:lang w:eastAsia="zh-TW"/>
        </w:rPr>
        <w:t>截止时间次日17:30分前通过“佛山市公共资源交易信息化综合平台”提出。为确保对所有投标人的公平性，投标人未按上述规定时间期限提交的需要澄清问题将不作答复，投标人在投标中因此造成的理解偏差由投标人自行负责。</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招标人或招标代理机构可主动地或在解答投标人提出的疑问时对已发出的招标文件进行必要的澄清或者修改。招标文件的澄清或修改的内容将上传至“佛山市公共资源交易信息化综合平台”供投标人下载，但不指明澄清问题的来源，招标澄清（答疑）文件一经在佛山市公共资源交易网发布，视作已书面形式发放给所有潜在投标人。招标文件的澄清或修改的内容为招标文件的组成部分并对投标人具有约束力。</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bookmarkStart w:id="104" w:name="_Toc355879676"/>
      <w:r>
        <w:rPr>
          <w:rFonts w:hint="eastAsia" w:ascii="宋体" w:hAnsi="宋体" w:cs="宋体"/>
          <w:color w:val="auto"/>
          <w:szCs w:val="21"/>
          <w:highlight w:val="none"/>
        </w:rPr>
        <w:t>澄清或者修改的内容可能影响投标文件编制的，应当在投标截止时间至少15日前，以书面形式通知所有获取招标文件的潜在投标人；不足15日的，将顺延提交投标文件的截止时间</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投标人在收到该澄清或修改文件后，应于二十四小时内予以书面（传真或电子邮件）回复收悉。若投标人在规定时间内没有回复收悉的，也视为已收到该澄清或修改的内容</w:t>
      </w:r>
      <w:r>
        <w:rPr>
          <w:rFonts w:hint="eastAsia" w:ascii="宋体" w:hAnsi="宋体" w:cs="宋体"/>
          <w:color w:val="auto"/>
          <w:szCs w:val="21"/>
          <w:highlight w:val="none"/>
          <w:lang w:eastAsia="zh-CN"/>
        </w:rPr>
        <w:t>。</w:t>
      </w:r>
    </w:p>
    <w:bookmarkEnd w:id="104"/>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05" w:name="_Toc30256"/>
      <w:r>
        <w:rPr>
          <w:rFonts w:hint="eastAsia" w:ascii="宋体" w:hAnsi="宋体"/>
          <w:b/>
          <w:bCs/>
          <w:color w:val="auto"/>
          <w:szCs w:val="21"/>
          <w:highlight w:val="none"/>
          <w:lang w:eastAsia="zh-CN"/>
        </w:rPr>
        <w:t>对招标文件异议的提出</w:t>
      </w:r>
      <w:bookmarkEnd w:id="105"/>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对招标文件有异议的投标人，应在投标截止时间十日以前</w:t>
      </w:r>
      <w:r>
        <w:rPr>
          <w:rFonts w:hint="eastAsia" w:ascii="宋体" w:hAnsi="宋体" w:cs="宋体"/>
          <w:color w:val="auto"/>
          <w:szCs w:val="21"/>
          <w:highlight w:val="none"/>
          <w:lang w:eastAsia="zh-TW"/>
        </w:rPr>
        <w:t>通过“佛山市公共资源交易信息化综合平台”提出</w:t>
      </w:r>
      <w:r>
        <w:rPr>
          <w:rFonts w:hint="eastAsia" w:ascii="宋体" w:hAnsi="宋体" w:cs="宋体"/>
          <w:color w:val="auto"/>
          <w:szCs w:val="21"/>
          <w:highlight w:val="none"/>
          <w:lang w:eastAsia="zh-TW"/>
        </w:rPr>
        <w:t>（格式要求详见本须知</w:t>
      </w:r>
      <w:r>
        <w:rPr>
          <w:rFonts w:hint="eastAsia" w:ascii="宋体" w:hAnsi="宋体" w:cs="宋体"/>
          <w:color w:val="auto"/>
          <w:szCs w:val="21"/>
          <w:highlight w:val="none"/>
          <w:lang w:eastAsia="zh-CN"/>
        </w:rPr>
        <w:t>附件</w:t>
      </w:r>
      <w:r>
        <w:rPr>
          <w:rFonts w:hint="eastAsia" w:ascii="宋体" w:hAnsi="宋体" w:cs="宋体"/>
          <w:color w:val="auto"/>
          <w:szCs w:val="21"/>
          <w:highlight w:val="none"/>
          <w:lang w:eastAsia="zh-TW"/>
        </w:rPr>
        <w:t>），招标代理机构和招标人将在自收到异议之日起3日内作出答复。</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投标人在规定的时间内未对招标文件提出要求澄清或异议的，视为对招标文件无异议。对招标文件中描述有歧意或前后不一致的地方，评标委员会有权进行评判，但对同一条款的评判应适用于每个投标人。</w:t>
      </w:r>
    </w:p>
    <w:p>
      <w:pPr>
        <w:numPr>
          <w:ilvl w:val="0"/>
          <w:numId w:val="153"/>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06" w:name="_Toc6921"/>
      <w:bookmarkStart w:id="107" w:name="_Toc410722648"/>
      <w:bookmarkStart w:id="108" w:name="_Toc355879677"/>
      <w:bookmarkStart w:id="109" w:name="_Toc6793"/>
      <w:r>
        <w:rPr>
          <w:rFonts w:hint="eastAsia" w:ascii="宋体" w:hAnsi="宋体"/>
          <w:b/>
          <w:color w:val="auto"/>
          <w:sz w:val="28"/>
          <w:szCs w:val="28"/>
          <w:highlight w:val="none"/>
          <w:lang w:eastAsia="zh-TW"/>
        </w:rPr>
        <w:t>投标文件的编制</w:t>
      </w:r>
      <w:bookmarkEnd w:id="106"/>
      <w:bookmarkEnd w:id="107"/>
      <w:bookmarkEnd w:id="108"/>
      <w:bookmarkEnd w:id="109"/>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10" w:name="_Toc355879678"/>
      <w:bookmarkStart w:id="111" w:name="_Toc15114"/>
      <w:bookmarkStart w:id="112" w:name="_Toc410722649"/>
      <w:bookmarkStart w:id="113" w:name="_Toc1586"/>
      <w:r>
        <w:rPr>
          <w:rFonts w:hint="eastAsia" w:ascii="宋体" w:hAnsi="宋体"/>
          <w:b/>
          <w:bCs/>
          <w:color w:val="auto"/>
          <w:szCs w:val="21"/>
          <w:highlight w:val="none"/>
        </w:rPr>
        <w:t>投标的语言</w:t>
      </w:r>
      <w:bookmarkEnd w:id="110"/>
      <w:bookmarkEnd w:id="111"/>
      <w:bookmarkEnd w:id="112"/>
      <w:bookmarkEnd w:id="113"/>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投标人提交的投标文件以及投标人与招标采购单位就有关投标的所有来往函电均应使用中文书写</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标人提交的支持资料和己印刷的文献可以用另一种语言</w:t>
      </w:r>
      <w:r>
        <w:rPr>
          <w:rFonts w:hint="eastAsia" w:ascii="宋体" w:hAnsi="宋体" w:cs="宋体"/>
          <w:color w:val="auto"/>
          <w:szCs w:val="21"/>
          <w:highlight w:val="none"/>
        </w:rPr>
        <w:t>，</w:t>
      </w:r>
      <w:r>
        <w:rPr>
          <w:rFonts w:hint="eastAsia" w:ascii="宋体" w:hAnsi="宋体" w:cs="宋体"/>
          <w:color w:val="auto"/>
          <w:szCs w:val="21"/>
          <w:highlight w:val="none"/>
          <w:lang w:eastAsia="zh-TW"/>
        </w:rPr>
        <w:t>但相应内容应附有中文翻译本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在解释投标文件的修改内容时以中文翻译本为准。对中文翻译有异议的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以权威机构的译本为准。</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14" w:name="_Toc23486"/>
      <w:bookmarkStart w:id="115" w:name="_Toc11019"/>
      <w:bookmarkStart w:id="116" w:name="_Toc410722650"/>
      <w:bookmarkStart w:id="117" w:name="_Toc355879679"/>
      <w:r>
        <w:rPr>
          <w:rFonts w:hint="eastAsia" w:ascii="宋体" w:hAnsi="宋体"/>
          <w:b/>
          <w:bCs/>
          <w:color w:val="auto"/>
          <w:szCs w:val="21"/>
          <w:highlight w:val="none"/>
        </w:rPr>
        <w:t>投标文件的构成</w:t>
      </w:r>
      <w:bookmarkEnd w:id="114"/>
      <w:bookmarkEnd w:id="115"/>
      <w:bookmarkEnd w:id="116"/>
      <w:bookmarkEnd w:id="117"/>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投标人编写的投标文件应包括</w:t>
      </w:r>
      <w:r>
        <w:rPr>
          <w:rFonts w:hint="eastAsia" w:ascii="宋体" w:hAnsi="宋体" w:cs="宋体"/>
          <w:color w:val="auto"/>
          <w:szCs w:val="21"/>
          <w:highlight w:val="none"/>
        </w:rPr>
        <w:t>初审文件、价格文件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技术文件、商务文件</w:t>
      </w:r>
      <w:r>
        <w:rPr>
          <w:rFonts w:hint="eastAsia" w:ascii="宋体" w:hAnsi="宋体" w:cs="宋体"/>
          <w:color w:val="auto"/>
          <w:szCs w:val="21"/>
          <w:highlight w:val="none"/>
          <w:lang w:eastAsia="zh-TW"/>
        </w:rPr>
        <w:t>，编排顺序参见投标文件格式</w:t>
      </w:r>
      <w:r>
        <w:rPr>
          <w:rFonts w:hint="eastAsia" w:ascii="宋体" w:hAnsi="宋体" w:cs="宋体"/>
          <w:color w:val="auto"/>
          <w:szCs w:val="21"/>
          <w:highlight w:val="none"/>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投标文件的构成应符合法律法规及招标文件的要求。</w:t>
      </w:r>
    </w:p>
    <w:p>
      <w:pPr>
        <w:numPr>
          <w:ilvl w:val="0"/>
          <w:numId w:val="154"/>
        </w:numPr>
        <w:autoSpaceDE w:val="0"/>
        <w:autoSpaceDN w:val="0"/>
        <w:adjustRightInd w:val="0"/>
        <w:snapToGrid w:val="0"/>
        <w:spacing w:line="360" w:lineRule="auto"/>
        <w:outlineLvl w:val="0"/>
        <w:rPr>
          <w:rFonts w:ascii="宋体" w:hAnsi="宋体"/>
          <w:b/>
          <w:bCs/>
          <w:color w:val="auto"/>
          <w:szCs w:val="21"/>
          <w:highlight w:val="none"/>
        </w:rPr>
      </w:pPr>
      <w:bookmarkStart w:id="118" w:name="_Toc6317"/>
      <w:bookmarkStart w:id="119" w:name="_Toc410722651"/>
      <w:bookmarkStart w:id="120" w:name="_Toc28467"/>
      <w:bookmarkStart w:id="121" w:name="_Toc355879680"/>
      <w:r>
        <w:rPr>
          <w:rFonts w:hint="eastAsia" w:ascii="宋体" w:hAnsi="宋体"/>
          <w:b/>
          <w:bCs/>
          <w:color w:val="auto"/>
          <w:szCs w:val="21"/>
          <w:highlight w:val="none"/>
        </w:rPr>
        <w:t>投标文件的编写</w:t>
      </w:r>
      <w:bookmarkEnd w:id="118"/>
      <w:bookmarkEnd w:id="119"/>
      <w:bookmarkEnd w:id="120"/>
      <w:bookmarkEnd w:id="121"/>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投标人应完整</w:t>
      </w:r>
      <w:r>
        <w:rPr>
          <w:rFonts w:hint="eastAsia" w:ascii="宋体" w:hAnsi="宋体" w:cs="宋体"/>
          <w:color w:val="auto"/>
          <w:szCs w:val="21"/>
          <w:highlight w:val="none"/>
        </w:rPr>
        <w:t>、真实、准确</w:t>
      </w:r>
      <w:r>
        <w:rPr>
          <w:rFonts w:hint="eastAsia" w:ascii="宋体" w:hAnsi="宋体" w:cs="宋体"/>
          <w:color w:val="auto"/>
          <w:szCs w:val="21"/>
          <w:highlight w:val="none"/>
          <w:lang w:eastAsia="zh-TW"/>
        </w:rPr>
        <w:t>地填写招标文件中提供的投标函、开标一览表(报价表)以及招标文件中规定的其它</w:t>
      </w:r>
      <w:r>
        <w:rPr>
          <w:rFonts w:hint="eastAsia" w:ascii="宋体" w:hAnsi="宋体" w:cs="宋体"/>
          <w:color w:val="auto"/>
          <w:szCs w:val="21"/>
          <w:highlight w:val="none"/>
        </w:rPr>
        <w:t>所有</w:t>
      </w:r>
      <w:r>
        <w:rPr>
          <w:rFonts w:hint="eastAsia" w:ascii="宋体" w:hAnsi="宋体" w:cs="宋体"/>
          <w:color w:val="auto"/>
          <w:szCs w:val="21"/>
          <w:highlight w:val="none"/>
          <w:lang w:eastAsia="zh-TW"/>
        </w:rPr>
        <w:t>内容。</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投标人应当对投标文件进行装订，对未经装订的投标文件可能发生的文件散落或缺损，由此造成的后果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1"/>
          <w:numId w:val="154"/>
        </w:numPr>
        <w:tabs>
          <w:tab w:val="left" w:pos="709"/>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投标人必须对投标文件所提供的全部资料的真实性承担法律责任，并无条件接受招标采购单位对其中任何资料进行核实的要求。</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如果因为投标人</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投标文件只填写和提供了本</w:t>
      </w:r>
      <w:r>
        <w:rPr>
          <w:rFonts w:hint="eastAsia" w:ascii="宋体" w:hAnsi="宋体" w:cs="宋体"/>
          <w:color w:val="auto"/>
          <w:szCs w:val="21"/>
          <w:highlight w:val="none"/>
        </w:rPr>
        <w:t>招标文件</w:t>
      </w:r>
      <w:r>
        <w:rPr>
          <w:rFonts w:hint="eastAsia" w:ascii="宋体" w:hAnsi="宋体" w:cs="宋体"/>
          <w:color w:val="auto"/>
          <w:szCs w:val="21"/>
          <w:highlight w:val="none"/>
          <w:lang w:eastAsia="zh-TW"/>
        </w:rPr>
        <w:t>要求的部分内容和附件，或没有提供招标文件中所要求的全部资料及数据，由此造成的后果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22" w:name="_Toc3093"/>
      <w:bookmarkStart w:id="123" w:name="_Toc24874"/>
      <w:bookmarkStart w:id="124" w:name="_Toc410722652"/>
      <w:bookmarkStart w:id="125" w:name="_Toc355879681"/>
      <w:r>
        <w:rPr>
          <w:rFonts w:hint="eastAsia" w:ascii="宋体" w:hAnsi="宋体"/>
          <w:b/>
          <w:bCs/>
          <w:color w:val="auto"/>
          <w:szCs w:val="21"/>
          <w:highlight w:val="none"/>
        </w:rPr>
        <w:t>投标报价</w:t>
      </w:r>
      <w:bookmarkEnd w:id="122"/>
      <w:bookmarkEnd w:id="123"/>
      <w:bookmarkEnd w:id="124"/>
      <w:bookmarkEnd w:id="125"/>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投标人应按照“第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用户需求书”</w:t>
      </w:r>
      <w:r>
        <w:rPr>
          <w:rFonts w:hint="eastAsia" w:ascii="宋体" w:hAnsi="宋体" w:cs="宋体"/>
          <w:color w:val="auto"/>
          <w:szCs w:val="21"/>
          <w:highlight w:val="none"/>
        </w:rPr>
        <w:t>中</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项目服务要求规定的内容、责任范围进行报价。</w:t>
      </w:r>
      <w:r>
        <w:rPr>
          <w:rFonts w:hint="eastAsia" w:ascii="宋体" w:hAnsi="宋体" w:cs="宋体"/>
          <w:color w:val="auto"/>
          <w:szCs w:val="21"/>
          <w:highlight w:val="none"/>
          <w:lang w:eastAsia="zh-TW"/>
        </w:rPr>
        <w:t>并按《</w:t>
      </w:r>
      <w:r>
        <w:rPr>
          <w:rFonts w:hint="eastAsia" w:ascii="宋体" w:hAnsi="宋体" w:cs="宋体"/>
          <w:color w:val="auto"/>
          <w:szCs w:val="21"/>
          <w:highlight w:val="none"/>
        </w:rPr>
        <w:t>开标一览表(报价表)</w:t>
      </w:r>
      <w:r>
        <w:rPr>
          <w:rFonts w:hint="eastAsia" w:ascii="宋体" w:hAnsi="宋体" w:cs="宋体"/>
          <w:color w:val="auto"/>
          <w:szCs w:val="21"/>
          <w:highlight w:val="none"/>
          <w:lang w:eastAsia="zh-TW"/>
        </w:rPr>
        <w:t>》</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报价。投标</w:t>
      </w:r>
      <w:r>
        <w:rPr>
          <w:rFonts w:hint="eastAsia" w:ascii="宋体" w:hAnsi="宋体" w:cs="宋体"/>
          <w:color w:val="auto"/>
          <w:szCs w:val="21"/>
          <w:highlight w:val="none"/>
        </w:rPr>
        <w:t>报</w:t>
      </w:r>
      <w:r>
        <w:rPr>
          <w:rFonts w:hint="eastAsia" w:ascii="宋体" w:hAnsi="宋体" w:cs="宋体"/>
          <w:color w:val="auto"/>
          <w:szCs w:val="21"/>
          <w:highlight w:val="none"/>
          <w:lang w:eastAsia="zh-TW"/>
        </w:rPr>
        <w:t>价中不得包含招标文件要求以外的内容，否则，在评标时不予核减。投标</w:t>
      </w:r>
      <w:r>
        <w:rPr>
          <w:rFonts w:hint="eastAsia" w:ascii="宋体" w:hAnsi="宋体" w:cs="宋体"/>
          <w:color w:val="auto"/>
          <w:szCs w:val="21"/>
          <w:highlight w:val="none"/>
        </w:rPr>
        <w:t>报</w:t>
      </w:r>
      <w:r>
        <w:rPr>
          <w:rFonts w:hint="eastAsia" w:ascii="宋体" w:hAnsi="宋体" w:cs="宋体"/>
          <w:color w:val="auto"/>
          <w:szCs w:val="21"/>
          <w:highlight w:val="none"/>
          <w:lang w:eastAsia="zh-TW"/>
        </w:rPr>
        <w:t>价中也不得缺漏招标文件所要求的内容，否则，被视为</w:t>
      </w:r>
      <w:r>
        <w:rPr>
          <w:rFonts w:hint="eastAsia" w:ascii="宋体" w:hAnsi="宋体" w:cs="宋体"/>
          <w:color w:val="auto"/>
          <w:szCs w:val="21"/>
          <w:highlight w:val="none"/>
        </w:rPr>
        <w:t>包含在投标报价中</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rPr>
        <w:t>投标人在中标并签署协议后，</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期限内出现的任何遗漏，均由中标人负责，招标人将不再支付任何费用。</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对于报价免费的</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须标明“免费”。</w:t>
      </w:r>
    </w:p>
    <w:p>
      <w:pPr>
        <w:numPr>
          <w:ilvl w:val="1"/>
          <w:numId w:val="154"/>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中允许有备选方案外，本次招标不接受选择性报价，</w:t>
      </w:r>
      <w:r>
        <w:rPr>
          <w:rFonts w:hint="eastAsia" w:ascii="宋体" w:hAnsi="宋体" w:cs="宋体"/>
          <w:color w:val="auto"/>
          <w:szCs w:val="21"/>
          <w:highlight w:val="none"/>
        </w:rPr>
        <w:t>否则将被视为无效投标。</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另有规定外，本次招标不接受具有附加条件的报价，否则将被视为无效投标。</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26" w:name="_Toc13582"/>
      <w:bookmarkStart w:id="127" w:name="_Toc13445"/>
      <w:bookmarkStart w:id="128" w:name="_Toc355879682"/>
      <w:bookmarkStart w:id="129" w:name="_Toc410722653"/>
      <w:r>
        <w:rPr>
          <w:rFonts w:hint="eastAsia" w:ascii="宋体" w:hAnsi="宋体"/>
          <w:b/>
          <w:bCs/>
          <w:color w:val="auto"/>
          <w:szCs w:val="21"/>
          <w:highlight w:val="none"/>
        </w:rPr>
        <w:t>投标货币</w:t>
      </w:r>
      <w:bookmarkEnd w:id="126"/>
      <w:bookmarkEnd w:id="127"/>
      <w:bookmarkEnd w:id="128"/>
      <w:bookmarkEnd w:id="129"/>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投标人所提供的货物和服务均应以人民币报价。</w:t>
      </w:r>
    </w:p>
    <w:p>
      <w:pPr>
        <w:numPr>
          <w:ilvl w:val="0"/>
          <w:numId w:val="154"/>
        </w:numPr>
        <w:autoSpaceDE w:val="0"/>
        <w:autoSpaceDN w:val="0"/>
        <w:adjustRightInd w:val="0"/>
        <w:snapToGrid w:val="0"/>
        <w:spacing w:line="360" w:lineRule="auto"/>
        <w:outlineLvl w:val="0"/>
        <w:rPr>
          <w:rFonts w:hint="eastAsia" w:ascii="宋体" w:hAnsi="宋体"/>
          <w:b/>
          <w:color w:val="auto"/>
          <w:szCs w:val="21"/>
          <w:highlight w:val="none"/>
        </w:rPr>
      </w:pPr>
      <w:bookmarkStart w:id="130" w:name="_Toc18489"/>
      <w:bookmarkStart w:id="131" w:name="_Toc29686"/>
      <w:r>
        <w:rPr>
          <w:rFonts w:hint="eastAsia" w:ascii="宋体" w:hAnsi="宋体" w:cs="宋体"/>
          <w:b/>
          <w:color w:val="auto"/>
          <w:szCs w:val="20"/>
          <w:highlight w:val="none"/>
        </w:rPr>
        <w:t>本项目各包组不接受联合体投标</w:t>
      </w:r>
      <w:bookmarkEnd w:id="130"/>
      <w:bookmarkEnd w:id="131"/>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32" w:name="_Toc410722655"/>
      <w:bookmarkStart w:id="133" w:name="_Toc2379"/>
      <w:bookmarkStart w:id="134" w:name="_Toc355879684"/>
      <w:bookmarkStart w:id="135" w:name="_Toc32170"/>
      <w:r>
        <w:rPr>
          <w:rFonts w:hint="eastAsia" w:ascii="宋体" w:hAnsi="宋体"/>
          <w:b/>
          <w:bCs/>
          <w:color w:val="auto"/>
          <w:szCs w:val="21"/>
          <w:highlight w:val="none"/>
        </w:rPr>
        <w:t>证明投标人合格和资格的文件</w:t>
      </w:r>
      <w:bookmarkEnd w:id="132"/>
      <w:bookmarkEnd w:id="133"/>
      <w:bookmarkEnd w:id="134"/>
      <w:bookmarkEnd w:id="135"/>
    </w:p>
    <w:p>
      <w:pPr>
        <w:numPr>
          <w:ilvl w:val="1"/>
          <w:numId w:val="154"/>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投标人应提交证明其有资格参加投标和中标后有能力履行</w:t>
      </w:r>
      <w:r>
        <w:rPr>
          <w:rFonts w:hint="eastAsia" w:ascii="宋体" w:hAnsi="宋体" w:cs="宋体"/>
          <w:color w:val="auto"/>
          <w:szCs w:val="21"/>
          <w:highlight w:val="none"/>
        </w:rPr>
        <w:t>协议</w:t>
      </w:r>
      <w:r>
        <w:rPr>
          <w:rFonts w:hint="eastAsia" w:ascii="宋体" w:hAnsi="宋体" w:cs="宋体"/>
          <w:color w:val="auto"/>
          <w:szCs w:val="21"/>
          <w:highlight w:val="none"/>
          <w:lang w:eastAsia="zh-TW"/>
        </w:rPr>
        <w:t>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并作为其投标文件的一部分</w:t>
      </w:r>
      <w:r>
        <w:rPr>
          <w:rFonts w:hint="eastAsia" w:ascii="宋体" w:hAnsi="宋体" w:cs="宋体"/>
          <w:color w:val="auto"/>
          <w:szCs w:val="21"/>
          <w:highlight w:val="none"/>
        </w:rPr>
        <w:t>。</w:t>
      </w:r>
    </w:p>
    <w:p>
      <w:pPr>
        <w:numPr>
          <w:ilvl w:val="1"/>
          <w:numId w:val="154"/>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投标人提交的资格证明文件应证明其</w:t>
      </w:r>
      <w:r>
        <w:rPr>
          <w:rFonts w:hint="eastAsia" w:ascii="宋体" w:hAnsi="宋体" w:cs="宋体"/>
          <w:color w:val="auto"/>
          <w:szCs w:val="21"/>
          <w:highlight w:val="none"/>
        </w:rPr>
        <w:t>满足</w:t>
      </w:r>
      <w:r>
        <w:rPr>
          <w:rFonts w:hint="eastAsia" w:ascii="宋体" w:hAnsi="宋体" w:cs="宋体"/>
          <w:color w:val="auto"/>
          <w:szCs w:val="21"/>
          <w:highlight w:val="none"/>
          <w:lang w:eastAsia="zh-TW"/>
        </w:rPr>
        <w:t>本须知定义的合格投标人。</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36" w:name="_Toc355879685"/>
      <w:bookmarkStart w:id="137" w:name="_Toc1263"/>
      <w:bookmarkStart w:id="138" w:name="_Toc410722656"/>
      <w:bookmarkStart w:id="139" w:name="_Toc3520"/>
      <w:r>
        <w:rPr>
          <w:rFonts w:hint="eastAsia" w:ascii="宋体" w:hAnsi="宋体"/>
          <w:b/>
          <w:bCs/>
          <w:color w:val="auto"/>
          <w:szCs w:val="21"/>
          <w:highlight w:val="none"/>
        </w:rPr>
        <w:t>证明服务的合格性和符合招标文件规定的文件</w:t>
      </w:r>
      <w:bookmarkEnd w:id="136"/>
      <w:bookmarkEnd w:id="137"/>
      <w:bookmarkEnd w:id="138"/>
      <w:bookmarkEnd w:id="139"/>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的服务的合格性符合招标文件规定。该证明文件作为投标文件的一部分。</w:t>
      </w:r>
    </w:p>
    <w:p>
      <w:pPr>
        <w:numPr>
          <w:ilvl w:val="1"/>
          <w:numId w:val="154"/>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证明货物</w:t>
      </w:r>
      <w:r>
        <w:rPr>
          <w:rFonts w:hint="eastAsia" w:ascii="宋体" w:hAnsi="宋体" w:cs="宋体"/>
          <w:color w:val="auto"/>
          <w:szCs w:val="21"/>
          <w:highlight w:val="none"/>
          <w:lang w:eastAsia="zh-CN"/>
        </w:rPr>
        <w:t>、工程</w:t>
      </w:r>
      <w:r>
        <w:rPr>
          <w:rFonts w:hint="eastAsia" w:ascii="宋体" w:hAnsi="宋体" w:cs="宋体"/>
          <w:color w:val="auto"/>
          <w:szCs w:val="21"/>
          <w:highlight w:val="none"/>
          <w:lang w:eastAsia="zh-TW"/>
        </w:rPr>
        <w:t>和服务与招标文件的要求相一致的文件，可以是文字资料、图纸和数据，它包括：</w:t>
      </w:r>
    </w:p>
    <w:p>
      <w:pPr>
        <w:numPr>
          <w:ilvl w:val="2"/>
          <w:numId w:val="154"/>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服务主要内容、方案、质量、标准指标等的详细说明；</w:t>
      </w:r>
    </w:p>
    <w:p>
      <w:pPr>
        <w:numPr>
          <w:ilvl w:val="2"/>
          <w:numId w:val="154"/>
        </w:numPr>
        <w:tabs>
          <w:tab w:val="left" w:pos="851"/>
          <w:tab w:val="left" w:pos="1418"/>
        </w:tabs>
        <w:autoSpaceDE w:val="0"/>
        <w:autoSpaceDN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照招标文件服务内容与要求，逐条说明所提供服务已对招标文件的服务内容与要求作出了实质性的响应，并申明与服务内容与要求条文的偏差和例外。特别对有具体参数要求的指标，投标人须提供所投服务的具体参数值。投标人在阐述时应注意招标文件的服务内容、要求和标准。投标人在投标中要实质上满足或超过招标文件的要求。</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40" w:name="_Toc410722657"/>
      <w:bookmarkStart w:id="141" w:name="_Toc23301"/>
      <w:bookmarkStart w:id="142" w:name="_Toc355879686"/>
      <w:bookmarkStart w:id="143" w:name="_Toc13492"/>
      <w:r>
        <w:rPr>
          <w:rFonts w:hint="eastAsia" w:ascii="宋体" w:hAnsi="宋体"/>
          <w:b/>
          <w:bCs/>
          <w:color w:val="auto"/>
          <w:szCs w:val="21"/>
          <w:highlight w:val="none"/>
        </w:rPr>
        <w:t>投标保证金</w:t>
      </w:r>
      <w:bookmarkEnd w:id="140"/>
      <w:bookmarkEnd w:id="141"/>
      <w:bookmarkEnd w:id="142"/>
      <w:bookmarkEnd w:id="143"/>
    </w:p>
    <w:p>
      <w:pPr>
        <w:numPr>
          <w:ilvl w:val="1"/>
          <w:numId w:val="154"/>
        </w:numPr>
        <w:autoSpaceDE w:val="0"/>
        <w:autoSpaceDN w:val="0"/>
        <w:adjustRightInd w:val="0"/>
        <w:snapToGrid w:val="0"/>
        <w:spacing w:line="360" w:lineRule="auto"/>
        <w:jc w:val="left"/>
        <w:rPr>
          <w:rFonts w:hint="eastAsia" w:ascii="宋体" w:hAnsi="宋体" w:cs="黑体"/>
          <w:b/>
          <w:bCs/>
          <w:color w:val="auto"/>
          <w:szCs w:val="21"/>
          <w:highlight w:val="none"/>
        </w:rPr>
      </w:pPr>
      <w:bookmarkStart w:id="144" w:name="_Toc355879687"/>
      <w:r>
        <w:rPr>
          <w:rFonts w:hint="eastAsia" w:ascii="宋体" w:hAnsi="宋体" w:cs="宋体"/>
          <w:color w:val="auto"/>
          <w:szCs w:val="21"/>
          <w:highlight w:val="none"/>
          <w:lang w:eastAsia="zh-TW"/>
        </w:rPr>
        <w:t>投标人应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的金</w:t>
      </w:r>
      <w:r>
        <w:rPr>
          <w:rFonts w:hint="eastAsia" w:ascii="宋体" w:hAnsi="宋体" w:cs="宋体"/>
          <w:color w:val="auto"/>
          <w:szCs w:val="21"/>
          <w:highlight w:val="none"/>
          <w:lang w:eastAsia="zh-TW"/>
        </w:rPr>
        <w:t>额</w:t>
      </w:r>
      <w:r>
        <w:rPr>
          <w:rFonts w:hint="eastAsia" w:ascii="宋体" w:hAnsi="宋体" w:cs="宋体"/>
          <w:color w:val="auto"/>
          <w:szCs w:val="21"/>
          <w:highlight w:val="none"/>
        </w:rPr>
        <w:t>、期限缴纳</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w:t>
      </w:r>
      <w:r>
        <w:rPr>
          <w:rFonts w:hint="eastAsia" w:ascii="宋体" w:hAnsi="宋体" w:cs="宋体"/>
          <w:color w:val="auto"/>
          <w:szCs w:val="21"/>
          <w:highlight w:val="none"/>
        </w:rPr>
        <w:t>文件的组成</w:t>
      </w:r>
      <w:r>
        <w:rPr>
          <w:rFonts w:hint="eastAsia" w:ascii="宋体" w:hAnsi="宋体" w:cs="宋体"/>
          <w:color w:val="auto"/>
          <w:szCs w:val="21"/>
          <w:highlight w:val="none"/>
          <w:lang w:eastAsia="zh-TW"/>
        </w:rPr>
        <w:t>部分。凡没有按照本须知规定提交投标保证金的投标，将视为非响应性投标予以作为无效投标处理</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jc w:val="left"/>
        <w:rPr>
          <w:rFonts w:ascii="宋体" w:hAnsi="宋体"/>
          <w:color w:val="auto"/>
          <w:szCs w:val="21"/>
          <w:highlight w:val="none"/>
        </w:rPr>
      </w:pPr>
      <w:r>
        <w:rPr>
          <w:rFonts w:hint="eastAsia"/>
          <w:bCs w:val="0"/>
          <w:color w:val="auto"/>
          <w:highlight w:val="none"/>
        </w:rPr>
        <w:t>如无异议或投诉，非中标人的投标保证金，在中标公告</w:t>
      </w:r>
      <w:r>
        <w:rPr>
          <w:rFonts w:hint="eastAsia"/>
          <w:color w:val="auto"/>
          <w:highlight w:val="none"/>
        </w:rPr>
        <w:t>发出之日起五日内</w:t>
      </w:r>
      <w:r>
        <w:rPr>
          <w:rFonts w:hint="eastAsia"/>
          <w:bCs w:val="0"/>
          <w:color w:val="auto"/>
          <w:highlight w:val="none"/>
        </w:rPr>
        <w:t>退还</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color w:val="auto"/>
          <w:highlight w:val="none"/>
        </w:rPr>
        <w:t>中标人的</w:t>
      </w:r>
      <w:r>
        <w:rPr>
          <w:rFonts w:hint="eastAsia"/>
          <w:bCs w:val="0"/>
          <w:color w:val="auto"/>
          <w:highlight w:val="none"/>
        </w:rPr>
        <w:t>投标保证金，在中标人与招标人签订合同</w:t>
      </w:r>
      <w:r>
        <w:rPr>
          <w:rFonts w:hint="eastAsia"/>
          <w:color w:val="auto"/>
          <w:highlight w:val="none"/>
        </w:rPr>
        <w:t>之日起</w:t>
      </w:r>
      <w:r>
        <w:rPr>
          <w:rFonts w:hint="eastAsia"/>
          <w:bCs w:val="0"/>
          <w:color w:val="auto"/>
          <w:highlight w:val="none"/>
        </w:rPr>
        <w:t>五日内退还。</w:t>
      </w:r>
      <w:r>
        <w:rPr>
          <w:rFonts w:hint="eastAsia"/>
          <w:color w:val="auto"/>
          <w:highlight w:val="none"/>
        </w:rPr>
        <w:t>中标人与招标人签订合同后，请及时向招标代理机构告知合同签订情况并提交双方盖章的合同复印件或扫描件，因中标人耽搁提交合同复印件或扫描件，造成投标保证金的退还时间超过上述规定时限的，招标人或招标代理机构不承担延后退还的责任</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下列任一情况发生时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投标保证金将被没收</w:t>
      </w:r>
      <w:r>
        <w:rPr>
          <w:rFonts w:hint="eastAsia" w:ascii="宋体" w:hAnsi="宋体" w:cs="宋体"/>
          <w:color w:val="auto"/>
          <w:szCs w:val="21"/>
          <w:highlight w:val="none"/>
        </w:rPr>
        <w:t>：</w:t>
      </w:r>
    </w:p>
    <w:p>
      <w:pPr>
        <w:numPr>
          <w:ilvl w:val="2"/>
          <w:numId w:val="154"/>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投标人在招标文件中规定的投标有效期内撤回其投标；</w:t>
      </w:r>
    </w:p>
    <w:p>
      <w:pPr>
        <w:numPr>
          <w:ilvl w:val="2"/>
          <w:numId w:val="154"/>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中标后无正当理由放弃中标或中标人在规定期限内未能根据本须知规定签订</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w:t>
      </w:r>
    </w:p>
    <w:p>
      <w:pPr>
        <w:numPr>
          <w:ilvl w:val="2"/>
          <w:numId w:val="154"/>
        </w:numPr>
        <w:tabs>
          <w:tab w:val="left" w:pos="1418"/>
          <w:tab w:val="clear" w:pos="1135"/>
        </w:tabs>
        <w:autoSpaceDE w:val="0"/>
        <w:autoSpaceDN w:val="0"/>
        <w:adjustRightInd w:val="0"/>
        <w:snapToGrid w:val="0"/>
        <w:spacing w:line="360" w:lineRule="auto"/>
        <w:ind w:left="1418" w:hanging="850"/>
        <w:jc w:val="left"/>
        <w:rPr>
          <w:rFonts w:ascii="宋体" w:hAnsi="宋体" w:cs="宋体"/>
          <w:color w:val="auto"/>
          <w:szCs w:val="21"/>
          <w:highlight w:val="none"/>
        </w:rPr>
      </w:pPr>
      <w:r>
        <w:rPr>
          <w:rFonts w:hint="eastAsia" w:ascii="宋体" w:hAnsi="宋体" w:cs="宋体"/>
          <w:color w:val="auto"/>
          <w:szCs w:val="21"/>
          <w:highlight w:val="none"/>
        </w:rPr>
        <w:t>将中标项目转让给他人，或者在投标文件中未说明，且未经招标人同意，违反招标文件规定，将中标项目分包给他人的；</w:t>
      </w:r>
    </w:p>
    <w:p>
      <w:pPr>
        <w:numPr>
          <w:ilvl w:val="2"/>
          <w:numId w:val="154"/>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投标人有不真实投标或有违法违规行为的。</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45" w:name="_Toc410722658"/>
      <w:bookmarkStart w:id="146" w:name="_Toc24017"/>
      <w:bookmarkStart w:id="147" w:name="_Toc11522"/>
      <w:r>
        <w:rPr>
          <w:rFonts w:hint="eastAsia" w:ascii="宋体" w:hAnsi="宋体"/>
          <w:b/>
          <w:bCs/>
          <w:color w:val="auto"/>
          <w:szCs w:val="21"/>
          <w:highlight w:val="none"/>
        </w:rPr>
        <w:t>投标有效期</w:t>
      </w:r>
      <w:bookmarkEnd w:id="144"/>
      <w:bookmarkEnd w:id="145"/>
      <w:bookmarkEnd w:id="146"/>
      <w:bookmarkEnd w:id="147"/>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投标应自</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w:t>
      </w:r>
      <w:r>
        <w:rPr>
          <w:rFonts w:hint="eastAsia" w:ascii="宋体" w:hAnsi="宋体" w:cs="宋体"/>
          <w:color w:val="auto"/>
          <w:szCs w:val="21"/>
          <w:highlight w:val="none"/>
        </w:rPr>
        <w:t>投标文件递交截止时间</w:t>
      </w:r>
      <w:r>
        <w:rPr>
          <w:rFonts w:hint="eastAsia" w:ascii="宋体" w:hAnsi="宋体" w:cs="宋体"/>
          <w:color w:val="auto"/>
          <w:szCs w:val="21"/>
          <w:highlight w:val="none"/>
          <w:lang w:eastAsia="zh-TW"/>
        </w:rPr>
        <w:t>起</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中所述期限内保持有效。投标有效期不足的投标将被视为非实质性响应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视为无效投标</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在原投标有效期截止之前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其投标保证金将不会被没收</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但其投标在原投标有效期期满后将不再有效。同意延长投标有效期的投标人将不会被要求和允许修正其投标</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而只会被要求相应地延长其投标保证金的有效期。在这种情况下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本须知有关投标保证金的退还和没收的规定将在延长了的有效期内继续有效。</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48" w:name="_Toc12924"/>
      <w:bookmarkStart w:id="149" w:name="_Toc355879688"/>
      <w:bookmarkStart w:id="150" w:name="_Toc6075"/>
      <w:bookmarkStart w:id="151" w:name="_Toc410722659"/>
      <w:r>
        <w:rPr>
          <w:rFonts w:hint="eastAsia" w:ascii="宋体" w:hAnsi="宋体"/>
          <w:b/>
          <w:bCs/>
          <w:color w:val="auto"/>
          <w:szCs w:val="21"/>
          <w:highlight w:val="none"/>
        </w:rPr>
        <w:t>投标文件的式样和签署</w:t>
      </w:r>
      <w:bookmarkEnd w:id="148"/>
      <w:bookmarkEnd w:id="149"/>
      <w:bookmarkEnd w:id="150"/>
      <w:bookmarkEnd w:id="151"/>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投标文件的式样：投标人应准备一份投标文件正本</w:t>
      </w:r>
      <w:r>
        <w:rPr>
          <w:rFonts w:hint="eastAsia" w:ascii="宋体" w:hAnsi="宋体" w:cs="宋体"/>
          <w:color w:val="auto"/>
          <w:szCs w:val="21"/>
          <w:highlight w:val="none"/>
        </w:rPr>
        <w:t>、</w:t>
      </w:r>
      <w:r>
        <w:rPr>
          <w:rFonts w:hint="eastAsia" w:ascii="宋体" w:hAnsi="宋体" w:cs="宋体"/>
          <w:color w:val="auto"/>
          <w:szCs w:val="21"/>
          <w:highlight w:val="none"/>
          <w:lang w:eastAsia="zh-CN"/>
        </w:rPr>
        <w:t>二份</w:t>
      </w:r>
      <w:r>
        <w:rPr>
          <w:rFonts w:hint="eastAsia" w:ascii="宋体" w:hAnsi="宋体" w:cs="宋体"/>
          <w:color w:val="auto"/>
          <w:szCs w:val="21"/>
          <w:highlight w:val="none"/>
        </w:rPr>
        <w:t>电子文件</w:t>
      </w:r>
      <w:r>
        <w:rPr>
          <w:rFonts w:hint="eastAsia" w:ascii="宋体" w:hAnsi="宋体" w:cs="宋体"/>
          <w:color w:val="auto"/>
          <w:szCs w:val="21"/>
          <w:highlight w:val="none"/>
          <w:lang w:eastAsia="zh-CN"/>
        </w:rPr>
        <w:t>、一份开标信封</w:t>
      </w:r>
      <w:r>
        <w:rPr>
          <w:rFonts w:hint="eastAsia" w:ascii="宋体" w:hAnsi="宋体" w:cs="宋体"/>
          <w:color w:val="auto"/>
          <w:szCs w:val="21"/>
          <w:highlight w:val="none"/>
          <w:lang w:eastAsia="zh-TW"/>
        </w:rPr>
        <w:t>和</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中规定数目的副本。</w:t>
      </w:r>
      <w:r>
        <w:rPr>
          <w:rFonts w:hint="eastAsia" w:ascii="宋体" w:hAnsi="宋体"/>
          <w:color w:val="auto"/>
          <w:szCs w:val="21"/>
          <w:highlight w:val="none"/>
        </w:rPr>
        <w:t>投标文件原则上采用A4纸制做。每份投标文件必须分别固定装订成册（不得采用活页形式），并在投标文件封面上清楚地标明“正本”或“副本”字样。</w:t>
      </w:r>
      <w:r>
        <w:rPr>
          <w:rFonts w:hint="eastAsia" w:ascii="宋体" w:hAnsi="宋体" w:cs="宋体"/>
          <w:color w:val="auto"/>
          <w:szCs w:val="21"/>
          <w:highlight w:val="none"/>
          <w:lang w:eastAsia="zh-TW"/>
        </w:rPr>
        <w:t>若副本与正本不符</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以正本为准。</w:t>
      </w:r>
      <w:bookmarkStart w:id="152" w:name="_Toc237787559"/>
      <w:r>
        <w:rPr>
          <w:rFonts w:hint="eastAsia" w:ascii="宋体" w:hAnsi="宋体"/>
          <w:color w:val="auto"/>
          <w:szCs w:val="21"/>
          <w:highlight w:val="none"/>
        </w:rPr>
        <w:t>投标人应按</w:t>
      </w:r>
      <w:r>
        <w:rPr>
          <w:rFonts w:hint="eastAsia" w:ascii="宋体" w:hAnsi="宋体"/>
          <w:b/>
          <w:color w:val="auto"/>
          <w:szCs w:val="21"/>
          <w:highlight w:val="none"/>
        </w:rPr>
        <w:t>投标资料表</w:t>
      </w:r>
      <w:r>
        <w:rPr>
          <w:rFonts w:hint="eastAsia" w:ascii="宋体" w:hAnsi="宋体"/>
          <w:color w:val="auto"/>
          <w:szCs w:val="21"/>
          <w:highlight w:val="none"/>
        </w:rPr>
        <w:t>的规定，同时提交电子介质的投标文件。</w:t>
      </w:r>
      <w:bookmarkEnd w:id="152"/>
      <w:r>
        <w:rPr>
          <w:rFonts w:hint="eastAsia" w:ascii="宋体" w:hAnsi="宋体"/>
          <w:color w:val="auto"/>
          <w:szCs w:val="21"/>
          <w:highlight w:val="none"/>
        </w:rPr>
        <w:t>电子介质的投标文件与纸质投标文件具有同等的法律效力。除非</w:t>
      </w:r>
      <w:r>
        <w:rPr>
          <w:rFonts w:hint="eastAsia" w:ascii="宋体" w:hAnsi="宋体"/>
          <w:b/>
          <w:color w:val="auto"/>
          <w:szCs w:val="21"/>
          <w:highlight w:val="none"/>
        </w:rPr>
        <w:t>投标资料表</w:t>
      </w:r>
      <w:r>
        <w:rPr>
          <w:rFonts w:hint="eastAsia" w:ascii="宋体" w:hAnsi="宋体"/>
          <w:color w:val="auto"/>
          <w:szCs w:val="21"/>
          <w:highlight w:val="none"/>
        </w:rPr>
        <w:t>中另有规定，电子介质的投标文件与纸质投标文件不一致时，以纸质投标文件为准</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highlight w:val="none"/>
        </w:rPr>
        <w:t>电子介质的投标文件</w:t>
      </w:r>
      <w:r>
        <w:rPr>
          <w:rFonts w:hint="eastAsia" w:ascii="宋体" w:hAnsi="宋体" w:eastAsia="宋体" w:cs="宋体"/>
          <w:color w:val="auto"/>
          <w:highlight w:val="none"/>
          <w:lang w:eastAsia="zh-CN"/>
        </w:rPr>
        <w:t>（电子文件）</w:t>
      </w:r>
      <w:r>
        <w:rPr>
          <w:rFonts w:hint="eastAsia" w:ascii="宋体" w:hAnsi="宋体" w:eastAsia="宋体" w:cs="宋体"/>
          <w:color w:val="auto"/>
          <w:highlight w:val="none"/>
        </w:rPr>
        <w:t>：是指将按招标文件要求签署、盖章后的正本投标文件扫描</w:t>
      </w:r>
      <w:r>
        <w:rPr>
          <w:rFonts w:hint="eastAsia" w:ascii="宋体" w:hAnsi="宋体" w:eastAsia="宋体" w:cs="宋体"/>
          <w:color w:val="auto"/>
          <w:highlight w:val="none"/>
          <w:lang w:eastAsia="zh-CN"/>
        </w:rPr>
        <w:t>成</w:t>
      </w:r>
      <w:r>
        <w:rPr>
          <w:rFonts w:hint="eastAsia" w:ascii="宋体" w:hAnsi="宋体" w:eastAsia="宋体" w:cs="宋体"/>
          <w:color w:val="auto"/>
          <w:highlight w:val="none"/>
        </w:rPr>
        <w:t>PDF格式后拷贝至无病毒无密码的U盘或光盘。电子介质</w:t>
      </w:r>
      <w:r>
        <w:rPr>
          <w:rFonts w:hint="eastAsia" w:ascii="宋体" w:hAnsi="宋体" w:eastAsia="宋体" w:cs="宋体"/>
          <w:color w:val="auto"/>
          <w:highlight w:val="none"/>
          <w:lang w:eastAsia="zh-CN"/>
        </w:rPr>
        <w:t>可</w:t>
      </w:r>
      <w:r>
        <w:rPr>
          <w:rFonts w:hint="eastAsia" w:ascii="宋体" w:hAnsi="宋体" w:eastAsia="宋体" w:cs="宋体"/>
          <w:color w:val="auto"/>
          <w:highlight w:val="none"/>
        </w:rPr>
        <w:t>密封</w:t>
      </w:r>
      <w:r>
        <w:rPr>
          <w:rFonts w:hint="eastAsia" w:ascii="宋体" w:hAnsi="宋体" w:eastAsia="宋体" w:cs="宋体"/>
          <w:color w:val="auto"/>
          <w:highlight w:val="none"/>
          <w:lang w:eastAsia="zh-CN"/>
        </w:rPr>
        <w:t>在开标信封内</w:t>
      </w:r>
      <w:r>
        <w:rPr>
          <w:rFonts w:hint="eastAsia" w:ascii="宋体" w:hAnsi="宋体" w:eastAsia="宋体" w:cs="宋体"/>
          <w:color w:val="auto"/>
          <w:highlight w:val="none"/>
        </w:rPr>
        <w:t>。</w:t>
      </w:r>
    </w:p>
    <w:p>
      <w:pPr>
        <w:numPr>
          <w:ilvl w:val="1"/>
          <w:numId w:val="154"/>
        </w:numPr>
        <w:autoSpaceDE w:val="0"/>
        <w:autoSpaceDN w:val="0"/>
        <w:adjustRightInd w:val="0"/>
        <w:snapToGrid w:val="0"/>
        <w:spacing w:line="360" w:lineRule="auto"/>
        <w:rPr>
          <w:rFonts w:hint="eastAsia" w:ascii="宋体" w:hAnsi="宋体" w:cs="黑体"/>
          <w:b w:val="0"/>
          <w:bCs w:val="0"/>
          <w:color w:val="auto"/>
          <w:szCs w:val="21"/>
          <w:highlight w:val="none"/>
        </w:rPr>
      </w:pPr>
      <w:r>
        <w:rPr>
          <w:rFonts w:hint="eastAsia" w:ascii="宋体" w:hAnsi="宋体" w:cs="黑体"/>
          <w:b w:val="0"/>
          <w:bCs w:val="0"/>
          <w:color w:val="auto"/>
          <w:szCs w:val="21"/>
          <w:highlight w:val="none"/>
        </w:rPr>
        <w:t>若本项目包含多个子包，投标人</w:t>
      </w:r>
      <w:r>
        <w:rPr>
          <w:rFonts w:hint="eastAsia" w:ascii="宋体" w:hAnsi="宋体" w:cs="黑体"/>
          <w:b w:val="0"/>
          <w:bCs w:val="0"/>
          <w:color w:val="auto"/>
          <w:szCs w:val="21"/>
          <w:highlight w:val="none"/>
          <w:lang w:eastAsia="zh-CN"/>
        </w:rPr>
        <w:t>可以项目为单位准备一套投标文件，或</w:t>
      </w:r>
      <w:r>
        <w:rPr>
          <w:rFonts w:hint="eastAsia" w:ascii="宋体" w:hAnsi="宋体" w:cs="黑体"/>
          <w:b w:val="0"/>
          <w:bCs w:val="0"/>
          <w:color w:val="auto"/>
          <w:szCs w:val="21"/>
          <w:highlight w:val="none"/>
        </w:rPr>
        <w:t>以拟投标的单个子包为单位，分别准备投标文件</w:t>
      </w:r>
      <w:r>
        <w:rPr>
          <w:rFonts w:hint="eastAsia" w:ascii="宋体" w:hAnsi="宋体" w:cs="黑体"/>
          <w:b w:val="0"/>
          <w:bCs w:val="0"/>
          <w:color w:val="auto"/>
          <w:szCs w:val="21"/>
          <w:highlight w:val="none"/>
          <w:lang w:eastAsia="zh-CN"/>
        </w:rPr>
        <w:t>。若</w:t>
      </w:r>
      <w:r>
        <w:rPr>
          <w:rFonts w:hint="eastAsia" w:ascii="宋体" w:hAnsi="宋体" w:cs="黑体"/>
          <w:b w:val="0"/>
          <w:bCs w:val="0"/>
          <w:color w:val="auto"/>
          <w:szCs w:val="21"/>
          <w:highlight w:val="none"/>
        </w:rPr>
        <w:t>以拟投标的单个子包为单位准备投标文件</w:t>
      </w:r>
      <w:r>
        <w:rPr>
          <w:rFonts w:hint="eastAsia" w:ascii="宋体" w:hAnsi="宋体" w:cs="黑体"/>
          <w:b w:val="0"/>
          <w:bCs w:val="0"/>
          <w:color w:val="auto"/>
          <w:szCs w:val="21"/>
          <w:highlight w:val="none"/>
          <w:lang w:eastAsia="zh-CN"/>
        </w:rPr>
        <w:t>的，则</w:t>
      </w:r>
      <w:r>
        <w:rPr>
          <w:rFonts w:hint="eastAsia" w:ascii="宋体" w:hAnsi="宋体" w:cs="黑体"/>
          <w:b w:val="0"/>
          <w:bCs w:val="0"/>
          <w:color w:val="auto"/>
          <w:szCs w:val="21"/>
          <w:highlight w:val="none"/>
        </w:rPr>
        <w:t>每套投标文件对应一个拟投标的子包，并在每套投标文件的封面清楚地标明所投</w:t>
      </w:r>
      <w:r>
        <w:rPr>
          <w:rFonts w:hint="eastAsia" w:ascii="宋体" w:hAnsi="宋体" w:cs="黑体"/>
          <w:b w:val="0"/>
          <w:bCs w:val="0"/>
          <w:color w:val="auto"/>
          <w:szCs w:val="21"/>
          <w:highlight w:val="none"/>
          <w:lang w:eastAsia="zh-CN"/>
        </w:rPr>
        <w:t>包组号。</w:t>
      </w:r>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投标文件的签署：</w:t>
      </w:r>
    </w:p>
    <w:p>
      <w:pPr>
        <w:numPr>
          <w:ilvl w:val="2"/>
          <w:numId w:val="154"/>
        </w:numPr>
        <w:tabs>
          <w:tab w:val="left" w:pos="851"/>
          <w:tab w:val="left" w:pos="1418"/>
          <w:tab w:val="clear" w:pos="1135"/>
        </w:tabs>
        <w:autoSpaceDE w:val="0"/>
        <w:autoSpaceDN w:val="0"/>
        <w:adjustRightInd w:val="0"/>
        <w:snapToGrid w:val="0"/>
        <w:spacing w:line="360" w:lineRule="auto"/>
        <w:ind w:left="1418" w:hanging="850"/>
        <w:rPr>
          <w:rFonts w:ascii="宋体" w:hAnsi="宋体" w:cs="宋体"/>
          <w:color w:val="auto"/>
          <w:szCs w:val="21"/>
          <w:highlight w:val="none"/>
        </w:rPr>
      </w:pPr>
      <w:r>
        <w:rPr>
          <w:rFonts w:hint="eastAsia" w:ascii="宋体" w:hAnsi="宋体" w:cs="宋体"/>
          <w:color w:val="auto"/>
          <w:szCs w:val="21"/>
          <w:highlight w:val="none"/>
          <w:lang w:eastAsia="zh-TW"/>
        </w:rPr>
        <w:t>投标文件的正本需打印或用不褪色墨水书写</w:t>
      </w:r>
      <w:r>
        <w:rPr>
          <w:rFonts w:hint="eastAsia" w:ascii="宋体" w:hAnsi="宋体" w:cs="宋体"/>
          <w:color w:val="auto"/>
          <w:szCs w:val="21"/>
          <w:highlight w:val="none"/>
        </w:rPr>
        <w:t>，投标文件要求签名的</w:t>
      </w:r>
      <w:r>
        <w:rPr>
          <w:rFonts w:hint="eastAsia" w:ascii="宋体" w:hAnsi="宋体" w:cs="宋体"/>
          <w:color w:val="auto"/>
          <w:szCs w:val="21"/>
          <w:highlight w:val="none"/>
          <w:lang w:eastAsia="zh-TW"/>
        </w:rPr>
        <w:t>由</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代表人或经其正式授权的代表签字</w:t>
      </w:r>
      <w:r>
        <w:rPr>
          <w:rFonts w:hint="eastAsia" w:ascii="宋体" w:hAnsi="宋体" w:cs="宋体"/>
          <w:color w:val="auto"/>
          <w:szCs w:val="21"/>
          <w:highlight w:val="none"/>
        </w:rPr>
        <w:t>，</w:t>
      </w:r>
      <w:r>
        <w:rPr>
          <w:rFonts w:hint="eastAsia" w:ascii="宋体" w:hAnsi="宋体"/>
          <w:color w:val="auto"/>
          <w:szCs w:val="21"/>
          <w:highlight w:val="none"/>
        </w:rPr>
        <w:t>格式规定签字或盖章处须由投标人的法定代表人或经其正式授权的代表亲笔签署本人姓名或印盖本人姓名章，不得加盖合同专用章、投标人专用章、或其他电子制版章等各种形式的专用章。</w:t>
      </w:r>
      <w:r>
        <w:rPr>
          <w:rFonts w:hint="eastAsia" w:ascii="宋体" w:hAnsi="宋体" w:cs="宋体"/>
          <w:color w:val="auto"/>
          <w:szCs w:val="21"/>
          <w:highlight w:val="none"/>
        </w:rPr>
        <w:t>投标文件</w:t>
      </w:r>
      <w:r>
        <w:rPr>
          <w:rFonts w:hint="eastAsia" w:ascii="宋体" w:hAnsi="宋体" w:cs="宋体"/>
          <w:b/>
          <w:bCs/>
          <w:color w:val="auto"/>
          <w:sz w:val="24"/>
          <w:szCs w:val="24"/>
          <w:highlight w:val="none"/>
          <w:u w:val="double"/>
        </w:rPr>
        <w:t>正本须在封面及每一页均须加盖投标人公章</w:t>
      </w:r>
      <w:r>
        <w:rPr>
          <w:rFonts w:hint="eastAsia" w:ascii="宋体" w:hAnsi="宋体" w:cs="宋体"/>
          <w:color w:val="auto"/>
          <w:szCs w:val="21"/>
          <w:highlight w:val="none"/>
        </w:rPr>
        <w:t>，副本应为正本签字盖章后的复印件并须在封面加盖投标人公章，与正本具有同等法律效力</w:t>
      </w:r>
      <w:r>
        <w:rPr>
          <w:rFonts w:hint="eastAsia" w:ascii="宋体" w:hAnsi="宋体" w:cs="宋体"/>
          <w:color w:val="auto"/>
          <w:szCs w:val="21"/>
          <w:highlight w:val="none"/>
          <w:lang w:eastAsia="zh-TW"/>
        </w:rPr>
        <w:t>。授权代表须将以书面形式出具的《法定代表人授权</w:t>
      </w:r>
      <w:r>
        <w:rPr>
          <w:rFonts w:hint="eastAsia" w:ascii="宋体" w:hAnsi="宋体" w:cs="宋体"/>
          <w:color w:val="auto"/>
          <w:szCs w:val="21"/>
          <w:highlight w:val="none"/>
        </w:rPr>
        <w:t>委托</w:t>
      </w:r>
      <w:r>
        <w:rPr>
          <w:rFonts w:hint="eastAsia" w:ascii="宋体" w:hAnsi="宋体" w:cs="宋体"/>
          <w:color w:val="auto"/>
          <w:szCs w:val="21"/>
          <w:highlight w:val="none"/>
          <w:lang w:eastAsia="zh-TW"/>
        </w:rPr>
        <w:t>书》附在</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标文件中。</w:t>
      </w:r>
    </w:p>
    <w:p>
      <w:pPr>
        <w:numPr>
          <w:ilvl w:val="2"/>
          <w:numId w:val="154"/>
        </w:numPr>
        <w:tabs>
          <w:tab w:val="left" w:pos="709"/>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投标文件中的任何重要的插字、涂改和增删，必须由法定代表人或经其正式授权的代表在旁边签章或签字才有效。</w:t>
      </w:r>
    </w:p>
    <w:p>
      <w:pPr>
        <w:tabs>
          <w:tab w:val="left" w:pos="709"/>
          <w:tab w:val="left" w:pos="851"/>
          <w:tab w:val="left" w:pos="1135"/>
        </w:tabs>
        <w:autoSpaceDE w:val="0"/>
        <w:autoSpaceDN w:val="0"/>
        <w:adjustRightInd w:val="0"/>
        <w:snapToGrid w:val="0"/>
        <w:spacing w:line="360" w:lineRule="auto"/>
        <w:ind w:left="851"/>
        <w:rPr>
          <w:rFonts w:ascii="宋体" w:hAnsi="宋体" w:cs="宋体"/>
          <w:color w:val="auto"/>
          <w:szCs w:val="21"/>
          <w:highlight w:val="none"/>
          <w:lang w:eastAsia="zh-TW"/>
        </w:rPr>
      </w:pPr>
    </w:p>
    <w:p>
      <w:pPr>
        <w:numPr>
          <w:ilvl w:val="0"/>
          <w:numId w:val="153"/>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53" w:name="_Toc1841"/>
      <w:bookmarkStart w:id="154" w:name="_Toc410722660"/>
      <w:bookmarkStart w:id="155" w:name="_Toc355879689"/>
      <w:bookmarkStart w:id="156" w:name="_Toc23720"/>
      <w:r>
        <w:rPr>
          <w:rFonts w:hint="eastAsia" w:ascii="宋体" w:hAnsi="宋体"/>
          <w:b/>
          <w:color w:val="auto"/>
          <w:sz w:val="28"/>
          <w:szCs w:val="28"/>
          <w:highlight w:val="none"/>
          <w:lang w:eastAsia="zh-TW"/>
        </w:rPr>
        <w:t>投标文件的递交</w:t>
      </w:r>
      <w:bookmarkEnd w:id="153"/>
      <w:bookmarkEnd w:id="154"/>
      <w:bookmarkEnd w:id="155"/>
      <w:bookmarkEnd w:id="156"/>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57" w:name="_Toc4952"/>
      <w:bookmarkStart w:id="158" w:name="_Toc410722661"/>
      <w:bookmarkStart w:id="159" w:name="_Toc355879690"/>
      <w:bookmarkStart w:id="160" w:name="_Toc16019"/>
      <w:r>
        <w:rPr>
          <w:rFonts w:hint="eastAsia" w:ascii="宋体" w:hAnsi="宋体"/>
          <w:b/>
          <w:bCs/>
          <w:color w:val="auto"/>
          <w:szCs w:val="21"/>
          <w:highlight w:val="none"/>
        </w:rPr>
        <w:t>投标文件的密封和标记</w:t>
      </w:r>
      <w:bookmarkEnd w:id="157"/>
      <w:bookmarkEnd w:id="158"/>
      <w:bookmarkEnd w:id="159"/>
      <w:bookmarkEnd w:id="160"/>
    </w:p>
    <w:p>
      <w:pPr>
        <w:numPr>
          <w:ilvl w:val="1"/>
          <w:numId w:val="154"/>
        </w:numPr>
        <w:autoSpaceDE w:val="0"/>
        <w:autoSpaceDN w:val="0"/>
        <w:adjustRightInd w:val="0"/>
        <w:snapToGrid w:val="0"/>
        <w:spacing w:line="360" w:lineRule="auto"/>
        <w:rPr>
          <w:rFonts w:hint="eastAsia" w:ascii="宋体" w:hAnsi="宋体" w:cs="黑体"/>
          <w:b/>
          <w:bCs/>
          <w:dstrike/>
          <w:color w:val="auto"/>
          <w:szCs w:val="21"/>
          <w:highlight w:val="none"/>
        </w:rPr>
      </w:pPr>
      <w:r>
        <w:rPr>
          <w:rFonts w:hint="eastAsia" w:ascii="宋体" w:hAnsi="宋体" w:cs="宋体"/>
          <w:color w:val="auto"/>
          <w:szCs w:val="21"/>
          <w:highlight w:val="none"/>
          <w:lang w:eastAsia="zh-TW"/>
        </w:rPr>
        <w:t>为方便开标唱标</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投标人应将开标一览表(报价表)</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缴付凭证、</w:t>
      </w:r>
      <w:r>
        <w:rPr>
          <w:rFonts w:hint="eastAsia" w:ascii="宋体" w:hAnsi="宋体" w:cs="宋体"/>
          <w:color w:val="auto"/>
          <w:szCs w:val="21"/>
          <w:highlight w:val="none"/>
          <w:lang w:eastAsia="zh-TW"/>
        </w:rPr>
        <w:t>法定代表人证明书或法定代表人授权委托书</w:t>
      </w:r>
      <w:r>
        <w:rPr>
          <w:rFonts w:hint="eastAsia" w:ascii="宋体" w:hAnsi="宋体" w:cs="宋体"/>
          <w:color w:val="auto"/>
          <w:szCs w:val="21"/>
          <w:highlight w:val="none"/>
          <w:lang w:eastAsia="zh-CN"/>
        </w:rPr>
        <w:t>和</w:t>
      </w:r>
      <w:r>
        <w:rPr>
          <w:rFonts w:hint="eastAsia" w:ascii="宋体" w:hAnsi="宋体" w:cs="宋体"/>
          <w:color w:val="auto"/>
          <w:szCs w:val="21"/>
          <w:highlight w:val="none"/>
        </w:rPr>
        <w:t>电子文件</w:t>
      </w:r>
      <w:r>
        <w:rPr>
          <w:rFonts w:hint="eastAsia" w:ascii="宋体" w:hAnsi="宋体" w:cs="宋体"/>
          <w:color w:val="auto"/>
          <w:szCs w:val="21"/>
          <w:highlight w:val="none"/>
          <w:lang w:eastAsia="zh-TW"/>
        </w:rPr>
        <w:t>单独</w:t>
      </w:r>
      <w:r>
        <w:rPr>
          <w:rFonts w:hint="eastAsia" w:ascii="宋体" w:hAnsi="宋体" w:cs="宋体"/>
          <w:color w:val="auto"/>
          <w:szCs w:val="21"/>
          <w:highlight w:val="none"/>
        </w:rPr>
        <w:t>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w:t>
      </w:r>
      <w:r>
        <w:rPr>
          <w:rFonts w:hint="eastAsia" w:ascii="宋体" w:hAnsi="宋体" w:cs="宋体"/>
          <w:color w:val="auto"/>
          <w:szCs w:val="21"/>
          <w:highlight w:val="none"/>
          <w:lang w:eastAsia="zh-CN"/>
        </w:rPr>
        <w:t>开标</w:t>
      </w:r>
      <w:r>
        <w:rPr>
          <w:rFonts w:hint="eastAsia" w:ascii="宋体" w:hAnsi="宋体" w:cs="宋体"/>
          <w:color w:val="auto"/>
          <w:szCs w:val="21"/>
          <w:highlight w:val="none"/>
        </w:rPr>
        <w:t>信封”的</w:t>
      </w:r>
      <w:r>
        <w:rPr>
          <w:rFonts w:hint="eastAsia" w:ascii="宋体" w:hAnsi="宋体" w:cs="宋体"/>
          <w:color w:val="auto"/>
          <w:szCs w:val="21"/>
          <w:highlight w:val="none"/>
          <w:lang w:eastAsia="zh-TW"/>
        </w:rPr>
        <w:t>字样。投标人应将投标文件正本和所有的副本分开密封装在单独的信封中</w:t>
      </w:r>
      <w:r>
        <w:rPr>
          <w:rFonts w:hint="eastAsia" w:ascii="宋体" w:hAnsi="宋体" w:cs="宋体"/>
          <w:color w:val="auto"/>
          <w:szCs w:val="21"/>
          <w:highlight w:val="none"/>
        </w:rPr>
        <w:t>，</w:t>
      </w:r>
      <w:r>
        <w:rPr>
          <w:rFonts w:hint="eastAsia" w:ascii="宋体" w:hAnsi="宋体" w:cs="宋体"/>
          <w:color w:val="auto"/>
          <w:szCs w:val="21"/>
          <w:highlight w:val="none"/>
          <w:lang w:eastAsia="zh-TW"/>
        </w:rPr>
        <w:t>且在信封</w:t>
      </w:r>
      <w:r>
        <w:rPr>
          <w:rFonts w:hint="eastAsia" w:ascii="宋体" w:hAnsi="宋体" w:cs="宋体"/>
          <w:color w:val="auto"/>
          <w:szCs w:val="21"/>
          <w:highlight w:val="none"/>
        </w:rPr>
        <w:t>上</w:t>
      </w:r>
      <w:r>
        <w:rPr>
          <w:rFonts w:hint="eastAsia" w:ascii="宋体" w:hAnsi="宋体" w:cs="宋体"/>
          <w:color w:val="auto"/>
          <w:szCs w:val="21"/>
          <w:highlight w:val="none"/>
          <w:lang w:eastAsia="zh-TW"/>
        </w:rPr>
        <w:t>标明</w:t>
      </w:r>
      <w:r>
        <w:rPr>
          <w:rFonts w:hint="eastAsia" w:ascii="宋体" w:hAnsi="宋体" w:cs="宋体"/>
          <w:color w:val="auto"/>
          <w:szCs w:val="21"/>
          <w:highlight w:val="none"/>
        </w:rPr>
        <w:t>“</w:t>
      </w:r>
      <w:r>
        <w:rPr>
          <w:rFonts w:hint="eastAsia" w:ascii="宋体" w:hAnsi="宋体" w:cs="宋体"/>
          <w:color w:val="auto"/>
          <w:szCs w:val="21"/>
          <w:highlight w:val="none"/>
          <w:lang w:eastAsia="zh-TW"/>
        </w:rPr>
        <w:t>正本</w:t>
      </w:r>
      <w:r>
        <w:rPr>
          <w:rFonts w:hint="eastAsia" w:ascii="宋体" w:hAnsi="宋体" w:cs="宋体"/>
          <w:color w:val="auto"/>
          <w:szCs w:val="21"/>
          <w:highlight w:val="none"/>
        </w:rPr>
        <w:t>”“</w:t>
      </w:r>
      <w:r>
        <w:rPr>
          <w:rFonts w:hint="eastAsia" w:ascii="宋体" w:hAnsi="宋体"/>
          <w:color w:val="auto"/>
          <w:szCs w:val="21"/>
          <w:highlight w:val="none"/>
        </w:rPr>
        <w:t>副</w:t>
      </w:r>
      <w:r>
        <w:rPr>
          <w:rFonts w:hint="eastAsia" w:ascii="宋体" w:hAnsi="宋体" w:cs="宋体"/>
          <w:color w:val="auto"/>
          <w:szCs w:val="21"/>
          <w:highlight w:val="none"/>
          <w:lang w:eastAsia="zh-TW"/>
        </w:rPr>
        <w:t>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字样。</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投标文件封装：</w:t>
      </w:r>
    </w:p>
    <w:p>
      <w:pPr>
        <w:numPr>
          <w:ilvl w:val="2"/>
          <w:numId w:val="154"/>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清楚标明递交至</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r>
        <w:rPr>
          <w:rFonts w:hint="eastAsia" w:ascii="宋体" w:hAnsi="宋体" w:cs="宋体"/>
          <w:color w:val="auto"/>
          <w:szCs w:val="21"/>
          <w:highlight w:val="none"/>
        </w:rPr>
        <w:t>及写明投标人名称和地址</w:t>
      </w:r>
      <w:r>
        <w:rPr>
          <w:rFonts w:hint="eastAsia" w:ascii="宋体" w:hAnsi="宋体" w:cs="宋体"/>
          <w:color w:val="auto"/>
          <w:szCs w:val="21"/>
          <w:highlight w:val="none"/>
          <w:lang w:eastAsia="zh-TW"/>
        </w:rPr>
        <w:t>。</w:t>
      </w:r>
    </w:p>
    <w:p>
      <w:pPr>
        <w:numPr>
          <w:ilvl w:val="2"/>
          <w:numId w:val="154"/>
        </w:numPr>
        <w:tabs>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rPr>
      </w:pPr>
      <w:r>
        <w:rPr>
          <w:rFonts w:hint="eastAsia" w:ascii="宋体" w:hAnsi="宋体" w:cs="宋体"/>
          <w:color w:val="auto"/>
          <w:szCs w:val="21"/>
          <w:highlight w:val="none"/>
          <w:lang w:eastAsia="zh-TW"/>
        </w:rPr>
        <w:t>注明投标邀请中指明的项目名称、</w:t>
      </w:r>
      <w:r>
        <w:rPr>
          <w:rFonts w:hint="eastAsia" w:ascii="宋体" w:hAnsi="宋体" w:cs="宋体"/>
          <w:color w:val="auto"/>
          <w:szCs w:val="21"/>
          <w:highlight w:val="none"/>
        </w:rPr>
        <w:t>项目</w:t>
      </w:r>
      <w:r>
        <w:rPr>
          <w:rFonts w:hint="eastAsia" w:ascii="宋体" w:hAnsi="宋体" w:cs="宋体"/>
          <w:color w:val="auto"/>
          <w:szCs w:val="21"/>
          <w:highlight w:val="none"/>
          <w:lang w:eastAsia="zh-TW"/>
        </w:rPr>
        <w:t>编号和</w:t>
      </w:r>
      <w:r>
        <w:rPr>
          <w:rFonts w:hint="eastAsia" w:ascii="宋体" w:hAnsi="宋体"/>
          <w:color w:val="auto"/>
          <w:szCs w:val="21"/>
          <w:highlight w:val="none"/>
        </w:rPr>
        <w:t>“</w:t>
      </w:r>
      <w:r>
        <w:rPr>
          <w:rFonts w:hint="eastAsia" w:ascii="宋体" w:hAnsi="宋体" w:cs="宋体"/>
          <w:color w:val="auto"/>
          <w:szCs w:val="21"/>
          <w:highlight w:val="none"/>
          <w:lang w:eastAsia="zh-TW"/>
        </w:rPr>
        <w:t>在</w:t>
      </w:r>
      <w:r>
        <w:rPr>
          <w:rFonts w:ascii="宋体" w:hAnsi="宋体" w:cs="宋体"/>
          <w:color w:val="auto"/>
          <w:szCs w:val="21"/>
          <w:highlight w:val="none"/>
        </w:rPr>
        <w:t>(</w:t>
      </w:r>
      <w:r>
        <w:rPr>
          <w:rFonts w:hint="eastAsia" w:ascii="宋体" w:hAnsi="宋体" w:cs="宋体"/>
          <w:color w:val="auto"/>
          <w:szCs w:val="21"/>
          <w:highlight w:val="none"/>
        </w:rPr>
        <w:t>招标文件中规定的开标日期和时间</w:t>
      </w:r>
      <w:r>
        <w:rPr>
          <w:rFonts w:ascii="宋体" w:hAnsi="宋体" w:cs="宋体"/>
          <w:color w:val="auto"/>
          <w:szCs w:val="21"/>
          <w:highlight w:val="none"/>
        </w:rPr>
        <w:t>)</w:t>
      </w:r>
      <w:r>
        <w:rPr>
          <w:rFonts w:hint="eastAsia" w:ascii="宋体" w:hAnsi="宋体" w:cs="宋体"/>
          <w:color w:val="auto"/>
          <w:szCs w:val="21"/>
          <w:highlight w:val="none"/>
        </w:rPr>
        <w:t>之前不得启封”的</w:t>
      </w:r>
      <w:r>
        <w:rPr>
          <w:rFonts w:hint="eastAsia" w:ascii="宋体" w:hAnsi="宋体" w:cs="宋体"/>
          <w:color w:val="auto"/>
          <w:szCs w:val="21"/>
          <w:highlight w:val="none"/>
          <w:lang w:eastAsia="zh-TW"/>
        </w:rPr>
        <w:t>字样。</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招标代理机构对误投或提前启封概不负责</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61" w:name="_Toc410722662"/>
      <w:bookmarkStart w:id="162" w:name="_Toc355879691"/>
      <w:bookmarkStart w:id="163" w:name="_Toc25339"/>
      <w:bookmarkStart w:id="164" w:name="_Toc11440"/>
      <w:r>
        <w:rPr>
          <w:rFonts w:hint="eastAsia" w:ascii="宋体" w:hAnsi="宋体"/>
          <w:b/>
          <w:bCs/>
          <w:color w:val="auto"/>
          <w:szCs w:val="21"/>
          <w:highlight w:val="none"/>
        </w:rPr>
        <w:t>投标截止期</w:t>
      </w:r>
      <w:bookmarkEnd w:id="161"/>
      <w:bookmarkEnd w:id="162"/>
      <w:bookmarkEnd w:id="163"/>
      <w:bookmarkEnd w:id="164"/>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投标人应在不迟于</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中规定的截止日期和时间将投标文件递交至招标代理机构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p>
    <w:p>
      <w:pPr>
        <w:numPr>
          <w:ilvl w:val="1"/>
          <w:numId w:val="154"/>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为使投标人准备投标时有充分时间对招标文件的修改部分进行研究，招标采购单位可适当推迟投标截止期，但应发布公告并书面通知所有</w:t>
      </w:r>
      <w:r>
        <w:rPr>
          <w:rFonts w:hint="eastAsia" w:ascii="宋体" w:hAnsi="宋体" w:cs="宋体"/>
          <w:color w:val="auto"/>
          <w:szCs w:val="21"/>
          <w:highlight w:val="none"/>
          <w:lang w:eastAsia="zh-CN"/>
        </w:rPr>
        <w:t>获取</w:t>
      </w:r>
      <w:r>
        <w:rPr>
          <w:rFonts w:hint="eastAsia" w:ascii="宋体" w:hAnsi="宋体" w:cs="宋体"/>
          <w:color w:val="auto"/>
          <w:szCs w:val="21"/>
          <w:highlight w:val="none"/>
          <w:lang w:eastAsia="zh-TW"/>
        </w:rPr>
        <w:t>招标文件的潜在投标人。在此情况下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招标采购单位和投标人受投标截止期制约的所有权利和义务均应延长至新的截止期。</w:t>
      </w:r>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招标代理机构将</w:t>
      </w:r>
      <w:r>
        <w:rPr>
          <w:rFonts w:hint="eastAsia" w:ascii="宋体" w:hAnsi="宋体" w:cs="宋体"/>
          <w:color w:val="auto"/>
          <w:szCs w:val="21"/>
          <w:highlight w:val="none"/>
        </w:rPr>
        <w:t>拒收</w:t>
      </w:r>
      <w:r>
        <w:rPr>
          <w:rFonts w:hint="eastAsia" w:ascii="宋体" w:hAnsi="宋体" w:cs="宋体"/>
          <w:color w:val="auto"/>
          <w:szCs w:val="21"/>
          <w:highlight w:val="none"/>
          <w:lang w:eastAsia="zh-TW"/>
        </w:rPr>
        <w:t>在</w:t>
      </w:r>
      <w:r>
        <w:rPr>
          <w:rFonts w:hint="eastAsia" w:ascii="宋体" w:hAnsi="宋体" w:cs="宋体"/>
          <w:color w:val="auto"/>
          <w:szCs w:val="21"/>
          <w:highlight w:val="none"/>
        </w:rPr>
        <w:t>招标文件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截止时间</w:t>
      </w:r>
      <w:r>
        <w:rPr>
          <w:rFonts w:hint="eastAsia" w:ascii="宋体" w:hAnsi="宋体" w:cs="宋体"/>
          <w:color w:val="auto"/>
          <w:szCs w:val="21"/>
          <w:highlight w:val="none"/>
        </w:rPr>
        <w:t>之</w:t>
      </w:r>
      <w:r>
        <w:rPr>
          <w:rFonts w:hint="eastAsia" w:ascii="宋体" w:hAnsi="宋体" w:cs="宋体"/>
          <w:color w:val="auto"/>
          <w:szCs w:val="21"/>
          <w:highlight w:val="none"/>
          <w:lang w:eastAsia="zh-TW"/>
        </w:rPr>
        <w:t>后</w:t>
      </w:r>
      <w:r>
        <w:rPr>
          <w:rFonts w:hint="eastAsia" w:ascii="宋体" w:hAnsi="宋体" w:cs="宋体"/>
          <w:color w:val="auto"/>
          <w:szCs w:val="21"/>
          <w:highlight w:val="none"/>
        </w:rPr>
        <w:t>送达的投标文件。</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65" w:name="_Toc410722663"/>
      <w:bookmarkStart w:id="166" w:name="_Toc355879692"/>
      <w:bookmarkStart w:id="167" w:name="_Toc7931"/>
      <w:bookmarkStart w:id="168" w:name="_Toc29935"/>
      <w:r>
        <w:rPr>
          <w:rFonts w:hint="eastAsia" w:ascii="宋体" w:hAnsi="宋体"/>
          <w:b/>
          <w:bCs/>
          <w:color w:val="auto"/>
          <w:szCs w:val="21"/>
          <w:highlight w:val="none"/>
        </w:rPr>
        <w:t>投标文件的修改和撤回</w:t>
      </w:r>
      <w:bookmarkEnd w:id="165"/>
      <w:bookmarkEnd w:id="166"/>
      <w:bookmarkEnd w:id="167"/>
      <w:bookmarkEnd w:id="168"/>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在投标截止时间前，可以对所递交的投标文件进行补充、修改或者撤回，并书面通知招标代理机构和招标人。补充、修改的内容应当按招标文件要求签署、盖章，并作为投标文件的组成部分。在投标截止时点之后，投标人不得对其投标文件做任何修改和补充</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从投标截止期至投标人在投标函格式中确定的投标有效期期满这段时间内，投标人不得撤回其投标，否则其投标保证金将按照本须知第1</w:t>
      </w:r>
      <w:r>
        <w:rPr>
          <w:rFonts w:hint="eastAsia" w:ascii="宋体" w:hAnsi="宋体" w:cs="宋体"/>
          <w:color w:val="auto"/>
          <w:szCs w:val="21"/>
          <w:highlight w:val="none"/>
          <w:lang w:val="en-US" w:eastAsia="zh-CN"/>
        </w:rPr>
        <w:t>7.4</w:t>
      </w:r>
      <w:r>
        <w:rPr>
          <w:rFonts w:hint="eastAsia" w:ascii="宋体" w:hAnsi="宋体" w:cs="宋体"/>
          <w:color w:val="auto"/>
          <w:szCs w:val="21"/>
          <w:highlight w:val="none"/>
          <w:lang w:eastAsia="zh-TW"/>
        </w:rPr>
        <w:t>条的规定被没收</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投标人所提交的投标文件在评标结束后，无论中标与否都不退还。</w:t>
      </w:r>
    </w:p>
    <w:p>
      <w:pPr>
        <w:numPr>
          <w:ilvl w:val="0"/>
          <w:numId w:val="153"/>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69" w:name="_Toc355879693"/>
      <w:bookmarkStart w:id="170" w:name="_Toc5299"/>
      <w:bookmarkStart w:id="171" w:name="_Toc14814"/>
      <w:bookmarkStart w:id="172" w:name="_Toc410722664"/>
      <w:r>
        <w:rPr>
          <w:rFonts w:hint="eastAsia" w:ascii="宋体" w:hAnsi="宋体"/>
          <w:b/>
          <w:color w:val="auto"/>
          <w:sz w:val="28"/>
          <w:szCs w:val="28"/>
          <w:highlight w:val="none"/>
          <w:lang w:eastAsia="zh-TW"/>
        </w:rPr>
        <w:t>开标与评标</w:t>
      </w:r>
      <w:bookmarkEnd w:id="169"/>
      <w:bookmarkEnd w:id="170"/>
      <w:bookmarkEnd w:id="171"/>
      <w:bookmarkEnd w:id="172"/>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73" w:name="_Toc20926"/>
      <w:bookmarkStart w:id="174" w:name="_Toc355879694"/>
      <w:bookmarkStart w:id="175" w:name="_Toc410722665"/>
      <w:bookmarkStart w:id="176" w:name="_Toc30483"/>
      <w:r>
        <w:rPr>
          <w:rFonts w:hint="eastAsia" w:ascii="宋体" w:hAnsi="宋体"/>
          <w:b/>
          <w:bCs/>
          <w:color w:val="auto"/>
          <w:szCs w:val="21"/>
          <w:highlight w:val="none"/>
        </w:rPr>
        <w:t>开标</w:t>
      </w:r>
      <w:bookmarkEnd w:id="173"/>
      <w:bookmarkEnd w:id="174"/>
      <w:bookmarkEnd w:id="175"/>
      <w:bookmarkEnd w:id="176"/>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招标代理机构在</w:t>
      </w:r>
      <w:r>
        <w:rPr>
          <w:rFonts w:hint="eastAsia" w:ascii="宋体" w:hAnsi="宋体" w:cs="宋体"/>
          <w:b/>
          <w:bCs/>
          <w:color w:val="auto"/>
          <w:szCs w:val="21"/>
          <w:highlight w:val="none"/>
          <w:lang w:eastAsia="zh-TW"/>
        </w:rPr>
        <w:t>投标</w:t>
      </w:r>
      <w:r>
        <w:rPr>
          <w:rFonts w:hint="eastAsia" w:ascii="宋体" w:hAnsi="宋体" w:cs="宋体"/>
          <w:b/>
          <w:bCs/>
          <w:color w:val="auto"/>
          <w:szCs w:val="21"/>
          <w:highlight w:val="none"/>
          <w:lang w:eastAsia="zh-CN"/>
        </w:rPr>
        <w:t>资料表</w:t>
      </w:r>
      <w:r>
        <w:rPr>
          <w:rFonts w:hint="eastAsia" w:ascii="宋体" w:hAnsi="宋体" w:cs="宋体"/>
          <w:color w:val="auto"/>
          <w:szCs w:val="21"/>
          <w:highlight w:val="none"/>
          <w:lang w:eastAsia="zh-TW"/>
        </w:rPr>
        <w:t>中规定的</w:t>
      </w:r>
      <w:r>
        <w:rPr>
          <w:rFonts w:hint="eastAsia" w:ascii="宋体" w:hAnsi="宋体" w:cs="宋体"/>
          <w:color w:val="auto"/>
          <w:szCs w:val="21"/>
          <w:highlight w:val="none"/>
          <w:lang w:eastAsia="zh-CN"/>
        </w:rPr>
        <w:t>开标</w:t>
      </w:r>
      <w:r>
        <w:rPr>
          <w:rFonts w:hint="eastAsia" w:ascii="宋体" w:hAnsi="宋体" w:cs="宋体"/>
          <w:color w:val="auto"/>
          <w:szCs w:val="21"/>
          <w:highlight w:val="none"/>
          <w:lang w:eastAsia="zh-TW"/>
        </w:rPr>
        <w:t>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和地点组织公开开标。开标时邀请所有投标人代表参加。参加开标的代表应签名报到以证明其出席。</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本项目分为</w:t>
      </w:r>
      <w:r>
        <w:rPr>
          <w:rFonts w:hint="eastAsia" w:ascii="宋体" w:hAnsi="宋体"/>
          <w:color w:val="auto"/>
          <w:szCs w:val="21"/>
          <w:highlight w:val="none"/>
          <w:lang w:eastAsia="zh-CN"/>
        </w:rPr>
        <w:t>包组</w:t>
      </w:r>
      <w:r>
        <w:rPr>
          <w:rFonts w:hint="eastAsia" w:ascii="宋体" w:hAnsi="宋体"/>
          <w:color w:val="auto"/>
          <w:szCs w:val="21"/>
          <w:highlight w:val="none"/>
          <w:lang w:val="en-US" w:eastAsia="zh-CN"/>
        </w:rPr>
        <w:t>一、包组二及包组三</w:t>
      </w:r>
      <w:r>
        <w:rPr>
          <w:rFonts w:hint="eastAsia" w:ascii="宋体" w:hAnsi="宋体"/>
          <w:color w:val="auto"/>
          <w:szCs w:val="21"/>
          <w:highlight w:val="none"/>
        </w:rPr>
        <w:t>，各投标人可以选择一个</w:t>
      </w:r>
      <w:r>
        <w:rPr>
          <w:rFonts w:hint="eastAsia" w:ascii="宋体" w:hAnsi="宋体"/>
          <w:color w:val="auto"/>
          <w:szCs w:val="21"/>
          <w:highlight w:val="none"/>
          <w:lang w:eastAsia="zh-CN"/>
        </w:rPr>
        <w:t>包组</w:t>
      </w:r>
      <w:r>
        <w:rPr>
          <w:rFonts w:hint="eastAsia" w:ascii="宋体" w:hAnsi="宋体"/>
          <w:color w:val="auto"/>
          <w:szCs w:val="21"/>
          <w:highlight w:val="none"/>
        </w:rPr>
        <w:t>或多个</w:t>
      </w:r>
      <w:r>
        <w:rPr>
          <w:rFonts w:hint="eastAsia" w:ascii="宋体" w:hAnsi="宋体"/>
          <w:color w:val="auto"/>
          <w:szCs w:val="21"/>
          <w:highlight w:val="none"/>
          <w:lang w:eastAsia="zh-CN"/>
        </w:rPr>
        <w:t>包组</w:t>
      </w:r>
      <w:r>
        <w:rPr>
          <w:rFonts w:hint="eastAsia" w:ascii="宋体" w:hAnsi="宋体"/>
          <w:color w:val="auto"/>
          <w:szCs w:val="21"/>
          <w:highlight w:val="none"/>
        </w:rPr>
        <w:t>进行投标。</w:t>
      </w:r>
      <w:r>
        <w:rPr>
          <w:rFonts w:hint="eastAsia" w:ascii="宋体" w:hAnsi="宋体"/>
          <w:color w:val="auto"/>
          <w:szCs w:val="21"/>
          <w:highlight w:val="none"/>
          <w:lang w:eastAsia="zh-CN"/>
        </w:rPr>
        <w:t>包组一、包组二及包组三</w:t>
      </w:r>
      <w:r>
        <w:rPr>
          <w:rFonts w:hint="eastAsia" w:ascii="宋体" w:hAnsi="宋体"/>
          <w:color w:val="auto"/>
          <w:szCs w:val="21"/>
          <w:highlight w:val="none"/>
        </w:rPr>
        <w:t>将同时接收投标文件和举行开标仪式。评标时，评标委员会将按</w:t>
      </w:r>
      <w:r>
        <w:rPr>
          <w:rFonts w:hint="eastAsia" w:ascii="宋体" w:hAnsi="宋体"/>
          <w:color w:val="auto"/>
          <w:szCs w:val="21"/>
          <w:highlight w:val="none"/>
          <w:lang w:eastAsia="zh-CN"/>
        </w:rPr>
        <w:t>包组号</w:t>
      </w:r>
      <w:r>
        <w:rPr>
          <w:rFonts w:hint="eastAsia" w:ascii="宋体" w:hAnsi="宋体"/>
          <w:color w:val="auto"/>
          <w:szCs w:val="21"/>
          <w:highlight w:val="none"/>
        </w:rPr>
        <w:t>先后顺序进行评审</w:t>
      </w:r>
      <w:r>
        <w:rPr>
          <w:rFonts w:hint="eastAsia" w:ascii="宋体" w:hAnsi="宋体"/>
          <w:color w:val="auto"/>
          <w:szCs w:val="21"/>
          <w:highlight w:val="none"/>
          <w:lang w:eastAsia="zh-CN"/>
        </w:rPr>
        <w:t>【</w:t>
      </w:r>
      <w:r>
        <w:rPr>
          <w:rFonts w:hint="eastAsia" w:ascii="宋体" w:hAnsi="宋体"/>
          <w:color w:val="auto"/>
          <w:szCs w:val="21"/>
          <w:highlight w:val="none"/>
        </w:rPr>
        <w:t>评标顺序：1）</w:t>
      </w:r>
      <w:r>
        <w:rPr>
          <w:rFonts w:hint="eastAsia" w:ascii="宋体" w:hAnsi="宋体"/>
          <w:color w:val="auto"/>
          <w:szCs w:val="21"/>
          <w:highlight w:val="none"/>
          <w:lang w:eastAsia="zh-CN"/>
        </w:rPr>
        <w:t>包组一</w:t>
      </w:r>
      <w:r>
        <w:rPr>
          <w:rFonts w:hint="eastAsia" w:ascii="宋体" w:hAnsi="宋体"/>
          <w:color w:val="auto"/>
          <w:szCs w:val="21"/>
          <w:highlight w:val="none"/>
        </w:rPr>
        <w:t>；2）</w:t>
      </w:r>
      <w:r>
        <w:rPr>
          <w:rFonts w:hint="eastAsia" w:ascii="宋体" w:hAnsi="宋体"/>
          <w:color w:val="auto"/>
          <w:szCs w:val="21"/>
          <w:highlight w:val="none"/>
          <w:lang w:eastAsia="zh-CN"/>
        </w:rPr>
        <w:t>包组二；</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）包组三】</w:t>
      </w:r>
      <w:r>
        <w:rPr>
          <w:rFonts w:hint="eastAsia" w:ascii="宋体" w:hAnsi="宋体"/>
          <w:color w:val="auto"/>
          <w:szCs w:val="21"/>
          <w:highlight w:val="none"/>
        </w:rPr>
        <w:t>。</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开标时</w:t>
      </w:r>
      <w:r>
        <w:rPr>
          <w:rFonts w:hint="eastAsia" w:ascii="宋体" w:hAnsi="宋体" w:cs="宋体"/>
          <w:color w:val="auto"/>
          <w:szCs w:val="21"/>
          <w:highlight w:val="none"/>
        </w:rPr>
        <w:t>，</w:t>
      </w:r>
      <w:r>
        <w:rPr>
          <w:rFonts w:hint="eastAsia" w:ascii="宋体" w:hAnsi="宋体" w:cs="宋体"/>
          <w:color w:val="auto"/>
          <w:szCs w:val="21"/>
          <w:highlight w:val="none"/>
          <w:lang w:eastAsia="zh-TW"/>
        </w:rPr>
        <w:t>由按</w:t>
      </w: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eastAsia="zh-TW"/>
        </w:rPr>
        <w:t>签到顺序递交投标文件的前三名投标人代表作为全体投标人推选的代表</w:t>
      </w:r>
      <w:r>
        <w:rPr>
          <w:rFonts w:hint="eastAsia" w:ascii="宋体" w:hAnsi="宋体" w:cs="宋体"/>
          <w:color w:val="auto"/>
          <w:szCs w:val="21"/>
          <w:highlight w:val="none"/>
        </w:rPr>
        <w:t>就所有</w:t>
      </w:r>
      <w:r>
        <w:rPr>
          <w:rFonts w:hint="eastAsia" w:ascii="宋体" w:hAnsi="宋体" w:cs="宋体"/>
          <w:color w:val="auto"/>
          <w:szCs w:val="21"/>
          <w:highlight w:val="none"/>
          <w:lang w:eastAsia="zh-TW"/>
        </w:rPr>
        <w:t>投标文件的密封情况</w:t>
      </w:r>
      <w:r>
        <w:rPr>
          <w:rFonts w:hint="eastAsia" w:ascii="宋体" w:hAnsi="宋体" w:cs="宋体"/>
          <w:color w:val="auto"/>
          <w:szCs w:val="21"/>
          <w:highlight w:val="none"/>
        </w:rPr>
        <w:t>进行检查，</w:t>
      </w:r>
      <w:r>
        <w:rPr>
          <w:rFonts w:hint="eastAsia" w:ascii="宋体" w:hAnsi="宋体" w:cs="宋体"/>
          <w:color w:val="auto"/>
          <w:szCs w:val="21"/>
          <w:highlight w:val="none"/>
          <w:lang w:eastAsia="zh-TW"/>
        </w:rPr>
        <w:t>也可以由</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w:t>
      </w:r>
      <w:r>
        <w:rPr>
          <w:rFonts w:hint="eastAsia" w:ascii="宋体" w:hAnsi="宋体" w:cs="宋体"/>
          <w:color w:val="auto"/>
          <w:szCs w:val="21"/>
          <w:highlight w:val="none"/>
        </w:rPr>
        <w:t>单位</w:t>
      </w:r>
      <w:r>
        <w:rPr>
          <w:rFonts w:hint="eastAsia" w:ascii="宋体" w:hAnsi="宋体" w:cs="宋体"/>
          <w:color w:val="auto"/>
          <w:szCs w:val="21"/>
          <w:highlight w:val="none"/>
          <w:lang w:eastAsia="zh-TW"/>
        </w:rPr>
        <w:t>委托的机构检查并见证，经确认无误后由招标工作人员当众拆封，宣读投标人名称、投标价格、投标文件的其他主要内容和招标文件允许提供的备选投标方案</w:t>
      </w:r>
      <w:r>
        <w:rPr>
          <w:rFonts w:hint="eastAsia" w:ascii="宋体" w:hAnsi="宋体" w:cs="宋体"/>
          <w:color w:val="auto"/>
          <w:szCs w:val="21"/>
          <w:highlight w:val="none"/>
        </w:rPr>
        <w:t>，</w:t>
      </w:r>
      <w:r>
        <w:rPr>
          <w:rFonts w:hint="eastAsia" w:ascii="宋体" w:hAnsi="宋体" w:cs="宋体"/>
          <w:color w:val="auto"/>
          <w:szCs w:val="21"/>
          <w:highlight w:val="none"/>
          <w:lang w:eastAsia="zh-TW"/>
        </w:rPr>
        <w:t>以及招标代理机构认为合适的其他内容。招标代理机构当场宣布密封结果，投标人代表需签署投标文件密封确认</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在开标时</w:t>
      </w:r>
      <w:r>
        <w:rPr>
          <w:rFonts w:hint="eastAsia" w:ascii="宋体" w:hAnsi="宋体" w:cs="宋体"/>
          <w:color w:val="auto"/>
          <w:szCs w:val="21"/>
          <w:highlight w:val="none"/>
        </w:rPr>
        <w:t>，未宣读的投标价格、价格折扣和招标文件允许提供的备选投标方案等实质内容，</w:t>
      </w:r>
      <w:r>
        <w:rPr>
          <w:rFonts w:hint="eastAsia" w:ascii="宋体" w:hAnsi="宋体" w:cs="宋体"/>
          <w:color w:val="auto"/>
          <w:szCs w:val="21"/>
          <w:highlight w:val="none"/>
          <w:lang w:eastAsia="zh-TW"/>
        </w:rPr>
        <w:t>评标时不予</w:t>
      </w:r>
      <w:r>
        <w:rPr>
          <w:rFonts w:hint="eastAsia" w:ascii="宋体" w:hAnsi="宋体" w:cs="宋体"/>
          <w:color w:val="auto"/>
          <w:szCs w:val="21"/>
          <w:highlight w:val="none"/>
        </w:rPr>
        <w:t>承认</w:t>
      </w:r>
      <w:r>
        <w:rPr>
          <w:rFonts w:hint="eastAsia" w:ascii="宋体" w:hAnsi="宋体" w:cs="宋体"/>
          <w:color w:val="auto"/>
          <w:szCs w:val="21"/>
          <w:highlight w:val="none"/>
          <w:lang w:eastAsia="zh-TW"/>
        </w:rPr>
        <w:t>。</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招标代理机构将做开标记录</w:t>
      </w:r>
      <w:r>
        <w:rPr>
          <w:rFonts w:hint="eastAsia" w:ascii="宋体" w:hAnsi="宋体" w:cs="宋体"/>
          <w:color w:val="auto"/>
          <w:szCs w:val="21"/>
          <w:highlight w:val="none"/>
        </w:rPr>
        <w:t>，开标记录由投标人代表和有关人员共同签字确认</w:t>
      </w:r>
      <w:r>
        <w:rPr>
          <w:rFonts w:hint="eastAsia" w:ascii="宋体" w:hAnsi="宋体" w:cs="宋体"/>
          <w:color w:val="auto"/>
          <w:szCs w:val="21"/>
          <w:highlight w:val="none"/>
          <w:lang w:eastAsia="zh-TW"/>
        </w:rPr>
        <w:t>。如投标人代表对开标记录不签名确认或投标人未参加开标的，视同认可开标结果</w:t>
      </w:r>
      <w:r>
        <w:rPr>
          <w:rFonts w:hint="eastAsia" w:ascii="宋体" w:hAnsi="宋体" w:cs="宋体"/>
          <w:color w:val="auto"/>
          <w:szCs w:val="21"/>
          <w:highlight w:val="none"/>
          <w:lang w:eastAsia="zh-CN"/>
        </w:rPr>
        <w:t>。</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CN"/>
        </w:rPr>
        <w:t>投标人对开标有异议的，应当在开标现场提出，招标人当场作出答复，并制作记录。当开标过程发生争议无法确定投标文件的有效性时，则提交评标委员会裁决。</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77" w:name="_Toc22282"/>
      <w:bookmarkStart w:id="178" w:name="_Toc355879695"/>
      <w:bookmarkStart w:id="179" w:name="_Toc845"/>
      <w:bookmarkStart w:id="180" w:name="_Toc410722666"/>
      <w:r>
        <w:rPr>
          <w:rFonts w:hint="eastAsia" w:ascii="宋体" w:hAnsi="宋体"/>
          <w:b/>
          <w:bCs/>
          <w:color w:val="auto"/>
          <w:szCs w:val="21"/>
          <w:highlight w:val="none"/>
        </w:rPr>
        <w:t>评标委员会和评标方法</w:t>
      </w:r>
      <w:bookmarkEnd w:id="177"/>
      <w:bookmarkEnd w:id="178"/>
      <w:bookmarkEnd w:id="179"/>
      <w:bookmarkEnd w:id="180"/>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评标</w:t>
      </w:r>
      <w:r>
        <w:rPr>
          <w:rFonts w:hint="eastAsia" w:ascii="宋体" w:hAnsi="宋体" w:cs="宋体"/>
          <w:color w:val="auto"/>
          <w:szCs w:val="21"/>
          <w:highlight w:val="none"/>
        </w:rPr>
        <w:t>参照相关</w:t>
      </w:r>
      <w:r>
        <w:rPr>
          <w:rFonts w:hint="eastAsia" w:ascii="宋体" w:hAnsi="宋体" w:cs="宋体"/>
          <w:color w:val="auto"/>
          <w:szCs w:val="21"/>
          <w:highlight w:val="none"/>
          <w:lang w:eastAsia="zh-TW"/>
        </w:rPr>
        <w:t>法律、法规、规章、政策的规定，组建的评标委员会负责。评标委员会成员由</w:t>
      </w:r>
      <w:r>
        <w:rPr>
          <w:rFonts w:hint="eastAsia" w:ascii="宋体" w:hAnsi="宋体" w:cs="宋体"/>
          <w:color w:val="auto"/>
          <w:szCs w:val="21"/>
          <w:highlight w:val="none"/>
        </w:rPr>
        <w:t>有关</w:t>
      </w:r>
      <w:r>
        <w:rPr>
          <w:rFonts w:hint="eastAsia" w:ascii="宋体" w:hAnsi="宋体" w:cs="宋体"/>
          <w:color w:val="auto"/>
          <w:szCs w:val="21"/>
          <w:highlight w:val="none"/>
          <w:lang w:eastAsia="zh-TW"/>
        </w:rPr>
        <w:t>技术、经济等方面的专家组成，专家人数构成将按照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中确定。评标委员会成员依法从</w:t>
      </w:r>
      <w:r>
        <w:rPr>
          <w:rFonts w:hint="eastAsia" w:ascii="宋体" w:hAnsi="宋体" w:cs="宋体"/>
          <w:color w:val="auto"/>
          <w:szCs w:val="21"/>
          <w:highlight w:val="none"/>
          <w:lang w:eastAsia="zh-CN"/>
        </w:rPr>
        <w:t>广东省综合评标评审</w:t>
      </w:r>
      <w:r>
        <w:rPr>
          <w:rFonts w:hint="eastAsia" w:ascii="宋体" w:hAnsi="宋体" w:cs="宋体"/>
          <w:color w:val="auto"/>
          <w:szCs w:val="21"/>
          <w:highlight w:val="none"/>
          <w:lang w:eastAsia="zh-TW"/>
        </w:rPr>
        <w:t>专家库中随机抽取。</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评标委员会名单在</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结果确定前严格保密。评审专家有下列情形之一的，受到邀请应主动提出回避，</w:t>
      </w:r>
      <w:r>
        <w:rPr>
          <w:rFonts w:hint="eastAsia" w:ascii="宋体" w:hAnsi="宋体" w:cs="宋体"/>
          <w:color w:val="auto"/>
          <w:szCs w:val="21"/>
          <w:highlight w:val="none"/>
          <w:lang w:eastAsia="zh-CN"/>
        </w:rPr>
        <w:t>招标</w:t>
      </w:r>
      <w:r>
        <w:rPr>
          <w:rFonts w:hint="eastAsia" w:ascii="宋体" w:hAnsi="宋体" w:cs="宋体"/>
          <w:color w:val="auto"/>
          <w:szCs w:val="21"/>
          <w:highlight w:val="none"/>
          <w:lang w:eastAsia="zh-TW"/>
        </w:rPr>
        <w:t>当事人也可以要求该评审专家回避：</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三年内曾在参加该采购项目供应商中任职或担任顾问的；</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配偶或直系亲属在参加该采购项目的供应商中任职或担任顾问的；</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与参加该采购项目供应商发生过法律纠纷的；</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任职单位与招标人或参与该采购项目供应商存在行政隶属关系的；</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参与招标文件论证的；</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法律、法规、规章规定应当回避以及其他可能影响公正评审的。</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评标委员会和有关工作人员不得透露对投标文件的评审和比较以及与评标有关的其他情况。</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评标委员会将按照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中确定的评标方法</w:t>
      </w:r>
      <w:r>
        <w:rPr>
          <w:rFonts w:hint="eastAsia" w:ascii="宋体" w:hAnsi="宋体" w:cs="宋体"/>
          <w:color w:val="auto"/>
          <w:szCs w:val="21"/>
          <w:highlight w:val="none"/>
        </w:rPr>
        <w:t>和</w:t>
      </w:r>
      <w:r>
        <w:rPr>
          <w:rFonts w:hint="eastAsia" w:ascii="宋体" w:hAnsi="宋体" w:cs="宋体"/>
          <w:color w:val="auto"/>
          <w:szCs w:val="21"/>
          <w:highlight w:val="none"/>
          <w:lang w:eastAsia="zh-TW"/>
        </w:rPr>
        <w:t>本招标文件第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章中规定</w:t>
      </w:r>
      <w:r>
        <w:rPr>
          <w:rFonts w:hint="eastAsia" w:ascii="宋体" w:hAnsi="宋体" w:cs="宋体"/>
          <w:color w:val="auto"/>
          <w:szCs w:val="21"/>
          <w:highlight w:val="none"/>
        </w:rPr>
        <w:t>的评标</w:t>
      </w:r>
      <w:r>
        <w:rPr>
          <w:rFonts w:hint="eastAsia" w:ascii="宋体" w:hAnsi="宋体" w:cs="宋体"/>
          <w:color w:val="auto"/>
          <w:szCs w:val="21"/>
          <w:highlight w:val="none"/>
          <w:lang w:eastAsia="zh-TW"/>
        </w:rPr>
        <w:t>标准进行评标。</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81" w:name="_Toc410722667"/>
      <w:bookmarkStart w:id="182" w:name="_Toc2748"/>
      <w:bookmarkStart w:id="183" w:name="_Toc355879696"/>
      <w:bookmarkStart w:id="184" w:name="_Toc7565"/>
      <w:r>
        <w:rPr>
          <w:rFonts w:hint="eastAsia" w:ascii="宋体" w:hAnsi="宋体"/>
          <w:b/>
          <w:bCs/>
          <w:color w:val="auto"/>
          <w:szCs w:val="21"/>
          <w:highlight w:val="none"/>
        </w:rPr>
        <w:t>投标文件的初审</w:t>
      </w:r>
      <w:bookmarkEnd w:id="181"/>
      <w:bookmarkEnd w:id="182"/>
      <w:bookmarkEnd w:id="183"/>
      <w:bookmarkEnd w:id="184"/>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评标委员会将</w:t>
      </w:r>
      <w:r>
        <w:rPr>
          <w:rFonts w:hint="eastAsia" w:ascii="宋体" w:hAnsi="宋体" w:cs="宋体"/>
          <w:color w:val="auto"/>
          <w:szCs w:val="21"/>
          <w:highlight w:val="none"/>
        </w:rPr>
        <w:t>依法</w:t>
      </w:r>
      <w:r>
        <w:rPr>
          <w:rFonts w:hint="eastAsia" w:ascii="宋体" w:hAnsi="宋体" w:cs="宋体"/>
          <w:color w:val="auto"/>
          <w:szCs w:val="21"/>
          <w:highlight w:val="none"/>
          <w:lang w:eastAsia="zh-TW"/>
        </w:rPr>
        <w:t>审查投标文件是否完整、文件签署是否合格、是否按招标文件的规定密封和标记、投标人是否</w:t>
      </w:r>
      <w:r>
        <w:rPr>
          <w:rFonts w:hint="eastAsia" w:ascii="宋体" w:hAnsi="宋体" w:cs="宋体"/>
          <w:color w:val="auto"/>
          <w:szCs w:val="21"/>
          <w:highlight w:val="none"/>
        </w:rPr>
        <w:t>缴纳</w:t>
      </w:r>
      <w:r>
        <w:rPr>
          <w:rFonts w:hint="eastAsia" w:ascii="宋体" w:hAnsi="宋体" w:cs="宋体"/>
          <w:color w:val="auto"/>
          <w:szCs w:val="21"/>
          <w:highlight w:val="none"/>
          <w:lang w:eastAsia="zh-TW"/>
        </w:rPr>
        <w:t>了投标保证金、有无计算</w:t>
      </w:r>
      <w:r>
        <w:rPr>
          <w:rFonts w:hint="eastAsia" w:ascii="宋体" w:hAnsi="宋体" w:cs="宋体"/>
          <w:color w:val="auto"/>
          <w:szCs w:val="21"/>
          <w:highlight w:val="none"/>
        </w:rPr>
        <w:t>上</w:t>
      </w:r>
      <w:r>
        <w:rPr>
          <w:rFonts w:hint="eastAsia" w:ascii="宋体" w:hAnsi="宋体" w:cs="宋体"/>
          <w:color w:val="auto"/>
          <w:szCs w:val="21"/>
          <w:highlight w:val="none"/>
          <w:lang w:eastAsia="zh-TW"/>
        </w:rPr>
        <w:t>的错误等。</w:t>
      </w:r>
    </w:p>
    <w:p>
      <w:pPr>
        <w:numPr>
          <w:ilvl w:val="1"/>
          <w:numId w:val="154"/>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cs="宋体"/>
          <w:color w:val="auto"/>
          <w:szCs w:val="21"/>
          <w:highlight w:val="none"/>
        </w:rPr>
        <w:t>。如果投标人不接受对其错误的更正，其投标将被视为无效投标或确定为投标无效。</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对于投标文件中不构成实质性偏差的不正规、不一致或不规则</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评标委员会可以接受</w:t>
      </w:r>
      <w:r>
        <w:rPr>
          <w:rFonts w:hint="eastAsia" w:ascii="宋体" w:hAnsi="宋体" w:cs="宋体"/>
          <w:color w:val="auto"/>
          <w:szCs w:val="21"/>
          <w:highlight w:val="none"/>
        </w:rPr>
        <w:t>，</w:t>
      </w:r>
      <w:r>
        <w:rPr>
          <w:rFonts w:hint="eastAsia" w:ascii="宋体" w:hAnsi="宋体" w:cs="宋体"/>
          <w:color w:val="auto"/>
          <w:szCs w:val="21"/>
          <w:highlight w:val="none"/>
          <w:lang w:eastAsia="zh-TW"/>
        </w:rPr>
        <w:t>但这种接受不能损害或影响任何投标人的相对排序。</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在详细评标之前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评标委员会要审查每份投标文件是否实质上响应了招标文件的要求。实质上</w:t>
      </w:r>
      <w:r>
        <w:rPr>
          <w:rFonts w:hint="eastAsia" w:ascii="宋体" w:hAnsi="宋体" w:cs="宋体"/>
          <w:color w:val="auto"/>
          <w:szCs w:val="21"/>
          <w:highlight w:val="none"/>
        </w:rPr>
        <w:t>响</w:t>
      </w:r>
      <w:r>
        <w:rPr>
          <w:rFonts w:hint="eastAsia" w:ascii="宋体" w:hAnsi="宋体" w:cs="宋体"/>
          <w:color w:val="auto"/>
          <w:szCs w:val="21"/>
          <w:highlight w:val="none"/>
          <w:lang w:eastAsia="zh-TW"/>
        </w:rPr>
        <w:t>应的投标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应该是与招标文件要求的关键条款</w:t>
      </w:r>
      <w:r>
        <w:rPr>
          <w:rFonts w:hint="eastAsia" w:ascii="宋体" w:hAnsi="宋体" w:cs="宋体"/>
          <w:color w:val="auto"/>
          <w:szCs w:val="21"/>
          <w:highlight w:val="none"/>
        </w:rPr>
        <w:t>、</w:t>
      </w:r>
      <w:r>
        <w:rPr>
          <w:rFonts w:hint="eastAsia" w:ascii="宋体" w:hAnsi="宋体" w:cs="宋体"/>
          <w:color w:val="auto"/>
          <w:szCs w:val="21"/>
          <w:highlight w:val="none"/>
          <w:lang w:eastAsia="zh-TW"/>
        </w:rPr>
        <w:t>条件和规格相符</w:t>
      </w:r>
      <w:r>
        <w:rPr>
          <w:rFonts w:hint="eastAsia" w:ascii="宋体" w:hAnsi="宋体" w:cs="宋体"/>
          <w:color w:val="auto"/>
          <w:szCs w:val="21"/>
          <w:highlight w:val="none"/>
        </w:rPr>
        <w:t>或优于，</w:t>
      </w:r>
      <w:r>
        <w:rPr>
          <w:rFonts w:hint="eastAsia" w:ascii="宋体" w:hAnsi="宋体" w:cs="宋体"/>
          <w:color w:val="auto"/>
          <w:szCs w:val="21"/>
          <w:highlight w:val="none"/>
          <w:lang w:eastAsia="zh-TW"/>
        </w:rPr>
        <w:t>没有</w:t>
      </w:r>
      <w:r>
        <w:rPr>
          <w:rFonts w:hint="eastAsia" w:ascii="宋体" w:hAnsi="宋体" w:cs="宋体"/>
          <w:color w:val="auto"/>
          <w:szCs w:val="21"/>
          <w:highlight w:val="none"/>
        </w:rPr>
        <w:t>实质</w:t>
      </w:r>
      <w:r>
        <w:rPr>
          <w:rFonts w:hint="eastAsia" w:ascii="宋体" w:hAnsi="宋体" w:cs="宋体"/>
          <w:color w:val="auto"/>
          <w:szCs w:val="21"/>
          <w:highlight w:val="none"/>
          <w:lang w:eastAsia="zh-TW"/>
        </w:rPr>
        <w:t>偏离的投标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。评标委员会决定投标的响应性只根据投标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本身的真实无误的内容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而不依据外部的证据</w:t>
      </w:r>
      <w:r>
        <w:rPr>
          <w:rFonts w:hint="eastAsia" w:ascii="宋体" w:hAnsi="宋体" w:cs="宋体"/>
          <w:color w:val="auto"/>
          <w:szCs w:val="21"/>
          <w:highlight w:val="none"/>
        </w:rPr>
        <w:t>，</w:t>
      </w:r>
      <w:r>
        <w:rPr>
          <w:rFonts w:hint="eastAsia" w:ascii="宋体" w:hAnsi="宋体" w:cs="宋体"/>
          <w:color w:val="auto"/>
          <w:szCs w:val="21"/>
          <w:highlight w:val="none"/>
          <w:lang w:eastAsia="zh-TW"/>
        </w:rPr>
        <w:t>但投标有不真实不正确的内容时除外。</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实质上没有响应招标文件要求的投标将</w:t>
      </w:r>
      <w:r>
        <w:rPr>
          <w:rFonts w:hint="eastAsia" w:ascii="宋体" w:hAnsi="宋体" w:cs="宋体"/>
          <w:color w:val="auto"/>
          <w:szCs w:val="21"/>
          <w:highlight w:val="none"/>
        </w:rPr>
        <w:t>被视为无效投标</w:t>
      </w:r>
      <w:r>
        <w:rPr>
          <w:rFonts w:hint="eastAsia" w:ascii="宋体" w:hAnsi="宋体" w:cs="宋体"/>
          <w:color w:val="auto"/>
          <w:szCs w:val="21"/>
          <w:highlight w:val="none"/>
          <w:lang w:eastAsia="zh-TW"/>
        </w:rPr>
        <w:t>。投标人不得通过修正或撤销不合要求的偏离或保留从而使其投标成为实质上响应的投标。</w:t>
      </w:r>
    </w:p>
    <w:p>
      <w:pPr>
        <w:numPr>
          <w:ilvl w:val="2"/>
          <w:numId w:val="154"/>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在资格性审查、符合性检查时，未能通过资格性、符合性审查被认定为无效投标，具体条款详见招标文件第四章</w:t>
      </w:r>
      <w:r>
        <w:rPr>
          <w:rFonts w:hint="eastAsia" w:ascii="宋体" w:hAnsi="宋体" w:cs="宋体"/>
          <w:color w:val="auto"/>
          <w:szCs w:val="21"/>
          <w:highlight w:val="none"/>
          <w:lang w:eastAsia="zh-CN"/>
        </w:rPr>
        <w:t>中</w:t>
      </w:r>
      <w:r>
        <w:rPr>
          <w:rFonts w:hint="eastAsia" w:ascii="宋体" w:hAnsi="宋体" w:cs="宋体"/>
          <w:color w:val="auto"/>
          <w:szCs w:val="21"/>
          <w:highlight w:val="none"/>
          <w:lang w:eastAsia="zh-TW"/>
        </w:rPr>
        <w:t>《资格性和符合性审查条款》</w:t>
      </w:r>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投标人有以他人的名义投标、串通投标、弄虚作假等违法行为，其投标无效</w:t>
      </w:r>
      <w:r>
        <w:rPr>
          <w:rFonts w:hint="eastAsia" w:ascii="宋体" w:hAnsi="宋体" w:eastAsia="宋体" w:cs="宋体"/>
          <w:color w:val="auto"/>
          <w:szCs w:val="21"/>
          <w:highlight w:val="none"/>
          <w:lang w:eastAsia="zh-CN"/>
        </w:rPr>
        <w:t>：</w:t>
      </w:r>
    </w:p>
    <w:p>
      <w:pPr>
        <w:numPr>
          <w:ilvl w:val="2"/>
          <w:numId w:val="154"/>
        </w:numPr>
        <w:tabs>
          <w:tab w:val="left" w:pos="851"/>
          <w:tab w:val="left" w:pos="1418"/>
        </w:tabs>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使用通过受让或者租借等方式获取的资格、资质证书投标的，属于以他人名义投标。</w:t>
      </w:r>
    </w:p>
    <w:p>
      <w:pPr>
        <w:numPr>
          <w:ilvl w:val="2"/>
          <w:numId w:val="154"/>
        </w:numPr>
        <w:tabs>
          <w:tab w:val="left" w:pos="851"/>
          <w:tab w:val="left" w:pos="1418"/>
        </w:tabs>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有下列情形之一的，属于投标人相互串通投标：</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1）投标人之间协商投标报价等投标文件的实质性内容；</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2）投标人之间约定中标人；</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3）投标人之间约定部分投标人放弃投标或者中标；</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4）属于同一集团、协会、商会等组织成员的投标人按照该组织要求协同投标；</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5）投标人之间为谋取中标或者排斥特定投标人而采取的其他联合行动。</w:t>
      </w:r>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有下列情形之一的，视为投标人串通投标，其投标无效：</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不同投标人的投标文件由同一单位或者个人编制</w:t>
      </w:r>
      <w:r>
        <w:rPr>
          <w:rFonts w:hint="eastAsia" w:ascii="宋体" w:hAnsi="宋体"/>
          <w:color w:val="auto"/>
          <w:kern w:val="0"/>
          <w:szCs w:val="21"/>
          <w:highlight w:val="none"/>
        </w:rPr>
        <w:t>；</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不同投标人委托同一单位或者个人办理投标事宜</w:t>
      </w:r>
      <w:r>
        <w:rPr>
          <w:rFonts w:hint="eastAsia" w:ascii="宋体" w:hAnsi="宋体"/>
          <w:color w:val="auto"/>
          <w:kern w:val="0"/>
          <w:szCs w:val="21"/>
          <w:highlight w:val="none"/>
        </w:rPr>
        <w:t>；</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不同投标人的投标文件载明的项目管理成员或者联系人员为同一人</w:t>
      </w:r>
      <w:r>
        <w:rPr>
          <w:rFonts w:hint="eastAsia" w:ascii="宋体" w:hAnsi="宋体"/>
          <w:color w:val="auto"/>
          <w:kern w:val="0"/>
          <w:szCs w:val="21"/>
          <w:highlight w:val="none"/>
        </w:rPr>
        <w:t>；</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不同投标人的投标文件异常一致或者投标报价呈规律性差异</w:t>
      </w:r>
      <w:r>
        <w:rPr>
          <w:rFonts w:hint="eastAsia" w:ascii="宋体" w:hAnsi="宋体"/>
          <w:color w:val="auto"/>
          <w:kern w:val="0"/>
          <w:szCs w:val="21"/>
          <w:highlight w:val="none"/>
        </w:rPr>
        <w:t>；</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不同投标人的投标文件相互混装</w:t>
      </w:r>
      <w:r>
        <w:rPr>
          <w:rFonts w:hint="eastAsia" w:ascii="宋体" w:hAnsi="宋体"/>
          <w:color w:val="auto"/>
          <w:kern w:val="0"/>
          <w:szCs w:val="21"/>
          <w:highlight w:val="none"/>
        </w:rPr>
        <w:t>；</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不同投标人的投标保证金从同一单位或者个人的账户转出。</w:t>
      </w:r>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投标人有下列情形之一的，属于以其他方式弄虚作假的行为：</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1）使用伪造、变造的许可证件；</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2）提供虚假的财务状况或者业绩；</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3）提供虚假的项目负责人或者主要技术人员简历、劳动关系证明；</w:t>
      </w:r>
    </w:p>
    <w:p>
      <w:pPr>
        <w:autoSpaceDE w:val="0"/>
        <w:autoSpaceDN w:val="0"/>
        <w:adjustRightInd w:val="0"/>
        <w:snapToGrid w:val="0"/>
        <w:spacing w:line="360" w:lineRule="auto"/>
        <w:ind w:left="420" w:leftChars="200" w:right="32" w:firstLine="420" w:firstLineChars="200"/>
        <w:rPr>
          <w:rFonts w:ascii="宋体" w:hAnsi="宋体"/>
          <w:color w:val="auto"/>
          <w:kern w:val="0"/>
          <w:szCs w:val="21"/>
          <w:highlight w:val="none"/>
        </w:rPr>
      </w:pPr>
      <w:r>
        <w:rPr>
          <w:rFonts w:hint="eastAsia" w:ascii="宋体" w:hAnsi="宋体"/>
          <w:color w:val="auto"/>
          <w:kern w:val="0"/>
          <w:szCs w:val="21"/>
          <w:highlight w:val="none"/>
        </w:rPr>
        <w:t>4）提供虚假的信用状况；</w:t>
      </w:r>
    </w:p>
    <w:p>
      <w:pPr>
        <w:autoSpaceDE w:val="0"/>
        <w:autoSpaceDN w:val="0"/>
        <w:adjustRightInd w:val="0"/>
        <w:snapToGrid w:val="0"/>
        <w:spacing w:line="360" w:lineRule="auto"/>
        <w:ind w:left="420" w:leftChars="200" w:right="3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5）其他弄虚作假的行为。</w:t>
      </w:r>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投标人在招投标采购过程中提供不真实的材料，无论其材料是否重要，招标人均有权拒绝，并取消投标人的投标资格，投标人需承担相应的后果及法律责任。</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85" w:name="_Toc23945"/>
      <w:bookmarkStart w:id="186" w:name="_Toc20288"/>
      <w:bookmarkStart w:id="187" w:name="_Toc410722668"/>
      <w:bookmarkStart w:id="188" w:name="_Toc355879697"/>
      <w:r>
        <w:rPr>
          <w:rFonts w:hint="eastAsia" w:ascii="宋体" w:hAnsi="宋体"/>
          <w:b/>
          <w:bCs/>
          <w:color w:val="auto"/>
          <w:szCs w:val="21"/>
          <w:highlight w:val="none"/>
        </w:rPr>
        <w:t>投标文件的澄清</w:t>
      </w:r>
      <w:bookmarkEnd w:id="185"/>
      <w:bookmarkEnd w:id="186"/>
      <w:bookmarkEnd w:id="187"/>
      <w:bookmarkEnd w:id="188"/>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color w:val="auto"/>
          <w:szCs w:val="21"/>
          <w:highlight w:val="none"/>
        </w:rPr>
        <w:t>不得超出投标文件的范围或者改变投标文件的实质性内容。</w:t>
      </w:r>
      <w:r>
        <w:rPr>
          <w:rFonts w:hint="eastAsia" w:ascii="宋体" w:hAnsi="宋体" w:cs="宋体"/>
          <w:color w:val="auto"/>
          <w:szCs w:val="21"/>
          <w:highlight w:val="none"/>
          <w:lang w:eastAsia="zh-TW"/>
        </w:rPr>
        <w:t>投标人的澄清、说明或者补正应当采用书面形式</w:t>
      </w:r>
      <w:r>
        <w:rPr>
          <w:rFonts w:hint="eastAsia" w:ascii="宋体" w:hAnsi="宋体" w:cs="宋体"/>
          <w:color w:val="auto"/>
          <w:szCs w:val="21"/>
          <w:highlight w:val="none"/>
        </w:rPr>
        <w:t>，</w:t>
      </w:r>
      <w:r>
        <w:rPr>
          <w:rFonts w:hint="eastAsia" w:ascii="宋体" w:hAnsi="宋体" w:cs="宋体"/>
          <w:color w:val="auto"/>
          <w:szCs w:val="21"/>
          <w:highlight w:val="none"/>
          <w:lang w:eastAsia="zh-TW"/>
        </w:rPr>
        <w:t>由其授权的代表签字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，并不得超出投标文件的范围或者改变投标文件的实质性内容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有关澄清的答复均应由投标人的法定代表人或</w:t>
      </w:r>
      <w:r>
        <w:rPr>
          <w:rFonts w:hint="eastAsia" w:ascii="宋体" w:hAnsi="宋体" w:cs="宋体"/>
          <w:color w:val="auto"/>
          <w:szCs w:val="21"/>
          <w:highlight w:val="none"/>
        </w:rPr>
        <w:t>其</w:t>
      </w:r>
      <w:r>
        <w:rPr>
          <w:rFonts w:hint="eastAsia" w:ascii="宋体" w:hAnsi="宋体" w:cs="宋体"/>
          <w:color w:val="auto"/>
          <w:szCs w:val="21"/>
          <w:highlight w:val="none"/>
          <w:lang w:eastAsia="zh-TW"/>
        </w:rPr>
        <w:t>授权代表签字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的书面形式作出。</w:t>
      </w:r>
    </w:p>
    <w:p>
      <w:pPr>
        <w:numPr>
          <w:ilvl w:val="1"/>
          <w:numId w:val="154"/>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投标人的澄清文件是其投标文件的组成部分。</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89" w:name="_Toc20777"/>
      <w:bookmarkStart w:id="190" w:name="_Toc410722669"/>
      <w:bookmarkStart w:id="191" w:name="_Toc8581"/>
      <w:bookmarkStart w:id="192" w:name="_Toc355879698"/>
      <w:r>
        <w:rPr>
          <w:rFonts w:hint="eastAsia" w:ascii="宋体" w:hAnsi="宋体"/>
          <w:b/>
          <w:bCs/>
          <w:color w:val="auto"/>
          <w:szCs w:val="21"/>
          <w:highlight w:val="none"/>
        </w:rPr>
        <w:t>投标文件详细评价</w:t>
      </w:r>
      <w:bookmarkEnd w:id="189"/>
      <w:bookmarkEnd w:id="190"/>
      <w:bookmarkEnd w:id="191"/>
      <w:bookmarkEnd w:id="192"/>
    </w:p>
    <w:p>
      <w:pPr>
        <w:numPr>
          <w:ilvl w:val="1"/>
          <w:numId w:val="154"/>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评</w:t>
      </w:r>
      <w:r>
        <w:rPr>
          <w:rFonts w:hint="eastAsia" w:ascii="宋体" w:hAnsi="宋体" w:cs="宋体"/>
          <w:color w:val="auto"/>
          <w:szCs w:val="21"/>
          <w:highlight w:val="none"/>
          <w:lang w:eastAsia="zh-TW"/>
        </w:rPr>
        <w:t>标委员会将</w:t>
      </w:r>
      <w:r>
        <w:rPr>
          <w:rFonts w:hint="eastAsia" w:ascii="宋体" w:hAnsi="宋体" w:cs="宋体"/>
          <w:color w:val="auto"/>
          <w:szCs w:val="21"/>
          <w:highlight w:val="none"/>
        </w:rPr>
        <w:t>对通过</w:t>
      </w:r>
      <w:r>
        <w:rPr>
          <w:rFonts w:hint="eastAsia" w:ascii="宋体" w:hAnsi="宋体" w:cs="宋体"/>
          <w:color w:val="auto"/>
          <w:szCs w:val="21"/>
          <w:highlight w:val="none"/>
          <w:lang w:eastAsia="zh-TW"/>
        </w:rPr>
        <w:t>资格性、符合性审查的投标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进行</w:t>
      </w:r>
      <w:r>
        <w:rPr>
          <w:rFonts w:hint="eastAsia" w:ascii="宋体" w:hAnsi="宋体" w:cs="宋体"/>
          <w:color w:val="auto"/>
          <w:szCs w:val="21"/>
          <w:highlight w:val="none"/>
        </w:rPr>
        <w:t>详细</w:t>
      </w:r>
      <w:r>
        <w:rPr>
          <w:rFonts w:hint="eastAsia" w:ascii="宋体" w:hAnsi="宋体" w:cs="宋体"/>
          <w:color w:val="auto"/>
          <w:szCs w:val="21"/>
          <w:highlight w:val="none"/>
          <w:lang w:eastAsia="zh-TW"/>
        </w:rPr>
        <w:t>评价和比较</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93" w:name="_Toc31067"/>
      <w:bookmarkStart w:id="194" w:name="_Toc21078"/>
      <w:bookmarkStart w:id="195" w:name="_Toc355879699"/>
      <w:bookmarkStart w:id="196" w:name="_Toc410722670"/>
      <w:r>
        <w:rPr>
          <w:rFonts w:hint="eastAsia" w:ascii="宋体" w:hAnsi="宋体"/>
          <w:b/>
          <w:bCs/>
          <w:color w:val="auto"/>
          <w:szCs w:val="21"/>
          <w:highlight w:val="none"/>
        </w:rPr>
        <w:t>定标原则与授标</w:t>
      </w:r>
      <w:bookmarkEnd w:id="193"/>
      <w:bookmarkEnd w:id="194"/>
      <w:bookmarkEnd w:id="195"/>
      <w:bookmarkEnd w:id="196"/>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评标委员会按照招标文件确定的评标方法、步骤、标准，对投标文件进行评审，提出书面评标报告。</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b/>
          <w:color w:val="auto"/>
          <w:szCs w:val="21"/>
          <w:highlight w:val="none"/>
        </w:rPr>
        <w:t>投标资料表</w:t>
      </w:r>
      <w:r>
        <w:rPr>
          <w:rFonts w:hint="eastAsia" w:ascii="宋体" w:hAnsi="宋体"/>
          <w:color w:val="auto"/>
          <w:szCs w:val="21"/>
          <w:highlight w:val="none"/>
        </w:rPr>
        <w:t>另有规定的，按投标资料表执行。</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评标委员会决定投标的响应性只根据投标文件中提供的材料内容，而不依据外部的材料证据。</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评标委员会提</w:t>
      </w:r>
      <w:r>
        <w:rPr>
          <w:rFonts w:hint="eastAsia" w:ascii="宋体" w:hAnsi="宋体"/>
          <w:color w:val="auto"/>
          <w:szCs w:val="21"/>
          <w:highlight w:val="none"/>
        </w:rPr>
        <w:t>交</w:t>
      </w:r>
      <w:r>
        <w:rPr>
          <w:rFonts w:ascii="宋体" w:hAnsi="宋体"/>
          <w:color w:val="auto"/>
          <w:szCs w:val="21"/>
          <w:highlight w:val="none"/>
        </w:rPr>
        <w:t>评</w:t>
      </w:r>
      <w:r>
        <w:rPr>
          <w:rFonts w:hint="eastAsia" w:ascii="宋体" w:hAnsi="宋体"/>
          <w:color w:val="auto"/>
          <w:szCs w:val="21"/>
          <w:highlight w:val="none"/>
        </w:rPr>
        <w:t>标</w:t>
      </w:r>
      <w:r>
        <w:rPr>
          <w:rFonts w:ascii="宋体" w:hAnsi="宋体"/>
          <w:color w:val="auto"/>
          <w:szCs w:val="21"/>
          <w:highlight w:val="none"/>
        </w:rPr>
        <w:t>报告和推荐中标意见报</w:t>
      </w:r>
      <w:r>
        <w:rPr>
          <w:rFonts w:hint="eastAsia" w:ascii="宋体" w:hAnsi="宋体"/>
          <w:color w:val="auto"/>
          <w:szCs w:val="21"/>
          <w:highlight w:val="none"/>
        </w:rPr>
        <w:t>招标人确认，招标人在收到评标报告后的法定时间内，按照评标报告中推荐的中标候选人顺序确定中标人，也可以事先授权评标委员会直接确定中标人。确认后招标代理机构将在刊登本项目招标公告的法定媒体上</w:t>
      </w:r>
      <w:r>
        <w:rPr>
          <w:rFonts w:ascii="宋体" w:hAnsi="宋体"/>
          <w:color w:val="auto"/>
          <w:szCs w:val="21"/>
          <w:highlight w:val="none"/>
        </w:rPr>
        <w:t>发</w:t>
      </w:r>
      <w:r>
        <w:rPr>
          <w:rFonts w:hint="eastAsia" w:ascii="宋体" w:hAnsi="宋体"/>
          <w:color w:val="auto"/>
          <w:szCs w:val="21"/>
          <w:highlight w:val="none"/>
        </w:rPr>
        <w:t>布中标公告。不在中标名单之列者即为未中标人，招标代理机构不再以其他方式另行通知。</w:t>
      </w:r>
    </w:p>
    <w:p>
      <w:pPr>
        <w:numPr>
          <w:ilvl w:val="1"/>
          <w:numId w:val="154"/>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因不可抗力或自身原因不能履行</w:t>
      </w:r>
      <w:r>
        <w:rPr>
          <w:rFonts w:hint="eastAsia" w:ascii="宋体" w:hAnsi="宋体" w:cs="宋体"/>
          <w:color w:val="auto"/>
          <w:szCs w:val="21"/>
          <w:highlight w:val="none"/>
        </w:rPr>
        <w:t>协议</w:t>
      </w:r>
      <w:r>
        <w:rPr>
          <w:rFonts w:hint="eastAsia" w:ascii="宋体" w:hAnsi="宋体"/>
          <w:color w:val="auto"/>
          <w:szCs w:val="21"/>
          <w:highlight w:val="none"/>
        </w:rPr>
        <w:t>的、不按要求与招标人签订</w:t>
      </w:r>
      <w:r>
        <w:rPr>
          <w:rFonts w:hint="eastAsia" w:ascii="宋体" w:hAnsi="宋体" w:cs="宋体"/>
          <w:color w:val="auto"/>
          <w:szCs w:val="21"/>
          <w:highlight w:val="none"/>
        </w:rPr>
        <w:t>协议</w:t>
      </w:r>
      <w:r>
        <w:rPr>
          <w:rFonts w:hint="eastAsia" w:ascii="宋体" w:hAnsi="宋体"/>
          <w:color w:val="auto"/>
          <w:szCs w:val="21"/>
          <w:highlight w:val="none"/>
        </w:rPr>
        <w:t>、中标人放弃中标、中标资格被依法确认无效的，招标人可以与排位在中标人之后第一位的中标候选人签订</w:t>
      </w:r>
      <w:r>
        <w:rPr>
          <w:rFonts w:hint="eastAsia" w:ascii="宋体" w:hAnsi="宋体" w:cs="宋体"/>
          <w:color w:val="auto"/>
          <w:szCs w:val="21"/>
          <w:highlight w:val="none"/>
        </w:rPr>
        <w:t>协议</w:t>
      </w:r>
      <w:r>
        <w:rPr>
          <w:rFonts w:hint="eastAsia" w:ascii="宋体" w:hAnsi="宋体"/>
          <w:color w:val="auto"/>
          <w:szCs w:val="21"/>
          <w:highlight w:val="none"/>
        </w:rPr>
        <w:t>，没有其他中标候选人的，应当重新组织</w:t>
      </w:r>
      <w:r>
        <w:rPr>
          <w:rFonts w:hint="eastAsia" w:ascii="宋体" w:hAnsi="宋体"/>
          <w:color w:val="auto"/>
          <w:szCs w:val="21"/>
          <w:highlight w:val="none"/>
          <w:lang w:eastAsia="zh-CN"/>
        </w:rPr>
        <w:t>招标</w:t>
      </w:r>
      <w:r>
        <w:rPr>
          <w:rFonts w:hint="eastAsia" w:ascii="宋体" w:hAnsi="宋体"/>
          <w:color w:val="auto"/>
          <w:szCs w:val="21"/>
          <w:highlight w:val="none"/>
        </w:rPr>
        <w:t>活动。</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如某一包组的中标人</w:t>
      </w:r>
      <w:r>
        <w:rPr>
          <w:rFonts w:hint="eastAsia" w:ascii="宋体" w:hAnsi="宋体"/>
          <w:color w:val="auto"/>
          <w:szCs w:val="21"/>
          <w:highlight w:val="none"/>
        </w:rPr>
        <w:t>因不可抗力或自身原因不能履行</w:t>
      </w:r>
      <w:r>
        <w:rPr>
          <w:rFonts w:hint="eastAsia" w:ascii="宋体" w:hAnsi="宋体" w:cs="宋体"/>
          <w:color w:val="auto"/>
          <w:szCs w:val="21"/>
          <w:highlight w:val="none"/>
        </w:rPr>
        <w:t>协议</w:t>
      </w:r>
      <w:r>
        <w:rPr>
          <w:rFonts w:hint="eastAsia" w:ascii="宋体" w:hAnsi="宋体"/>
          <w:color w:val="auto"/>
          <w:szCs w:val="21"/>
          <w:highlight w:val="none"/>
        </w:rPr>
        <w:t>的、不按要求与招标人签订</w:t>
      </w:r>
      <w:r>
        <w:rPr>
          <w:rFonts w:hint="eastAsia" w:ascii="宋体" w:hAnsi="宋体" w:cs="宋体"/>
          <w:color w:val="auto"/>
          <w:szCs w:val="21"/>
          <w:highlight w:val="none"/>
        </w:rPr>
        <w:t>协议</w:t>
      </w:r>
      <w:r>
        <w:rPr>
          <w:rFonts w:hint="eastAsia" w:ascii="宋体" w:hAnsi="宋体"/>
          <w:color w:val="auto"/>
          <w:szCs w:val="21"/>
          <w:highlight w:val="none"/>
        </w:rPr>
        <w:t>、放弃中标</w:t>
      </w:r>
      <w:r>
        <w:rPr>
          <w:rFonts w:hint="eastAsia" w:ascii="宋体" w:hAnsi="宋体"/>
          <w:color w:val="auto"/>
          <w:szCs w:val="21"/>
          <w:highlight w:val="none"/>
          <w:lang w:eastAsia="zh-CN"/>
        </w:rPr>
        <w:t>、</w:t>
      </w:r>
      <w:r>
        <w:rPr>
          <w:rFonts w:hint="eastAsia" w:ascii="宋体" w:hAnsi="宋体"/>
          <w:color w:val="auto"/>
          <w:szCs w:val="21"/>
          <w:highlight w:val="none"/>
        </w:rPr>
        <w:t>中标资格被依法确认无效的，</w:t>
      </w:r>
      <w:r>
        <w:rPr>
          <w:rFonts w:hint="eastAsia" w:ascii="宋体" w:hAnsi="宋体"/>
          <w:color w:val="auto"/>
          <w:szCs w:val="21"/>
          <w:highlight w:val="none"/>
          <w:lang w:eastAsia="zh-CN"/>
        </w:rPr>
        <w:t>则该包组的中标人将不再具备本项目任何一个包组的中标资格。</w:t>
      </w:r>
    </w:p>
    <w:p>
      <w:pPr>
        <w:numPr>
          <w:ilvl w:val="1"/>
          <w:numId w:val="154"/>
        </w:numPr>
        <w:autoSpaceDE w:val="0"/>
        <w:autoSpaceDN w:val="0"/>
        <w:adjustRightInd w:val="0"/>
        <w:snapToGrid w:val="0"/>
        <w:spacing w:line="360" w:lineRule="auto"/>
        <w:rPr>
          <w:rFonts w:hint="eastAsia" w:ascii="宋体" w:hAnsi="宋体"/>
          <w:color w:val="auto"/>
          <w:szCs w:val="21"/>
          <w:highlight w:val="none"/>
        </w:rPr>
      </w:pPr>
      <w:r>
        <w:rPr>
          <w:rFonts w:ascii="宋体" w:hAnsi="宋体" w:cs="宋体"/>
          <w:color w:val="auto"/>
          <w:szCs w:val="21"/>
          <w:highlight w:val="none"/>
        </w:rPr>
        <w:t>在招标采购中，出现下列情形之一的，应予废标：</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28.7.1</w:t>
      </w:r>
      <w:r>
        <w:rPr>
          <w:rFonts w:ascii="宋体" w:hAnsi="宋体" w:cs="宋体"/>
          <w:color w:val="auto"/>
          <w:szCs w:val="21"/>
          <w:highlight w:val="none"/>
        </w:rPr>
        <w:t>符合专业条件的供应商或者对</w:t>
      </w:r>
      <w:r>
        <w:rPr>
          <w:rFonts w:hint="eastAsia" w:ascii="宋体" w:hAnsi="宋体" w:cs="宋体"/>
          <w:color w:val="auto"/>
          <w:szCs w:val="21"/>
          <w:highlight w:val="none"/>
        </w:rPr>
        <w:t>招标</w:t>
      </w:r>
      <w:r>
        <w:rPr>
          <w:rFonts w:ascii="宋体" w:hAnsi="宋体" w:cs="宋体"/>
          <w:color w:val="auto"/>
          <w:szCs w:val="21"/>
          <w:highlight w:val="none"/>
        </w:rPr>
        <w:t>文件作实质响应的供应商不足三家的；</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28.7.2</w:t>
      </w:r>
      <w:r>
        <w:rPr>
          <w:rFonts w:ascii="宋体" w:hAnsi="宋体" w:cs="宋体"/>
          <w:color w:val="auto"/>
          <w:szCs w:val="21"/>
          <w:highlight w:val="none"/>
        </w:rPr>
        <w:t>出现影响采购公正的违法、违规行为的；</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28.7.3</w:t>
      </w:r>
      <w:r>
        <w:rPr>
          <w:rFonts w:ascii="宋体" w:hAnsi="宋体" w:cs="宋体"/>
          <w:color w:val="auto"/>
          <w:szCs w:val="21"/>
          <w:highlight w:val="none"/>
        </w:rPr>
        <w:t>投标人的报价均超过了采购预算，招标人不能支付的；</w:t>
      </w:r>
    </w:p>
    <w:p>
      <w:pPr>
        <w:tabs>
          <w:tab w:val="left" w:pos="851"/>
        </w:tabs>
        <w:snapToGrid w:val="0"/>
        <w:spacing w:line="360" w:lineRule="auto"/>
        <w:ind w:left="709"/>
        <w:rPr>
          <w:rFonts w:hint="eastAsia" w:ascii="宋体" w:hAnsi="宋体" w:cs="宋体"/>
          <w:color w:val="auto"/>
          <w:szCs w:val="21"/>
          <w:highlight w:val="none"/>
        </w:rPr>
      </w:pPr>
      <w:r>
        <w:rPr>
          <w:rFonts w:hint="eastAsia" w:ascii="宋体" w:hAnsi="宋体" w:cs="宋体"/>
          <w:color w:val="auto"/>
          <w:szCs w:val="21"/>
          <w:highlight w:val="none"/>
        </w:rPr>
        <w:t>28.7.4</w:t>
      </w:r>
      <w:r>
        <w:rPr>
          <w:rFonts w:ascii="宋体" w:hAnsi="宋体" w:cs="宋体"/>
          <w:color w:val="auto"/>
          <w:szCs w:val="21"/>
          <w:highlight w:val="none"/>
        </w:rPr>
        <w:t>因重大变故，采购任务取消的</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197" w:name="_Toc355879701"/>
      <w:bookmarkStart w:id="198" w:name="_Toc8084"/>
      <w:bookmarkStart w:id="199" w:name="_Toc15271"/>
      <w:bookmarkStart w:id="200" w:name="_Toc410722672"/>
      <w:r>
        <w:rPr>
          <w:rFonts w:hint="eastAsia" w:ascii="宋体" w:hAnsi="宋体"/>
          <w:b/>
          <w:bCs/>
          <w:color w:val="auto"/>
          <w:szCs w:val="21"/>
          <w:highlight w:val="none"/>
        </w:rPr>
        <w:t>中标通知书</w:t>
      </w:r>
      <w:bookmarkEnd w:id="197"/>
      <w:bookmarkEnd w:id="198"/>
      <w:bookmarkEnd w:id="199"/>
      <w:bookmarkEnd w:id="200"/>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招标代理机构将在</w:t>
      </w:r>
      <w:r>
        <w:rPr>
          <w:rFonts w:hint="eastAsia" w:ascii="宋体" w:hAnsi="宋体" w:cs="宋体"/>
          <w:color w:val="auto"/>
          <w:szCs w:val="21"/>
          <w:highlight w:val="none"/>
        </w:rPr>
        <w:t>招标信息</w:t>
      </w:r>
      <w:r>
        <w:rPr>
          <w:rFonts w:hint="eastAsia" w:ascii="宋体" w:hAnsi="宋体" w:cs="宋体"/>
          <w:color w:val="auto"/>
          <w:szCs w:val="21"/>
          <w:highlight w:val="none"/>
          <w:lang w:eastAsia="zh-TW"/>
        </w:rPr>
        <w:t>媒体上发布中标公告，并向中标人发出《中标通知书》</w:t>
      </w:r>
      <w:r>
        <w:rPr>
          <w:rFonts w:hint="eastAsia" w:ascii="宋体" w:hAnsi="宋体" w:cs="宋体"/>
          <w:color w:val="auto"/>
          <w:szCs w:val="21"/>
          <w:highlight w:val="none"/>
        </w:rPr>
        <w:t>，</w:t>
      </w:r>
      <w:r>
        <w:rPr>
          <w:rFonts w:hint="eastAsia" w:ascii="宋体" w:hAnsi="宋体"/>
          <w:color w:val="auto"/>
          <w:szCs w:val="21"/>
          <w:highlight w:val="none"/>
        </w:rPr>
        <w:t>向招标人及未中标人发出《招标结果通知书》，</w:t>
      </w:r>
      <w:r>
        <w:rPr>
          <w:rFonts w:hint="eastAsia" w:ascii="宋体" w:hAnsi="宋体" w:cs="宋体"/>
          <w:color w:val="auto"/>
          <w:szCs w:val="21"/>
          <w:highlight w:val="none"/>
          <w:lang w:eastAsia="zh-TW"/>
        </w:rPr>
        <w:t>《中标通知书》对中标人和招标人具有同等法律效力。</w:t>
      </w:r>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《中标通知书》将作为授予</w:t>
      </w:r>
      <w:r>
        <w:rPr>
          <w:rFonts w:hint="eastAsia" w:ascii="宋体" w:hAnsi="宋体" w:cs="宋体"/>
          <w:color w:val="auto"/>
          <w:szCs w:val="21"/>
          <w:highlight w:val="none"/>
          <w:lang w:eastAsia="zh-CN"/>
        </w:rPr>
        <w:t>合同</w:t>
      </w:r>
      <w:r>
        <w:rPr>
          <w:rFonts w:hint="eastAsia" w:ascii="宋体" w:hAnsi="宋体"/>
          <w:color w:val="auto"/>
          <w:szCs w:val="21"/>
          <w:highlight w:val="none"/>
        </w:rPr>
        <w:t>资格的合法依据，是</w:t>
      </w:r>
      <w:r>
        <w:rPr>
          <w:rFonts w:hint="eastAsia" w:ascii="宋体" w:hAnsi="宋体" w:cs="宋体"/>
          <w:color w:val="auto"/>
          <w:szCs w:val="21"/>
          <w:highlight w:val="none"/>
          <w:lang w:eastAsia="zh-CN"/>
        </w:rPr>
        <w:t>合同</w:t>
      </w:r>
      <w:r>
        <w:rPr>
          <w:rFonts w:hint="eastAsia" w:ascii="宋体" w:hAnsi="宋体"/>
          <w:color w:val="auto"/>
          <w:szCs w:val="21"/>
          <w:highlight w:val="none"/>
        </w:rPr>
        <w:t>的一个组成部分。</w:t>
      </w:r>
    </w:p>
    <w:p>
      <w:pPr>
        <w:numPr>
          <w:ilvl w:val="0"/>
          <w:numId w:val="153"/>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201" w:name="_Toc410722673"/>
      <w:bookmarkStart w:id="202" w:name="_Toc355879702"/>
      <w:bookmarkStart w:id="203" w:name="_Toc16913"/>
      <w:bookmarkStart w:id="204" w:name="_Toc14284"/>
      <w:r>
        <w:rPr>
          <w:rFonts w:hint="eastAsia" w:ascii="宋体" w:hAnsi="宋体"/>
          <w:b/>
          <w:color w:val="auto"/>
          <w:sz w:val="28"/>
          <w:szCs w:val="28"/>
          <w:highlight w:val="none"/>
          <w:lang w:eastAsia="zh-TW"/>
        </w:rPr>
        <w:t>授予</w:t>
      </w:r>
      <w:bookmarkEnd w:id="201"/>
      <w:bookmarkEnd w:id="202"/>
      <w:bookmarkEnd w:id="203"/>
      <w:r>
        <w:rPr>
          <w:rFonts w:hint="eastAsia" w:ascii="宋体" w:hAnsi="宋体"/>
          <w:b/>
          <w:color w:val="auto"/>
          <w:sz w:val="28"/>
          <w:szCs w:val="28"/>
          <w:highlight w:val="none"/>
          <w:lang w:eastAsia="zh-CN"/>
        </w:rPr>
        <w:t>合同</w:t>
      </w:r>
      <w:bookmarkEnd w:id="204"/>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205" w:name="_Toc410722674"/>
      <w:bookmarkStart w:id="206" w:name="_Toc9772"/>
      <w:bookmarkStart w:id="207" w:name="_Toc22771"/>
      <w:bookmarkStart w:id="208" w:name="_Toc355879703"/>
      <w:r>
        <w:rPr>
          <w:rFonts w:hint="eastAsia" w:ascii="宋体" w:hAnsi="宋体"/>
          <w:b/>
          <w:bCs/>
          <w:color w:val="auto"/>
          <w:szCs w:val="21"/>
          <w:highlight w:val="none"/>
          <w:lang w:eastAsia="zh-CN"/>
        </w:rPr>
        <w:t>合同</w:t>
      </w:r>
      <w:r>
        <w:rPr>
          <w:rFonts w:hint="eastAsia" w:ascii="宋体" w:hAnsi="宋体"/>
          <w:b/>
          <w:bCs/>
          <w:color w:val="auto"/>
          <w:szCs w:val="21"/>
          <w:highlight w:val="none"/>
        </w:rPr>
        <w:t>的订立</w:t>
      </w:r>
      <w:bookmarkEnd w:id="205"/>
      <w:bookmarkEnd w:id="206"/>
      <w:bookmarkEnd w:id="207"/>
      <w:bookmarkEnd w:id="208"/>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除非</w:t>
      </w:r>
      <w:r>
        <w:rPr>
          <w:rFonts w:hint="eastAsia" w:ascii="宋体" w:hAnsi="宋体" w:cs="宋体"/>
          <w:b/>
          <w:color w:val="auto"/>
          <w:szCs w:val="21"/>
          <w:highlight w:val="none"/>
        </w:rPr>
        <w:t>投标资料表</w:t>
      </w:r>
      <w:r>
        <w:rPr>
          <w:rFonts w:hint="eastAsia" w:ascii="宋体" w:hAnsi="宋体" w:cs="宋体"/>
          <w:color w:val="auto"/>
          <w:szCs w:val="21"/>
          <w:highlight w:val="none"/>
        </w:rPr>
        <w:t>另有规定，</w:t>
      </w:r>
      <w:r>
        <w:rPr>
          <w:rFonts w:hint="eastAsia" w:ascii="宋体" w:hAnsi="宋体" w:cs="宋体"/>
          <w:color w:val="auto"/>
          <w:szCs w:val="21"/>
          <w:highlight w:val="none"/>
          <w:lang w:eastAsia="zh-TW"/>
        </w:rPr>
        <w:t>招标人或者</w:t>
      </w: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TW"/>
        </w:rPr>
        <w:t>应当自中标通知书发出之日起三十日内，按照招标文件和中标人投标文件的约定，与中标人签订书面</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。所签订的</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不得对招标文件和中标人投标文件作实质性修改</w:t>
      </w:r>
      <w:r>
        <w:rPr>
          <w:rFonts w:hint="eastAsia" w:ascii="宋体" w:hAnsi="宋体" w:cs="宋体"/>
          <w:color w:val="auto"/>
          <w:szCs w:val="21"/>
          <w:highlight w:val="none"/>
        </w:rPr>
        <w:t>。</w:t>
      </w:r>
    </w:p>
    <w:p>
      <w:pPr>
        <w:numPr>
          <w:ilvl w:val="1"/>
          <w:numId w:val="154"/>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招标采购单位不得向中标人提出任何不合理的要求，作为签订</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的条件，不得与中标人私下订立背离</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实质性内容的</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209" w:name="_Toc16984"/>
      <w:bookmarkStart w:id="210" w:name="_Toc355879704"/>
      <w:bookmarkStart w:id="211" w:name="_Toc410722675"/>
      <w:bookmarkStart w:id="212" w:name="_Toc22693"/>
      <w:r>
        <w:rPr>
          <w:rFonts w:hint="eastAsia" w:ascii="宋体" w:hAnsi="宋体"/>
          <w:b/>
          <w:bCs/>
          <w:color w:val="auto"/>
          <w:szCs w:val="21"/>
          <w:highlight w:val="none"/>
          <w:lang w:eastAsia="zh-CN"/>
        </w:rPr>
        <w:t>合同</w:t>
      </w:r>
      <w:r>
        <w:rPr>
          <w:rFonts w:hint="eastAsia" w:ascii="宋体" w:hAnsi="宋体"/>
          <w:b/>
          <w:bCs/>
          <w:color w:val="auto"/>
          <w:szCs w:val="21"/>
          <w:highlight w:val="none"/>
        </w:rPr>
        <w:t>的履行</w:t>
      </w:r>
      <w:bookmarkEnd w:id="209"/>
      <w:bookmarkEnd w:id="210"/>
      <w:bookmarkEnd w:id="211"/>
      <w:bookmarkEnd w:id="212"/>
    </w:p>
    <w:p>
      <w:pPr>
        <w:numPr>
          <w:ilvl w:val="1"/>
          <w:numId w:val="154"/>
        </w:numPr>
        <w:autoSpaceDE w:val="0"/>
        <w:autoSpaceDN w:val="0"/>
        <w:adjustRightInd w:val="0"/>
        <w:snapToGrid w:val="0"/>
        <w:spacing w:line="360" w:lineRule="auto"/>
        <w:jc w:val="left"/>
        <w:rPr>
          <w:rFonts w:hint="eastAsia" w:ascii="宋体" w:hAnsi="宋体" w:cs="黑体"/>
          <w:b/>
          <w:bCs/>
          <w:color w:val="auto"/>
          <w:szCs w:val="21"/>
          <w:highlight w:val="none"/>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订立后，</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各方不得擅自变更、中止或者终止</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需要变更的，招标人应将有关</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变更内容，以书面形式报</w:t>
      </w:r>
      <w:r>
        <w:rPr>
          <w:rFonts w:hint="eastAsia" w:ascii="宋体" w:hAnsi="宋体" w:cs="宋体"/>
          <w:color w:val="auto"/>
          <w:szCs w:val="21"/>
          <w:highlight w:val="none"/>
        </w:rPr>
        <w:t>招标人的审计</w:t>
      </w:r>
      <w:r>
        <w:rPr>
          <w:rFonts w:hint="eastAsia" w:ascii="宋体" w:hAnsi="宋体" w:cs="宋体"/>
          <w:color w:val="auto"/>
          <w:szCs w:val="21"/>
          <w:highlight w:val="none"/>
          <w:lang w:eastAsia="zh-TW"/>
        </w:rPr>
        <w:t>部门备案；因特殊情况需要中止或终止</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的，招标人应将中止或终止</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eastAsia="zh-TW"/>
        </w:rPr>
        <w:t>的理由以及相应措施，以书面形式报</w:t>
      </w:r>
      <w:r>
        <w:rPr>
          <w:rFonts w:hint="eastAsia" w:ascii="宋体" w:hAnsi="宋体" w:cs="宋体"/>
          <w:color w:val="auto"/>
          <w:szCs w:val="21"/>
          <w:highlight w:val="none"/>
        </w:rPr>
        <w:t>招标人的审计</w:t>
      </w:r>
      <w:r>
        <w:rPr>
          <w:rFonts w:hint="eastAsia" w:ascii="宋体" w:hAnsi="宋体" w:cs="宋体"/>
          <w:color w:val="auto"/>
          <w:szCs w:val="21"/>
          <w:highlight w:val="none"/>
          <w:lang w:eastAsia="zh-TW"/>
        </w:rPr>
        <w:t>部门备案。</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213" w:name="_Toc1098"/>
      <w:bookmarkStart w:id="214" w:name="_Toc21197"/>
      <w:bookmarkStart w:id="215" w:name="_Toc410722676"/>
      <w:bookmarkStart w:id="216" w:name="_Toc355879706"/>
      <w:r>
        <w:rPr>
          <w:rFonts w:hint="eastAsia" w:ascii="宋体" w:hAnsi="宋体"/>
          <w:b/>
          <w:bCs/>
          <w:color w:val="auto"/>
          <w:szCs w:val="21"/>
          <w:highlight w:val="none"/>
        </w:rPr>
        <w:t>履约保证金</w:t>
      </w:r>
      <w:bookmarkEnd w:id="213"/>
      <w:bookmarkEnd w:id="214"/>
      <w:bookmarkEnd w:id="215"/>
      <w:bookmarkEnd w:id="216"/>
    </w:p>
    <w:p>
      <w:pPr>
        <w:numPr>
          <w:ilvl w:val="1"/>
          <w:numId w:val="154"/>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中标人应按照</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金额，</w:t>
      </w:r>
      <w:r>
        <w:rPr>
          <w:rFonts w:hint="eastAsia" w:ascii="宋体" w:hAnsi="宋体" w:cs="宋体"/>
          <w:color w:val="auto"/>
          <w:szCs w:val="21"/>
          <w:highlight w:val="none"/>
          <w:lang w:eastAsia="zh-TW"/>
        </w:rPr>
        <w:t>采用招标人可以接受的其他形式向招标人提交履约保证金。</w:t>
      </w:r>
    </w:p>
    <w:p>
      <w:pPr>
        <w:numPr>
          <w:ilvl w:val="0"/>
          <w:numId w:val="154"/>
        </w:numPr>
        <w:autoSpaceDE w:val="0"/>
        <w:autoSpaceDN w:val="0"/>
        <w:adjustRightInd w:val="0"/>
        <w:snapToGrid w:val="0"/>
        <w:spacing w:line="360" w:lineRule="auto"/>
        <w:outlineLvl w:val="0"/>
        <w:rPr>
          <w:rFonts w:hint="eastAsia" w:ascii="宋体" w:hAnsi="宋体"/>
          <w:b/>
          <w:bCs/>
          <w:color w:val="auto"/>
          <w:szCs w:val="21"/>
          <w:highlight w:val="none"/>
        </w:rPr>
      </w:pPr>
      <w:bookmarkStart w:id="217" w:name="_Toc410722677"/>
      <w:bookmarkStart w:id="218" w:name="_Toc17566"/>
      <w:bookmarkStart w:id="219" w:name="_Toc355879707"/>
      <w:bookmarkStart w:id="220" w:name="_Toc30514"/>
      <w:r>
        <w:rPr>
          <w:rFonts w:hint="eastAsia" w:ascii="宋体" w:hAnsi="宋体"/>
          <w:b/>
          <w:bCs/>
          <w:color w:val="auto"/>
          <w:szCs w:val="21"/>
          <w:highlight w:val="none"/>
        </w:rPr>
        <w:t>招标代理服务费</w:t>
      </w:r>
      <w:bookmarkEnd w:id="217"/>
      <w:bookmarkEnd w:id="218"/>
      <w:bookmarkEnd w:id="219"/>
      <w:bookmarkEnd w:id="220"/>
    </w:p>
    <w:p>
      <w:pPr>
        <w:numPr>
          <w:ilvl w:val="1"/>
          <w:numId w:val="154"/>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CN"/>
        </w:rPr>
        <w:t>本项目招标代理服务费由招标人支付</w:t>
      </w:r>
      <w:r>
        <w:rPr>
          <w:rFonts w:hint="eastAsia" w:ascii="宋体" w:hAnsi="宋体" w:cs="宋体"/>
          <w:color w:val="auto"/>
          <w:szCs w:val="21"/>
          <w:highlight w:val="none"/>
        </w:rPr>
        <w:t>。</w:t>
      </w:r>
    </w:p>
    <w:p>
      <w:pPr>
        <w:numPr>
          <w:ilvl w:val="0"/>
          <w:numId w:val="154"/>
        </w:numPr>
        <w:autoSpaceDE w:val="0"/>
        <w:autoSpaceDN w:val="0"/>
        <w:adjustRightInd w:val="0"/>
        <w:snapToGrid w:val="0"/>
        <w:spacing w:line="360" w:lineRule="auto"/>
        <w:outlineLvl w:val="0"/>
        <w:rPr>
          <w:rFonts w:hint="eastAsia" w:ascii="宋体" w:hAnsi="宋体" w:eastAsia="宋体" w:cs="Times New Roman"/>
          <w:b/>
          <w:bCs/>
          <w:color w:val="auto"/>
          <w:szCs w:val="21"/>
          <w:highlight w:val="none"/>
        </w:rPr>
      </w:pPr>
      <w:bookmarkStart w:id="221" w:name="_Toc24488"/>
      <w:bookmarkStart w:id="222" w:name="_Toc11785"/>
      <w:bookmarkStart w:id="223" w:name="_Toc9092"/>
      <w:bookmarkStart w:id="224" w:name="_Toc14466"/>
      <w:bookmarkStart w:id="225" w:name="_Toc1886"/>
      <w:bookmarkStart w:id="226" w:name="_Toc19122"/>
      <w:bookmarkStart w:id="227" w:name="_Toc25139"/>
      <w:bookmarkStart w:id="228" w:name="_Toc7957"/>
      <w:bookmarkStart w:id="229" w:name="_Toc7352"/>
      <w:bookmarkStart w:id="230" w:name="_Toc13546"/>
      <w:bookmarkStart w:id="231" w:name="_Toc3305"/>
      <w:bookmarkStart w:id="232" w:name="_Toc13463"/>
      <w:bookmarkStart w:id="233" w:name="_Toc12174"/>
      <w:bookmarkStart w:id="234" w:name="_Toc10372"/>
      <w:bookmarkStart w:id="235" w:name="_Toc27529"/>
      <w:r>
        <w:rPr>
          <w:rFonts w:hint="eastAsia" w:ascii="宋体" w:hAnsi="宋体" w:eastAsia="宋体" w:cs="Times New Roman"/>
          <w:b/>
          <w:bCs/>
          <w:color w:val="auto"/>
          <w:szCs w:val="21"/>
          <w:highlight w:val="none"/>
        </w:rPr>
        <w:t>异议</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异议提出的时限</w:t>
      </w:r>
    </w:p>
    <w:p>
      <w:pPr>
        <w:tabs>
          <w:tab w:val="left" w:pos="851"/>
        </w:tabs>
        <w:snapToGrid w:val="0"/>
        <w:spacing w:line="360" w:lineRule="auto"/>
        <w:ind w:left="70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34.1.1</w:t>
      </w:r>
      <w:r>
        <w:rPr>
          <w:rFonts w:hint="eastAsia" w:ascii="宋体" w:hAnsi="宋体" w:eastAsia="宋体" w:cs="宋体"/>
          <w:color w:val="auto"/>
          <w:szCs w:val="21"/>
          <w:highlight w:val="none"/>
        </w:rPr>
        <w:t>潜在投标人或者其他利害关系人对招标文件（含招标公告）的异议，应当在投标截止时间10日前通过“佛山市公共资源交易信息化综合平台”提出。</w:t>
      </w:r>
    </w:p>
    <w:p>
      <w:pPr>
        <w:tabs>
          <w:tab w:val="left" w:pos="851"/>
        </w:tabs>
        <w:snapToGrid w:val="0"/>
        <w:spacing w:line="360" w:lineRule="auto"/>
        <w:ind w:left="70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34.1.2</w:t>
      </w:r>
      <w:r>
        <w:rPr>
          <w:rFonts w:hint="eastAsia" w:ascii="宋体" w:hAnsi="宋体" w:eastAsia="宋体" w:cs="宋体"/>
          <w:color w:val="auto"/>
          <w:szCs w:val="21"/>
          <w:highlight w:val="none"/>
        </w:rPr>
        <w:t>投标人对开标有异议的，应当在开标过程中提出，招标人应当当场作出答复，并制作记录。</w:t>
      </w:r>
    </w:p>
    <w:p>
      <w:pPr>
        <w:tabs>
          <w:tab w:val="left" w:pos="851"/>
        </w:tabs>
        <w:snapToGrid w:val="0"/>
        <w:spacing w:line="360" w:lineRule="auto"/>
        <w:ind w:left="70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34.1.3</w:t>
      </w:r>
      <w:r>
        <w:rPr>
          <w:rFonts w:hint="eastAsia" w:ascii="宋体" w:hAnsi="宋体" w:eastAsia="宋体" w:cs="宋体"/>
          <w:color w:val="auto"/>
          <w:szCs w:val="21"/>
          <w:highlight w:val="none"/>
        </w:rPr>
        <w:t>投标人或者其他利害关系人对中标结果有异议的，应当在中标结果公示期间提出，异议应当针对中标结果的全部问题一次性完整提出。</w:t>
      </w:r>
    </w:p>
    <w:p>
      <w:pPr>
        <w:tabs>
          <w:tab w:val="left" w:pos="851"/>
        </w:tabs>
        <w:snapToGrid w:val="0"/>
        <w:spacing w:line="360" w:lineRule="auto"/>
        <w:ind w:left="70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34.1.4</w:t>
      </w:r>
      <w:r>
        <w:rPr>
          <w:rFonts w:hint="eastAsia" w:ascii="宋体" w:hAnsi="宋体" w:eastAsia="宋体" w:cs="宋体"/>
          <w:color w:val="auto"/>
          <w:szCs w:val="21"/>
          <w:highlight w:val="none"/>
        </w:rPr>
        <w:t>投标人或者其他利害关系人对中标结果有异议的，应当在中标结果公示期间</w:t>
      </w:r>
      <w:r>
        <w:rPr>
          <w:rFonts w:hint="eastAsia" w:ascii="宋体" w:hAnsi="宋体" w:eastAsia="宋体" w:cs="宋体"/>
          <w:color w:val="auto"/>
          <w:szCs w:val="21"/>
          <w:highlight w:val="none"/>
        </w:rPr>
        <w:t>通过“佛山市公共资源交易信息化综合平台”</w:t>
      </w:r>
      <w:r>
        <w:rPr>
          <w:rFonts w:hint="eastAsia" w:ascii="宋体" w:hAnsi="宋体" w:eastAsia="宋体" w:cs="宋体"/>
          <w:color w:val="auto"/>
          <w:szCs w:val="21"/>
          <w:highlight w:val="none"/>
        </w:rPr>
        <w:t>提出，异议应当针对中标结果的全部问题一次性完整提出。招标人不再受理投标人或者其他利害关系人针对中标结果公示环节已公示内容提出的异议。</w:t>
      </w:r>
    </w:p>
    <w:p>
      <w:pPr>
        <w:tabs>
          <w:tab w:val="left" w:pos="851"/>
        </w:tabs>
        <w:snapToGrid w:val="0"/>
        <w:spacing w:line="360" w:lineRule="auto"/>
        <w:ind w:left="70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34.1.5招标人应当自收到异议之日起3日内作出答复；作出答复前，应当暂停招标投标活动。</w:t>
      </w:r>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异议书的格式及要求。</w:t>
      </w:r>
    </w:p>
    <w:p>
      <w:pPr>
        <w:tabs>
          <w:tab w:val="left" w:pos="851"/>
        </w:tabs>
        <w:snapToGrid w:val="0"/>
        <w:spacing w:line="360" w:lineRule="auto"/>
        <w:ind w:left="70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34.2.1异议书中应包含异议提出人名称、联系人及联系方式、异议所针对的对象、提出异议的基本事实、相关请求及主张、有效线索和相关证明材料等信息，异议书格式详见附件《异议书（模板）》。</w:t>
      </w:r>
    </w:p>
    <w:p>
      <w:pPr>
        <w:tabs>
          <w:tab w:val="left" w:pos="851"/>
        </w:tabs>
        <w:snapToGrid w:val="0"/>
        <w:spacing w:line="360" w:lineRule="auto"/>
        <w:ind w:left="70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34.2.2异议书必须由异议人的法定代表人签字并加盖单位公章；异议由其他利害关系人提出的，还需出示异议提出人与本次招标活动存在利害关系的证明文件，并附有效身份证明复印件。</w:t>
      </w:r>
    </w:p>
    <w:p>
      <w:pPr>
        <w:tabs>
          <w:tab w:val="left" w:pos="851"/>
        </w:tabs>
        <w:snapToGrid w:val="0"/>
        <w:spacing w:line="360" w:lineRule="auto"/>
        <w:ind w:left="70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34.2.3异议不予受理的情形</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1）异议提出人不是本项目参与者，或未能提供与本次投标存在利害关系证明文件的其他利害关系人。</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2）涉及的事项不具体，且未提供有效线索，难以查证的。</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3）提供的资料未提供异议提出人的真实名称、有效联系方式、法定代表人签字和加盖单位公章的。</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4）超过异议提出时效的。</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5）已经作出处理决定，并且异议提出人没有提出新的证据的。</w:t>
      </w:r>
    </w:p>
    <w:p>
      <w:pPr>
        <w:autoSpaceDE w:val="0"/>
        <w:autoSpaceDN w:val="0"/>
        <w:adjustRightInd w:val="0"/>
        <w:snapToGrid w:val="0"/>
        <w:spacing w:line="360" w:lineRule="auto"/>
        <w:ind w:left="420" w:leftChars="200" w:right="32"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6）涉及招标评标或非招标采购过程的具体细节、其他投标人的商业秘密或其他投标人投标文件的具体内容但未能说明内容真实性和来源合法性的。</w:t>
      </w:r>
    </w:p>
    <w:p>
      <w:pPr>
        <w:autoSpaceDE w:val="0"/>
        <w:autoSpaceDN w:val="0"/>
        <w:adjustRightInd w:val="0"/>
        <w:snapToGrid w:val="0"/>
        <w:spacing w:line="360" w:lineRule="auto"/>
        <w:ind w:left="420" w:leftChars="200" w:right="32" w:firstLine="420" w:firstLineChars="200"/>
        <w:rPr>
          <w:rFonts w:hint="eastAsia" w:ascii="宋体" w:hAnsi="宋体"/>
          <w:color w:val="auto"/>
          <w:highlight w:val="none"/>
        </w:rPr>
      </w:pPr>
      <w:r>
        <w:rPr>
          <w:rFonts w:hint="eastAsia" w:ascii="宋体" w:hAnsi="宋体" w:eastAsia="宋体" w:cs="Times New Roman"/>
          <w:color w:val="auto"/>
          <w:kern w:val="0"/>
          <w:szCs w:val="21"/>
          <w:highlight w:val="none"/>
        </w:rPr>
        <w:t>7）缺乏事实根据或者法律依据的，或者投诉人捏造事实、伪造材料或者以非法手段取得证明材料的异议。</w:t>
      </w:r>
    </w:p>
    <w:p>
      <w:pPr>
        <w:spacing w:line="360" w:lineRule="auto"/>
        <w:rPr>
          <w:rFonts w:ascii="宋体" w:hAnsi="宋体"/>
          <w:b/>
          <w:bCs/>
          <w:color w:val="auto"/>
          <w:highlight w:val="none"/>
        </w:rPr>
      </w:pPr>
      <w:r>
        <w:rPr>
          <w:rFonts w:hint="eastAsia" w:ascii="宋体" w:hAnsi="宋体"/>
          <w:b/>
          <w:bCs/>
          <w:color w:val="auto"/>
          <w:highlight w:val="none"/>
        </w:rPr>
        <w:t>附件：异议书（模板）</w:t>
      </w:r>
    </w:p>
    <w:p>
      <w:pPr>
        <w:spacing w:line="360" w:lineRule="auto"/>
        <w:jc w:val="center"/>
        <w:rPr>
          <w:rFonts w:ascii="宋体" w:hAnsi="宋体"/>
          <w:color w:val="auto"/>
          <w:highlight w:val="none"/>
        </w:rPr>
      </w:pPr>
      <w:r>
        <w:rPr>
          <w:rFonts w:hint="eastAsia" w:ascii="宋体" w:hAnsi="宋体"/>
          <w:color w:val="auto"/>
          <w:highlight w:val="none"/>
        </w:rPr>
        <w:t>×××××××项目的异议书</w:t>
      </w:r>
    </w:p>
    <w:p>
      <w:pPr>
        <w:pBdr>
          <w:top w:val="single" w:color="auto" w:sz="4" w:space="1"/>
          <w:left w:val="single" w:color="auto" w:sz="4" w:space="4"/>
          <w:bottom w:val="single" w:color="auto" w:sz="4" w:space="1"/>
          <w:right w:val="single" w:color="auto" w:sz="4" w:space="4"/>
        </w:pBdr>
        <w:adjustRightInd w:val="0"/>
        <w:snapToGrid w:val="0"/>
        <w:spacing w:before="326" w:beforeLines="100" w:line="360" w:lineRule="auto"/>
        <w:rPr>
          <w:rFonts w:ascii="宋体" w:hAnsi="宋体" w:cs="仿宋"/>
          <w:bCs/>
          <w:color w:val="auto"/>
          <w:szCs w:val="21"/>
          <w:highlight w:val="none"/>
        </w:rPr>
      </w:pPr>
      <w:r>
        <w:rPr>
          <w:rFonts w:hint="eastAsia" w:ascii="宋体" w:hAnsi="宋体" w:cs="仿宋"/>
          <w:bCs/>
          <w:color w:val="auto"/>
          <w:szCs w:val="21"/>
          <w:highlight w:val="none"/>
        </w:rPr>
        <w:t>一、异议提出人基本信息</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异议提出人名称（投标单位或其他利害关系人）：</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地址：</w:t>
      </w:r>
      <w:r>
        <w:rPr>
          <w:rFonts w:hint="eastAsia" w:ascii="宋体" w:hAnsi="宋体" w:cs="仿宋"/>
          <w:color w:val="auto"/>
          <w:szCs w:val="21"/>
          <w:highlight w:val="none"/>
          <w:u w:val="dotted"/>
        </w:rPr>
        <w:t xml:space="preserve">                         电子邮箱：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联系人：</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bCs/>
          <w:color w:val="auto"/>
          <w:szCs w:val="21"/>
          <w:highlight w:val="none"/>
        </w:rPr>
      </w:pPr>
      <w:r>
        <w:rPr>
          <w:rFonts w:hint="eastAsia" w:ascii="宋体" w:hAnsi="宋体" w:cs="仿宋"/>
          <w:bCs/>
          <w:color w:val="auto"/>
          <w:szCs w:val="21"/>
          <w:highlight w:val="none"/>
        </w:rPr>
        <w:t>二、异议事项具体内容</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事项1：</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事实依据：</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法律依据：</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有效线索和相关证明材料（可以以附件形式提供）：</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rPr>
        <w:t>事项2</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bCs/>
          <w:color w:val="auto"/>
          <w:szCs w:val="21"/>
          <w:highlight w:val="none"/>
        </w:rPr>
      </w:pPr>
      <w:r>
        <w:rPr>
          <w:rFonts w:hint="eastAsia" w:ascii="宋体" w:hAnsi="宋体" w:cs="仿宋"/>
          <w:bCs/>
          <w:color w:val="auto"/>
          <w:szCs w:val="21"/>
          <w:highlight w:val="none"/>
        </w:rPr>
        <w:t>三、与异议事项相关请求及主张</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仿宋"/>
          <w:color w:val="auto"/>
          <w:szCs w:val="21"/>
          <w:highlight w:val="none"/>
          <w:u w:val="dotted"/>
        </w:rPr>
      </w:pP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r>
        <w:rPr>
          <w:rFonts w:hint="eastAsia" w:ascii="宋体" w:hAnsi="宋体"/>
          <w:color w:val="auto"/>
          <w:szCs w:val="21"/>
          <w:highlight w:val="none"/>
        </w:rPr>
        <w:t xml:space="preserve">                             异议提出人名称（盖公章）： </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r>
        <w:rPr>
          <w:rFonts w:hint="eastAsia" w:ascii="宋体" w:hAnsi="宋体"/>
          <w:color w:val="auto"/>
          <w:szCs w:val="21"/>
          <w:highlight w:val="none"/>
        </w:rPr>
        <w:t xml:space="preserve">                             法定代表人（签字）：</w:t>
      </w:r>
      <w:r>
        <w:rPr>
          <w:rFonts w:hint="eastAsia" w:ascii="宋体" w:hAnsi="宋体" w:cs="仿宋"/>
          <w:color w:val="auto"/>
          <w:szCs w:val="21"/>
          <w:highlight w:val="none"/>
          <w:u w:val="dotted"/>
        </w:rPr>
        <w:t xml:space="preserve">                               </w:t>
      </w:r>
    </w:p>
    <w:p>
      <w:pPr>
        <w:pBdr>
          <w:top w:val="single" w:color="auto" w:sz="4" w:space="1"/>
          <w:left w:val="single" w:color="auto" w:sz="4" w:space="4"/>
          <w:bottom w:val="single" w:color="auto" w:sz="4" w:space="1"/>
          <w:right w:val="single" w:color="auto" w:sz="4" w:space="4"/>
        </w:pBdr>
        <w:spacing w:line="360" w:lineRule="auto"/>
        <w:ind w:firstLine="3045" w:firstLineChars="1450"/>
        <w:rPr>
          <w:rFonts w:ascii="宋体" w:hAnsi="宋体"/>
          <w:color w:val="auto"/>
          <w:szCs w:val="21"/>
          <w:highlight w:val="none"/>
        </w:rPr>
      </w:pPr>
      <w:r>
        <w:rPr>
          <w:rFonts w:hint="eastAsia" w:ascii="宋体" w:hAnsi="宋体"/>
          <w:color w:val="auto"/>
          <w:szCs w:val="21"/>
          <w:highlight w:val="none"/>
        </w:rPr>
        <w:t>日期：      年    月   日</w:t>
      </w:r>
    </w:p>
    <w:p>
      <w:pPr>
        <w:numPr>
          <w:ilvl w:val="0"/>
          <w:numId w:val="154"/>
        </w:numPr>
        <w:autoSpaceDE w:val="0"/>
        <w:autoSpaceDN w:val="0"/>
        <w:adjustRightInd w:val="0"/>
        <w:snapToGrid w:val="0"/>
        <w:spacing w:line="360" w:lineRule="auto"/>
        <w:outlineLvl w:val="0"/>
        <w:rPr>
          <w:rFonts w:hint="eastAsia" w:ascii="宋体" w:hAnsi="宋体" w:eastAsia="宋体" w:cs="Times New Roman"/>
          <w:b/>
          <w:bCs/>
          <w:color w:val="auto"/>
          <w:szCs w:val="21"/>
          <w:highlight w:val="none"/>
        </w:rPr>
      </w:pPr>
      <w:bookmarkStart w:id="236" w:name="_Toc26332"/>
      <w:bookmarkStart w:id="237" w:name="_Toc12422"/>
      <w:bookmarkStart w:id="238" w:name="_Toc11131"/>
      <w:bookmarkStart w:id="239" w:name="_Toc28378"/>
      <w:bookmarkStart w:id="240" w:name="_Toc19681"/>
      <w:bookmarkStart w:id="241" w:name="_Toc13353"/>
      <w:bookmarkStart w:id="242" w:name="_Toc30326"/>
      <w:bookmarkStart w:id="243" w:name="_Toc24991"/>
      <w:bookmarkStart w:id="244" w:name="_Toc23931"/>
      <w:bookmarkStart w:id="245" w:name="_Toc7225"/>
      <w:bookmarkStart w:id="246" w:name="_Toc25904"/>
      <w:bookmarkStart w:id="247" w:name="_Toc31652"/>
      <w:bookmarkStart w:id="248" w:name="_Toc18924"/>
      <w:bookmarkStart w:id="249" w:name="_Toc3709"/>
      <w:bookmarkStart w:id="250" w:name="_Toc8388"/>
      <w:r>
        <w:rPr>
          <w:rFonts w:hint="eastAsia" w:ascii="宋体" w:hAnsi="宋体" w:eastAsia="宋体" w:cs="Times New Roman"/>
          <w:b/>
          <w:bCs/>
          <w:color w:val="auto"/>
          <w:szCs w:val="21"/>
          <w:highlight w:val="none"/>
        </w:rPr>
        <w:t>投诉</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numPr>
          <w:ilvl w:val="1"/>
          <w:numId w:val="154"/>
        </w:numPr>
        <w:autoSpaceDE w:val="0"/>
        <w:autoSpaceDN w:val="0"/>
        <w:adjustRightInd w:val="0"/>
        <w:snapToGrid w:val="0"/>
        <w:spacing w:line="360"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val="en-US" w:eastAsia="zh-CN"/>
        </w:rPr>
        <w:t xml:space="preserve">投标人投诉前，应当先向招标人提出异议，对招标人答复不满意或招标人未在规定时间内做出答复的，投标人或者其他利害关系人可以自知道或者应当知道之日起10日内向有关行政监督部门（佛山市政务服务数据管理局）投诉。投诉应当有明确的请求和合法、必要的证明材料。 </w:t>
      </w: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pStyle w:val="3"/>
        <w:numPr>
          <w:ilvl w:val="0"/>
          <w:numId w:val="0"/>
        </w:numPr>
        <w:ind w:leftChars="0"/>
        <w:rPr>
          <w:rFonts w:hint="eastAsia"/>
          <w:highlight w:val="none"/>
        </w:rPr>
      </w:pPr>
    </w:p>
    <w:p>
      <w:pPr>
        <w:rPr>
          <w:rFonts w:hint="eastAsia"/>
          <w:highlight w:val="none"/>
        </w:rPr>
      </w:pPr>
    </w:p>
    <w:p>
      <w:pPr>
        <w:pStyle w:val="3"/>
        <w:numPr>
          <w:ilvl w:val="0"/>
          <w:numId w:val="0"/>
        </w:numPr>
        <w:ind w:leftChars="0"/>
        <w:rPr>
          <w:rFonts w:hint="eastAsia"/>
          <w:highlight w:val="none"/>
        </w:rPr>
      </w:pPr>
    </w:p>
    <w:p>
      <w:pPr>
        <w:rPr>
          <w:rFonts w:hint="eastAsia"/>
          <w:highlight w:val="none"/>
        </w:rPr>
      </w:pPr>
    </w:p>
    <w:p>
      <w:pPr>
        <w:pStyle w:val="3"/>
        <w:numPr>
          <w:ilvl w:val="0"/>
          <w:numId w:val="0"/>
        </w:numPr>
        <w:ind w:leftChars="0"/>
        <w:rPr>
          <w:rFonts w:hint="eastAsia"/>
          <w:highlight w:val="none"/>
        </w:rPr>
      </w:pPr>
    </w:p>
    <w:p>
      <w:pPr>
        <w:rPr>
          <w:rFonts w:hint="eastAsia"/>
          <w:highlight w:val="none"/>
        </w:rPr>
      </w:pPr>
    </w:p>
    <w:p>
      <w:pPr>
        <w:pStyle w:val="3"/>
        <w:numPr>
          <w:ilvl w:val="0"/>
          <w:numId w:val="0"/>
        </w:numPr>
        <w:ind w:leftChars="0"/>
        <w:rPr>
          <w:rFonts w:hint="eastAsia"/>
          <w:highlight w:val="none"/>
        </w:rPr>
      </w:pPr>
    </w:p>
    <w:p>
      <w:pPr>
        <w:rPr>
          <w:rFonts w:hint="eastAsia"/>
          <w:highlight w:val="none"/>
        </w:rPr>
      </w:pPr>
    </w:p>
    <w:p>
      <w:pPr>
        <w:rPr>
          <w:rFonts w:hint="eastAsia"/>
          <w:b/>
          <w:bCs/>
          <w:color w:val="auto"/>
          <w:sz w:val="44"/>
          <w:szCs w:val="44"/>
          <w:highlight w:val="none"/>
        </w:rPr>
      </w:pPr>
    </w:p>
    <w:p>
      <w:pPr>
        <w:pStyle w:val="3"/>
        <w:numPr>
          <w:ilvl w:val="0"/>
          <w:numId w:val="0"/>
        </w:numPr>
        <w:ind w:leftChars="0"/>
        <w:rPr>
          <w:rFonts w:hint="eastAsia"/>
          <w:b w:val="0"/>
          <w:bCs w:val="0"/>
          <w:color w:val="auto"/>
          <w:sz w:val="44"/>
          <w:szCs w:val="44"/>
          <w:highlight w:val="none"/>
        </w:rPr>
      </w:pPr>
    </w:p>
    <w:p>
      <w:pPr>
        <w:rPr>
          <w:rFonts w:hint="eastAsia"/>
          <w:b/>
          <w:bCs/>
          <w:color w:val="auto"/>
          <w:sz w:val="44"/>
          <w:szCs w:val="44"/>
          <w:highlight w:val="none"/>
        </w:rPr>
      </w:pPr>
    </w:p>
    <w:p>
      <w:pPr>
        <w:pStyle w:val="3"/>
        <w:numPr>
          <w:ilvl w:val="0"/>
          <w:numId w:val="0"/>
        </w:numPr>
        <w:ind w:leftChars="0"/>
        <w:rPr>
          <w:rFonts w:hint="eastAsia"/>
          <w:b w:val="0"/>
          <w:bCs w:val="0"/>
          <w:color w:val="auto"/>
          <w:sz w:val="44"/>
          <w:szCs w:val="44"/>
          <w:highlight w:val="none"/>
        </w:rPr>
      </w:pPr>
    </w:p>
    <w:p>
      <w:pPr>
        <w:rPr>
          <w:rFonts w:hint="eastAsia"/>
          <w:b/>
          <w:bCs/>
          <w:color w:val="auto"/>
          <w:sz w:val="44"/>
          <w:szCs w:val="44"/>
          <w:highlight w:val="none"/>
        </w:rPr>
      </w:pPr>
    </w:p>
    <w:p>
      <w:pPr>
        <w:pStyle w:val="3"/>
        <w:numPr>
          <w:ilvl w:val="0"/>
          <w:numId w:val="0"/>
        </w:numPr>
        <w:ind w:leftChars="0"/>
        <w:rPr>
          <w:rFonts w:hint="eastAsia"/>
          <w:b w:val="0"/>
          <w:bCs w:val="0"/>
          <w:color w:val="auto"/>
          <w:sz w:val="44"/>
          <w:szCs w:val="44"/>
          <w:highlight w:val="none"/>
        </w:rPr>
      </w:pPr>
    </w:p>
    <w:p>
      <w:pPr>
        <w:rPr>
          <w:rFonts w:hint="eastAsia"/>
          <w:b/>
          <w:bCs/>
          <w:color w:val="auto"/>
          <w:sz w:val="44"/>
          <w:szCs w:val="44"/>
          <w:highlight w:val="none"/>
        </w:rPr>
      </w:pPr>
    </w:p>
    <w:p>
      <w:pPr>
        <w:pStyle w:val="3"/>
        <w:numPr>
          <w:ilvl w:val="0"/>
          <w:numId w:val="0"/>
        </w:numPr>
        <w:ind w:leftChars="0"/>
        <w:rPr>
          <w:rFonts w:hint="eastAsia"/>
          <w:b w:val="0"/>
          <w:bCs w:val="0"/>
          <w:color w:val="auto"/>
          <w:sz w:val="44"/>
          <w:szCs w:val="44"/>
          <w:highlight w:val="none"/>
        </w:rPr>
      </w:pPr>
    </w:p>
    <w:p>
      <w:pPr>
        <w:rPr>
          <w:rFonts w:hint="eastAsia"/>
          <w:highlight w:val="none"/>
        </w:rPr>
      </w:pPr>
    </w:p>
    <w:p>
      <w:pPr>
        <w:pStyle w:val="3"/>
        <w:numPr>
          <w:ilvl w:val="0"/>
          <w:numId w:val="0"/>
        </w:numPr>
        <w:ind w:leftChars="0"/>
        <w:rPr>
          <w:rFonts w:hint="eastAsia"/>
          <w:highlight w:val="none"/>
        </w:rPr>
      </w:pPr>
    </w:p>
    <w:p>
      <w:pPr>
        <w:snapToGrid w:val="0"/>
        <w:spacing w:line="360" w:lineRule="auto"/>
        <w:jc w:val="center"/>
        <w:outlineLvl w:val="0"/>
        <w:rPr>
          <w:rFonts w:hint="eastAsia"/>
          <w:b/>
          <w:bCs/>
          <w:color w:val="auto"/>
          <w:sz w:val="44"/>
          <w:szCs w:val="44"/>
          <w:highlight w:val="none"/>
        </w:rPr>
      </w:pPr>
      <w:bookmarkStart w:id="251" w:name="_Toc3186"/>
      <w:r>
        <w:rPr>
          <w:rFonts w:hint="eastAsia"/>
          <w:b/>
          <w:bCs/>
          <w:color w:val="auto"/>
          <w:sz w:val="44"/>
          <w:szCs w:val="44"/>
          <w:highlight w:val="none"/>
        </w:rPr>
        <w:t>第六章</w:t>
      </w:r>
      <w:bookmarkEnd w:id="71"/>
      <w:bookmarkEnd w:id="251"/>
    </w:p>
    <w:p>
      <w:pPr>
        <w:snapToGrid w:val="0"/>
        <w:spacing w:line="360" w:lineRule="auto"/>
        <w:jc w:val="center"/>
        <w:outlineLvl w:val="0"/>
        <w:rPr>
          <w:b/>
          <w:bCs/>
          <w:color w:val="auto"/>
          <w:sz w:val="44"/>
          <w:szCs w:val="44"/>
          <w:highlight w:val="none"/>
        </w:rPr>
      </w:pPr>
      <w:bookmarkStart w:id="252" w:name="_Toc7115"/>
      <w:bookmarkStart w:id="253" w:name="_Toc355879709"/>
      <w:bookmarkStart w:id="254" w:name="_Toc26216"/>
      <w:r>
        <w:rPr>
          <w:rFonts w:hint="eastAsia"/>
          <w:b/>
          <w:bCs/>
          <w:color w:val="auto"/>
          <w:sz w:val="44"/>
          <w:szCs w:val="44"/>
          <w:highlight w:val="none"/>
        </w:rPr>
        <w:t>合同条款</w:t>
      </w:r>
      <w:bookmarkEnd w:id="252"/>
      <w:bookmarkEnd w:id="253"/>
      <w:bookmarkEnd w:id="254"/>
    </w:p>
    <w:p>
      <w:pPr>
        <w:snapToGrid w:val="0"/>
        <w:spacing w:line="360" w:lineRule="auto"/>
        <w:jc w:val="center"/>
        <w:outlineLvl w:val="0"/>
        <w:rPr>
          <w:b/>
          <w:bCs/>
          <w:color w:val="auto"/>
          <w:sz w:val="44"/>
          <w:szCs w:val="44"/>
          <w:highlight w:val="none"/>
        </w:rPr>
      </w:pPr>
    </w:p>
    <w:p>
      <w:pPr>
        <w:snapToGrid w:val="0"/>
        <w:spacing w:line="360" w:lineRule="auto"/>
        <w:jc w:val="center"/>
        <w:outlineLvl w:val="0"/>
        <w:rPr>
          <w:b/>
          <w:bCs/>
          <w:color w:val="auto"/>
          <w:sz w:val="44"/>
          <w:szCs w:val="44"/>
          <w:highlight w:val="none"/>
        </w:rPr>
      </w:pPr>
    </w:p>
    <w:p>
      <w:pPr>
        <w:snapToGrid w:val="0"/>
        <w:spacing w:line="360" w:lineRule="auto"/>
        <w:jc w:val="center"/>
        <w:outlineLvl w:val="0"/>
        <w:rPr>
          <w:b/>
          <w:bCs/>
          <w:color w:val="auto"/>
          <w:sz w:val="44"/>
          <w:szCs w:val="44"/>
          <w:highlight w:val="none"/>
        </w:rPr>
      </w:pPr>
    </w:p>
    <w:p>
      <w:pPr>
        <w:snapToGrid w:val="0"/>
        <w:spacing w:line="360" w:lineRule="auto"/>
        <w:jc w:val="center"/>
        <w:outlineLvl w:val="0"/>
        <w:rPr>
          <w:b/>
          <w:bCs/>
          <w:color w:val="auto"/>
          <w:sz w:val="44"/>
          <w:szCs w:val="44"/>
          <w:highlight w:val="none"/>
        </w:rPr>
      </w:pPr>
    </w:p>
    <w:p>
      <w:pPr>
        <w:snapToGrid w:val="0"/>
        <w:spacing w:line="360" w:lineRule="auto"/>
        <w:jc w:val="center"/>
        <w:outlineLvl w:val="0"/>
        <w:rPr>
          <w:b/>
          <w:bCs/>
          <w:color w:val="auto"/>
          <w:sz w:val="44"/>
          <w:szCs w:val="44"/>
          <w:highlight w:val="none"/>
        </w:rPr>
      </w:pPr>
    </w:p>
    <w:p>
      <w:pPr>
        <w:rPr>
          <w:rFonts w:hint="eastAsia"/>
          <w:b/>
          <w:color w:val="auto"/>
          <w:sz w:val="24"/>
          <w:highlight w:val="none"/>
        </w:rPr>
      </w:pPr>
      <w:r>
        <w:rPr>
          <w:rFonts w:hint="eastAsia"/>
          <w:color w:val="auto"/>
          <w:highlight w:val="none"/>
        </w:rPr>
        <w:t xml:space="preserve">       </w:t>
      </w:r>
      <w:r>
        <w:rPr>
          <w:rFonts w:hint="eastAsia"/>
          <w:b/>
          <w:color w:val="auto"/>
          <w:sz w:val="24"/>
          <w:highlight w:val="none"/>
        </w:rPr>
        <w:t>注：本合同仅为合同的参考文本，合同签订双方可根据项目的具体要求进行修订。</w:t>
      </w:r>
    </w:p>
    <w:p>
      <w:pPr>
        <w:spacing w:before="100" w:beforeLines="0" w:beforeAutospacing="1" w:after="100" w:afterLines="0" w:afterAutospacing="1" w:line="280" w:lineRule="atLeast"/>
        <w:jc w:val="left"/>
        <w:rPr>
          <w:rFonts w:hint="default" w:ascii="Times New Roman" w:hAnsi="Times New Roman" w:cs="Times New Roman"/>
          <w:color w:val="auto"/>
          <w:kern w:val="0"/>
          <w:sz w:val="30"/>
          <w:szCs w:val="28"/>
          <w:highlight w:val="none"/>
        </w:rPr>
      </w:pPr>
      <w:r>
        <w:rPr>
          <w:rFonts w:hint="eastAsia"/>
          <w:b/>
          <w:color w:val="auto"/>
          <w:sz w:val="24"/>
          <w:highlight w:val="none"/>
        </w:rPr>
        <w:br w:type="page"/>
      </w:r>
      <w:r>
        <w:rPr>
          <w:rFonts w:hint="default" w:ascii="Times New Roman" w:hAnsi="Times New Roman" w:cs="Times New Roman"/>
          <w:color w:val="auto"/>
          <w:kern w:val="0"/>
          <w:sz w:val="32"/>
          <w:szCs w:val="28"/>
          <w:highlight w:val="none"/>
        </w:rPr>
        <w:t>GF—2016—</w:t>
      </w:r>
      <w:r>
        <w:rPr>
          <w:rFonts w:hint="default" w:ascii="Times New Roman" w:hAnsi="Times New Roman" w:cs="Times New Roman"/>
          <w:color w:val="auto"/>
          <w:kern w:val="0"/>
          <w:sz w:val="32"/>
          <w:szCs w:val="28"/>
          <w:highlight w:val="none"/>
          <w:lang w:val="en-US" w:eastAsia="zh-CN"/>
        </w:rPr>
        <w:t>0203</w:t>
      </w:r>
    </w:p>
    <w:p>
      <w:pPr>
        <w:spacing w:before="100" w:beforeLines="0" w:beforeAutospacing="1" w:after="100" w:afterLines="0" w:afterAutospacing="1" w:line="280" w:lineRule="atLeast"/>
        <w:jc w:val="right"/>
        <w:rPr>
          <w:rFonts w:ascii="宋体" w:cs="宋体"/>
          <w:b/>
          <w:bCs/>
          <w:color w:val="auto"/>
          <w:kern w:val="0"/>
          <w:sz w:val="28"/>
          <w:szCs w:val="28"/>
          <w:highlight w:val="none"/>
          <w:u w:val="single"/>
        </w:rPr>
      </w:pPr>
      <w:r>
        <w:rPr>
          <w:rFonts w:hint="eastAsia" w:ascii="宋体" w:hAnsi="宋体" w:cs="宋体"/>
          <w:b/>
          <w:bCs/>
          <w:color w:val="auto"/>
          <w:kern w:val="0"/>
          <w:sz w:val="32"/>
          <w:szCs w:val="28"/>
          <w:highlight w:val="none"/>
          <w:lang w:val="en-US" w:eastAsia="zh-CN"/>
        </w:rPr>
        <w:t xml:space="preserve">                 </w:t>
      </w:r>
      <w:r>
        <w:rPr>
          <w:rFonts w:hint="eastAsia" w:ascii="宋体" w:hAnsi="宋体" w:cs="宋体"/>
          <w:b/>
          <w:bCs/>
          <w:color w:val="auto"/>
          <w:kern w:val="0"/>
          <w:sz w:val="32"/>
          <w:szCs w:val="28"/>
          <w:highlight w:val="none"/>
        </w:rPr>
        <w:t>合同编号：</w:t>
      </w:r>
      <w:r>
        <w:rPr>
          <w:rFonts w:hint="eastAsia" w:ascii="宋体" w:hAnsi="宋体" w:cs="宋体"/>
          <w:b/>
          <w:bCs/>
          <w:color w:val="auto"/>
          <w:kern w:val="0"/>
          <w:sz w:val="32"/>
          <w:szCs w:val="28"/>
          <w:highlight w:val="none"/>
          <w:lang w:val="en-US" w:eastAsia="zh-CN"/>
        </w:rPr>
        <w:t>佛机场建kc-2022-</w:t>
      </w:r>
    </w:p>
    <w:p>
      <w:pPr>
        <w:spacing w:before="100" w:beforeLines="0" w:beforeAutospacing="1" w:after="100" w:afterLines="0" w:afterAutospacing="1" w:line="280" w:lineRule="atLeast"/>
        <w:jc w:val="both"/>
        <w:rPr>
          <w:rFonts w:ascii="宋体" w:cs="宋体"/>
          <w:b/>
          <w:bCs/>
          <w:color w:val="auto"/>
          <w:spacing w:val="30"/>
          <w:kern w:val="0"/>
          <w:sz w:val="44"/>
          <w:szCs w:val="44"/>
          <w:highlight w:val="none"/>
        </w:rPr>
      </w:pPr>
    </w:p>
    <w:p>
      <w:pPr>
        <w:adjustRightInd w:val="0"/>
        <w:snapToGrid w:val="0"/>
        <w:spacing w:before="100" w:beforeLines="0" w:beforeAutospacing="1" w:after="100" w:afterLines="0" w:afterAutospacing="1"/>
        <w:jc w:val="center"/>
        <w:rPr>
          <w:rFonts w:ascii="方正小标宋简体" w:hAnsi="方正小标宋简体" w:eastAsia="方正小标宋简体" w:cs="宋体"/>
          <w:color w:val="auto"/>
          <w:kern w:val="0"/>
          <w:sz w:val="72"/>
          <w:szCs w:val="44"/>
          <w:highlight w:val="none"/>
        </w:rPr>
      </w:pPr>
      <w:r>
        <w:rPr>
          <w:rFonts w:hint="eastAsia" w:ascii="方正小标宋简体" w:hAnsi="方正小标宋简体" w:eastAsia="方正小标宋简体" w:cs="宋体"/>
          <w:color w:val="auto"/>
          <w:kern w:val="0"/>
          <w:sz w:val="72"/>
          <w:szCs w:val="44"/>
          <w:highlight w:val="none"/>
        </w:rPr>
        <w:t>建设工程勘察合同</w:t>
      </w:r>
    </w:p>
    <w:p>
      <w:pPr>
        <w:spacing w:line="600" w:lineRule="exact"/>
        <w:rPr>
          <w:rFonts w:hint="eastAsia" w:ascii="新宋体" w:hAnsi="新宋体" w:eastAsia="新宋体"/>
          <w:color w:val="auto"/>
          <w:sz w:val="28"/>
          <w:szCs w:val="28"/>
          <w:highlight w:val="none"/>
        </w:rPr>
      </w:pPr>
    </w:p>
    <w:p>
      <w:pPr>
        <w:pStyle w:val="24"/>
        <w:rPr>
          <w:rFonts w:hint="eastAsia"/>
          <w:highlight w:val="none"/>
        </w:rPr>
      </w:pPr>
    </w:p>
    <w:p>
      <w:pPr>
        <w:pStyle w:val="24"/>
        <w:rPr>
          <w:rFonts w:hint="eastAsia"/>
          <w:highlight w:val="none"/>
        </w:rPr>
      </w:pPr>
    </w:p>
    <w:p>
      <w:pPr>
        <w:spacing w:line="600" w:lineRule="exact"/>
        <w:ind w:left="1680" w:leftChars="0" w:hanging="1680" w:hangingChars="600"/>
        <w:rPr>
          <w:rFonts w:hint="eastAsia" w:ascii="新宋体" w:hAnsi="新宋体" w:eastAsia="新宋体"/>
          <w:color w:val="auto"/>
          <w:sz w:val="28"/>
          <w:szCs w:val="28"/>
          <w:highlight w:val="none"/>
          <w:u w:val="single"/>
          <w:lang w:val="en-US" w:eastAsia="zh-CN"/>
        </w:rPr>
      </w:pPr>
      <w:r>
        <w:rPr>
          <w:rFonts w:hint="eastAsia" w:ascii="新宋体" w:hAnsi="新宋体" w:eastAsia="新宋体"/>
          <w:color w:val="auto"/>
          <w:sz w:val="28"/>
          <w:szCs w:val="28"/>
          <w:highlight w:val="none"/>
          <w:lang w:val="en-US" w:eastAsia="zh-CN"/>
        </w:rPr>
        <w:t xml:space="preserve">   </w:t>
      </w:r>
      <w:r>
        <w:rPr>
          <w:rFonts w:hint="eastAsia" w:ascii="新宋体" w:hAnsi="新宋体" w:eastAsia="新宋体"/>
          <w:color w:val="auto"/>
          <w:sz w:val="28"/>
          <w:szCs w:val="28"/>
          <w:highlight w:val="none"/>
        </w:rPr>
        <w:t>工程名称：</w:t>
      </w:r>
      <w:r>
        <w:rPr>
          <w:rFonts w:hint="eastAsia" w:ascii="新宋体" w:hAnsi="新宋体" w:eastAsia="新宋体"/>
          <w:color w:val="auto"/>
          <w:sz w:val="28"/>
          <w:szCs w:val="28"/>
          <w:highlight w:val="none"/>
          <w:u w:val="single"/>
        </w:rPr>
        <w:t>珠三角枢纽（广州新）机场可行性研究阶段勘察服务项目</w:t>
      </w:r>
    </w:p>
    <w:p>
      <w:pPr>
        <w:widowControl/>
        <w:ind w:firstLine="560" w:firstLineChars="200"/>
        <w:rPr>
          <w:rFonts w:hint="eastAsia" w:ascii="新宋体" w:hAnsi="新宋体" w:eastAsia="新宋体"/>
          <w:color w:val="auto"/>
          <w:sz w:val="28"/>
          <w:szCs w:val="28"/>
          <w:highlight w:val="none"/>
          <w:lang w:eastAsia="zh-CN"/>
        </w:rPr>
      </w:pPr>
      <w:r>
        <w:rPr>
          <w:rFonts w:hint="eastAsia" w:ascii="新宋体" w:hAnsi="新宋体" w:eastAsia="新宋体"/>
          <w:color w:val="auto"/>
          <w:sz w:val="28"/>
          <w:szCs w:val="28"/>
          <w:highlight w:val="none"/>
          <w:lang w:eastAsia="zh-CN"/>
        </w:rPr>
        <w:t>包组号：</w:t>
      </w:r>
      <w:r>
        <w:rPr>
          <w:rFonts w:hint="eastAsia" w:ascii="新宋体" w:hAnsi="新宋体" w:eastAsia="新宋体"/>
          <w:color w:val="auto"/>
          <w:sz w:val="28"/>
          <w:szCs w:val="28"/>
          <w:highlight w:val="none"/>
          <w:u w:val="single"/>
          <w:lang w:val="en-US" w:eastAsia="zh-CN"/>
        </w:rPr>
        <w:t>包组一</w:t>
      </w:r>
    </w:p>
    <w:p>
      <w:pPr>
        <w:widowControl/>
        <w:ind w:firstLine="560" w:firstLineChars="200"/>
        <w:rPr>
          <w:rFonts w:hint="eastAsia" w:ascii="新宋体" w:hAnsi="新宋体" w:eastAsia="新宋体"/>
          <w:color w:val="auto"/>
          <w:sz w:val="28"/>
          <w:szCs w:val="28"/>
          <w:highlight w:val="none"/>
          <w:lang w:eastAsia="zh-CN"/>
        </w:rPr>
      </w:pPr>
      <w:r>
        <w:rPr>
          <w:rFonts w:hint="eastAsia" w:ascii="新宋体" w:hAnsi="新宋体" w:eastAsia="新宋体"/>
          <w:color w:val="auto"/>
          <w:sz w:val="28"/>
          <w:szCs w:val="28"/>
          <w:highlight w:val="none"/>
        </w:rPr>
        <w:t>发包人：</w:t>
      </w:r>
      <w:r>
        <w:rPr>
          <w:rFonts w:hint="eastAsia" w:ascii="新宋体" w:hAnsi="新宋体" w:eastAsia="新宋体"/>
          <w:color w:val="auto"/>
          <w:sz w:val="28"/>
          <w:szCs w:val="28"/>
          <w:highlight w:val="none"/>
          <w:u w:val="single"/>
          <w:lang w:eastAsia="zh-CN"/>
        </w:rPr>
        <w:t>佛山市机场建设开发有限公司</w:t>
      </w:r>
    </w:p>
    <w:p>
      <w:pPr>
        <w:widowControl/>
        <w:ind w:firstLine="560" w:firstLineChars="200"/>
        <w:rPr>
          <w:rFonts w:hint="eastAsia" w:ascii="新宋体" w:hAnsi="新宋体" w:eastAsia="新宋体"/>
          <w:color w:val="auto"/>
          <w:sz w:val="28"/>
          <w:szCs w:val="28"/>
          <w:highlight w:val="none"/>
        </w:rPr>
      </w:pPr>
      <w:r>
        <w:rPr>
          <w:rFonts w:hint="eastAsia" w:ascii="新宋体" w:hAnsi="新宋体" w:eastAsia="新宋体"/>
          <w:color w:val="auto"/>
          <w:sz w:val="28"/>
          <w:szCs w:val="28"/>
          <w:highlight w:val="none"/>
          <w:u w:val="none"/>
          <w:lang w:eastAsia="zh-CN"/>
        </w:rPr>
        <w:t>承包人：</w:t>
      </w:r>
      <w:r>
        <w:rPr>
          <w:rFonts w:hint="eastAsia" w:ascii="新宋体" w:hAnsi="新宋体" w:eastAsia="新宋体"/>
          <w:color w:val="auto"/>
          <w:sz w:val="28"/>
          <w:szCs w:val="28"/>
          <w:highlight w:val="none"/>
          <w:u w:val="single"/>
        </w:rPr>
        <w:t xml:space="preserve">                            </w:t>
      </w:r>
    </w:p>
    <w:p>
      <w:pPr>
        <w:widowControl/>
        <w:spacing w:before="0" w:beforeLines="0" w:beforeAutospacing="0" w:after="0" w:afterLines="0" w:afterAutospacing="0" w:line="240" w:lineRule="auto"/>
        <w:ind w:firstLine="560" w:firstLineChars="200"/>
        <w:jc w:val="left"/>
        <w:rPr>
          <w:rFonts w:hint="eastAsia" w:ascii="新宋体" w:hAnsi="新宋体" w:eastAsia="新宋体"/>
          <w:color w:val="auto"/>
          <w:sz w:val="28"/>
          <w:szCs w:val="28"/>
          <w:highlight w:val="none"/>
          <w:u w:val="single"/>
        </w:rPr>
      </w:pPr>
      <w:r>
        <w:rPr>
          <w:rFonts w:hint="eastAsia" w:ascii="新宋体" w:hAnsi="新宋体" w:eastAsia="新宋体"/>
          <w:color w:val="auto"/>
          <w:sz w:val="28"/>
          <w:szCs w:val="28"/>
          <w:highlight w:val="none"/>
        </w:rPr>
        <w:t>签订日期：</w:t>
      </w:r>
      <w:r>
        <w:rPr>
          <w:rFonts w:hint="eastAsia" w:ascii="新宋体" w:hAnsi="新宋体" w:eastAsia="新宋体"/>
          <w:color w:val="auto"/>
          <w:sz w:val="28"/>
          <w:szCs w:val="28"/>
          <w:highlight w:val="none"/>
          <w:u w:val="single"/>
        </w:rPr>
        <w:t xml:space="preserve">                           </w:t>
      </w:r>
    </w:p>
    <w:p>
      <w:pPr>
        <w:pStyle w:val="24"/>
        <w:ind w:left="0" w:leftChars="0" w:firstLine="0" w:firstLineChars="0"/>
        <w:rPr>
          <w:rFonts w:hint="eastAsia" w:ascii="新宋体" w:hAnsi="新宋体" w:eastAsia="新宋体"/>
          <w:color w:val="auto"/>
          <w:sz w:val="28"/>
          <w:szCs w:val="28"/>
          <w:highlight w:val="none"/>
          <w:u w:val="single"/>
        </w:rPr>
      </w:pPr>
    </w:p>
    <w:p>
      <w:pPr>
        <w:pStyle w:val="24"/>
        <w:ind w:left="0" w:leftChars="0" w:firstLine="0" w:firstLineChars="0"/>
        <w:rPr>
          <w:rFonts w:hint="eastAsia" w:ascii="新宋体" w:hAnsi="新宋体" w:eastAsia="新宋体"/>
          <w:color w:val="auto"/>
          <w:sz w:val="28"/>
          <w:szCs w:val="28"/>
          <w:highlight w:val="none"/>
          <w:u w:val="single"/>
        </w:rPr>
      </w:pPr>
    </w:p>
    <w:p>
      <w:pPr>
        <w:pStyle w:val="24"/>
        <w:ind w:left="0" w:leftChars="0" w:firstLine="0" w:firstLineChars="0"/>
        <w:rPr>
          <w:rFonts w:hint="eastAsia" w:ascii="新宋体" w:hAnsi="新宋体" w:eastAsia="新宋体"/>
          <w:color w:val="auto"/>
          <w:sz w:val="28"/>
          <w:szCs w:val="28"/>
          <w:highlight w:val="none"/>
          <w:u w:val="single"/>
        </w:rPr>
      </w:pPr>
    </w:p>
    <w:p>
      <w:pPr>
        <w:pStyle w:val="24"/>
        <w:rPr>
          <w:rFonts w:hint="eastAsia" w:ascii="新宋体" w:hAnsi="新宋体" w:eastAsia="新宋体"/>
          <w:color w:val="auto"/>
          <w:sz w:val="28"/>
          <w:szCs w:val="28"/>
          <w:highlight w:val="none"/>
          <w:u w:val="singl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5"/>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cs="宋体"/>
                <w:b/>
                <w:color w:val="auto"/>
                <w:spacing w:val="40"/>
                <w:sz w:val="32"/>
                <w:szCs w:val="30"/>
                <w:highlight w:val="none"/>
              </w:rPr>
            </w:pPr>
            <w:r>
              <w:rPr>
                <w:rFonts w:hint="eastAsia" w:ascii="宋体" w:hAnsi="宋体" w:cs="宋体"/>
                <w:b/>
                <w:color w:val="auto"/>
                <w:spacing w:val="40"/>
                <w:sz w:val="32"/>
                <w:szCs w:val="30"/>
                <w:highlight w:val="none"/>
              </w:rPr>
              <w:t>住房和城乡建设部</w:t>
            </w:r>
          </w:p>
        </w:tc>
        <w:tc>
          <w:tcPr>
            <w:tcW w:w="977" w:type="dxa"/>
            <w:vMerge w:val="restart"/>
            <w:noWrap w:val="0"/>
            <w:vAlign w:val="center"/>
          </w:tcPr>
          <w:p>
            <w:pPr>
              <w:spacing w:before="100" w:beforeLines="0" w:beforeAutospacing="1" w:after="100" w:afterLines="0" w:afterAutospacing="1" w:line="280" w:lineRule="atLeast"/>
              <w:rPr>
                <w:rFonts w:ascii="宋体" w:cs="宋体"/>
                <w:b/>
                <w:color w:val="auto"/>
                <w:sz w:val="32"/>
                <w:szCs w:val="30"/>
                <w:highlight w:val="none"/>
              </w:rPr>
            </w:pPr>
            <w:r>
              <w:rPr>
                <w:rFonts w:hint="eastAsia" w:ascii="宋体" w:hAnsi="宋体" w:cs="宋体"/>
                <w:b/>
                <w:color w:val="auto"/>
                <w:sz w:val="32"/>
                <w:szCs w:val="30"/>
                <w:highlight w:val="none"/>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cs="宋体"/>
                <w:b/>
                <w:color w:val="auto"/>
                <w:sz w:val="32"/>
                <w:szCs w:val="30"/>
                <w:highlight w:val="none"/>
              </w:rPr>
            </w:pPr>
            <w:r>
              <w:rPr>
                <w:rFonts w:hint="eastAsia" w:ascii="宋体" w:hAnsi="宋体" w:cs="宋体"/>
                <w:b/>
                <w:color w:val="auto"/>
                <w:sz w:val="32"/>
                <w:szCs w:val="30"/>
                <w:highlight w:val="none"/>
              </w:rPr>
              <w:t>国家工商行政管理总局</w:t>
            </w:r>
          </w:p>
        </w:tc>
        <w:tc>
          <w:tcPr>
            <w:tcW w:w="977" w:type="dxa"/>
            <w:vMerge w:val="continue"/>
            <w:noWrap w:val="0"/>
            <w:vAlign w:val="center"/>
          </w:tcPr>
          <w:p>
            <w:pPr>
              <w:spacing w:before="100" w:beforeLines="0" w:beforeAutospacing="1" w:after="100" w:afterLines="0" w:afterAutospacing="1" w:line="280" w:lineRule="atLeast"/>
              <w:rPr>
                <w:rFonts w:ascii="宋体" w:cs="宋体"/>
                <w:bCs/>
                <w:color w:val="auto"/>
                <w:kern w:val="0"/>
                <w:sz w:val="32"/>
                <w:szCs w:val="28"/>
                <w:highlight w:val="none"/>
              </w:rPr>
            </w:pPr>
          </w:p>
        </w:tc>
      </w:tr>
    </w:tbl>
    <w:p>
      <w:pPr>
        <w:pStyle w:val="24"/>
        <w:rPr>
          <w:rFonts w:ascii="宋体" w:cs="宋体"/>
          <w:bCs/>
          <w:color w:val="auto"/>
          <w:kern w:val="0"/>
          <w:sz w:val="26"/>
          <w:szCs w:val="28"/>
          <w:highlight w:val="none"/>
        </w:rPr>
      </w:pPr>
    </w:p>
    <w:p>
      <w:pPr>
        <w:tabs>
          <w:tab w:val="left" w:pos="2580"/>
          <w:tab w:val="center" w:pos="5121"/>
        </w:tabs>
        <w:snapToGrid w:val="0"/>
        <w:spacing w:line="360" w:lineRule="auto"/>
        <w:jc w:val="center"/>
        <w:outlineLvl w:val="0"/>
        <w:rPr>
          <w:rFonts w:hint="eastAsia" w:ascii="宋体" w:hAnsi="宋体" w:eastAsia="宋体" w:cs="宋体"/>
          <w:b/>
          <w:bCs/>
          <w:color w:val="auto"/>
          <w:kern w:val="0"/>
          <w:sz w:val="32"/>
          <w:szCs w:val="32"/>
          <w:highlight w:val="none"/>
        </w:rPr>
      </w:pPr>
      <w:bookmarkStart w:id="255" w:name="_Toc457826138"/>
      <w:bookmarkStart w:id="256" w:name="_Toc12449"/>
      <w:bookmarkStart w:id="257" w:name="_Toc406150409"/>
      <w:r>
        <w:rPr>
          <w:rFonts w:hint="eastAsia" w:ascii="宋体" w:hAnsi="宋体" w:eastAsia="宋体" w:cs="宋体"/>
          <w:b/>
          <w:bCs/>
          <w:color w:val="auto"/>
          <w:kern w:val="0"/>
          <w:sz w:val="32"/>
          <w:szCs w:val="32"/>
          <w:highlight w:val="none"/>
        </w:rPr>
        <w:t>第一部分　合同协议书</w:t>
      </w:r>
      <w:bookmarkEnd w:id="255"/>
      <w:bookmarkEnd w:id="256"/>
      <w:bookmarkEnd w:id="257"/>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发包人（全称）：</w:t>
      </w:r>
      <w:r>
        <w:rPr>
          <w:rFonts w:hint="eastAsia" w:ascii="宋体" w:hAnsi="宋体" w:cs="宋体"/>
          <w:b/>
          <w:color w:val="auto"/>
          <w:kern w:val="0"/>
          <w:sz w:val="24"/>
          <w:szCs w:val="24"/>
          <w:highlight w:val="none"/>
          <w:u w:val="single"/>
          <w:lang w:eastAsia="zh-CN"/>
        </w:rPr>
        <w:t>佛山市机场建设开发有限公司</w:t>
      </w:r>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承包人</w:t>
      </w:r>
      <w:r>
        <w:rPr>
          <w:rFonts w:hint="eastAsia" w:ascii="宋体" w:hAnsi="宋体" w:eastAsia="宋体" w:cs="宋体"/>
          <w:b/>
          <w:color w:val="auto"/>
          <w:kern w:val="0"/>
          <w:sz w:val="24"/>
          <w:szCs w:val="24"/>
          <w:highlight w:val="none"/>
        </w:rPr>
        <w:t>（全称）：_____________________________</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olor w:val="auto"/>
          <w:sz w:val="24"/>
          <w:highlight w:val="none"/>
          <w:u w:val="single"/>
          <w:lang w:eastAsia="zh-CN"/>
        </w:rPr>
        <w:t>佛山市机场建设开发有限公司</w:t>
      </w:r>
      <w:r>
        <w:rPr>
          <w:rFonts w:hint="eastAsia" w:ascii="宋体" w:hAnsi="宋体"/>
          <w:color w:val="auto"/>
          <w:sz w:val="24"/>
          <w:highlight w:val="none"/>
        </w:rPr>
        <w:t>（以下简称发包人）通过公开招标，确定</w:t>
      </w:r>
      <w:r>
        <w:rPr>
          <w:rFonts w:ascii="宋体" w:hAnsi="宋体"/>
          <w:color w:val="auto"/>
          <w:sz w:val="24"/>
          <w:highlight w:val="none"/>
          <w:u w:val="single"/>
        </w:rPr>
        <w:t xml:space="preserve">        </w:t>
      </w:r>
      <w:r>
        <w:rPr>
          <w:rFonts w:hint="eastAsia" w:ascii="宋体" w:hAnsi="宋体"/>
          <w:color w:val="auto"/>
          <w:sz w:val="24"/>
          <w:highlight w:val="none"/>
        </w:rPr>
        <w:t>（以下简称</w:t>
      </w:r>
      <w:r>
        <w:rPr>
          <w:rFonts w:hint="eastAsia" w:ascii="宋体" w:hAnsi="宋体"/>
          <w:color w:val="auto"/>
          <w:sz w:val="24"/>
          <w:highlight w:val="none"/>
          <w:lang w:eastAsia="zh-CN"/>
        </w:rPr>
        <w:t>承包人</w:t>
      </w:r>
      <w:r>
        <w:rPr>
          <w:rFonts w:hint="eastAsia" w:ascii="宋体" w:hAnsi="宋体"/>
          <w:color w:val="auto"/>
          <w:sz w:val="24"/>
          <w:highlight w:val="none"/>
        </w:rPr>
        <w:t>）为</w:t>
      </w:r>
      <w:r>
        <w:rPr>
          <w:rFonts w:hint="eastAsia" w:ascii="宋体" w:hAnsi="宋体"/>
          <w:color w:val="auto"/>
          <w:sz w:val="24"/>
          <w:highlight w:val="none"/>
          <w:u w:val="single"/>
          <w:lang w:eastAsia="zh-CN"/>
        </w:rPr>
        <w:t>珠三角枢纽（广州新）机场可行性研究阶段勘察服务项目（包组一）</w:t>
      </w:r>
      <w:r>
        <w:rPr>
          <w:rFonts w:hint="eastAsia" w:ascii="宋体" w:hAnsi="宋体" w:cs="宋体"/>
          <w:color w:val="auto"/>
          <w:sz w:val="24"/>
          <w:highlight w:val="none"/>
        </w:rPr>
        <w:t>的实施单位。</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民法典</w:t>
      </w:r>
      <w:r>
        <w:rPr>
          <w:rFonts w:hint="eastAsia" w:ascii="宋体" w:hAnsi="宋体" w:eastAsia="宋体" w:cs="宋体"/>
          <w:color w:val="auto"/>
          <w:kern w:val="0"/>
          <w:sz w:val="24"/>
          <w:szCs w:val="24"/>
          <w:highlight w:val="none"/>
        </w:rPr>
        <w:t>》、《中华人民共和国建筑法》、</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kern w:val="0"/>
          <w:sz w:val="24"/>
          <w:szCs w:val="24"/>
          <w:highlight w:val="none"/>
        </w:rPr>
        <w:t>等相关法律法规的规定，遵循平等、自愿、公平和诚实信用的原则，双方就</w:t>
      </w:r>
      <w:r>
        <w:rPr>
          <w:rFonts w:hint="eastAsia" w:ascii="宋体" w:hAnsi="宋体" w:cs="宋体"/>
          <w:color w:val="auto"/>
          <w:kern w:val="0"/>
          <w:sz w:val="24"/>
          <w:szCs w:val="24"/>
          <w:highlight w:val="none"/>
          <w:u w:val="single"/>
          <w:lang w:eastAsia="zh-CN"/>
        </w:rPr>
        <w:t>本项目包组一</w:t>
      </w:r>
      <w:r>
        <w:rPr>
          <w:rFonts w:hint="eastAsia" w:ascii="宋体" w:hAnsi="宋体" w:eastAsia="宋体" w:cs="宋体"/>
          <w:color w:val="auto"/>
          <w:kern w:val="0"/>
          <w:sz w:val="24"/>
          <w:szCs w:val="24"/>
          <w:highlight w:val="none"/>
        </w:rPr>
        <w:t>有关事项协商一致，达成如下协议。</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58" w:name="_Toc457826139"/>
      <w:bookmarkStart w:id="259" w:name="_Toc406150410"/>
      <w:r>
        <w:rPr>
          <w:rFonts w:hint="eastAsia" w:ascii="宋体" w:hAnsi="宋体" w:eastAsia="宋体" w:cs="宋体"/>
          <w:b/>
          <w:color w:val="auto"/>
          <w:kern w:val="0"/>
          <w:sz w:val="24"/>
          <w:szCs w:val="24"/>
          <w:highlight w:val="none"/>
        </w:rPr>
        <w:t>一、工程概况</w:t>
      </w:r>
      <w:bookmarkEnd w:id="258"/>
      <w:bookmarkEnd w:id="259"/>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1.工程名称：</w:t>
      </w:r>
      <w:r>
        <w:rPr>
          <w:rFonts w:hint="eastAsia" w:ascii="宋体" w:hAnsi="宋体" w:cs="宋体"/>
          <w:color w:val="auto"/>
          <w:kern w:val="0"/>
          <w:sz w:val="24"/>
          <w:szCs w:val="24"/>
          <w:highlight w:val="none"/>
          <w:u w:val="single"/>
          <w:lang w:val="en-US" w:eastAsia="zh-CN"/>
        </w:rPr>
        <w:t>珠三角枢纽（广州新）机场可行性研究阶段勘察服务项目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2.工程地点：</w:t>
      </w:r>
      <w:r>
        <w:rPr>
          <w:rFonts w:hint="eastAsia" w:hAnsi="宋体" w:cs="仿宋_GB2312"/>
          <w:color w:val="auto"/>
          <w:sz w:val="24"/>
          <w:szCs w:val="24"/>
          <w:highlight w:val="none"/>
          <w:u w:val="single"/>
          <w:lang w:eastAsia="zh-CN"/>
        </w:rPr>
        <w:t>佛山更合镇东北部、肇庆市蛟塘镇西侧</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3.工程规模、特征：</w:t>
      </w:r>
      <w:r>
        <w:rPr>
          <w:rFonts w:hint="eastAsia" w:ascii="宋体" w:hAnsi="宋体" w:eastAsia="宋体" w:cs="宋体"/>
          <w:color w:val="auto"/>
          <w:kern w:val="0"/>
          <w:sz w:val="24"/>
          <w:szCs w:val="24"/>
          <w:highlight w:val="none"/>
          <w:u w:val="single"/>
          <w:lang w:eastAsia="zh-CN"/>
        </w:rPr>
        <w:t>详见“</w:t>
      </w:r>
      <w:r>
        <w:rPr>
          <w:rFonts w:hint="eastAsia" w:ascii="宋体" w:hAnsi="宋体" w:eastAsia="宋体" w:cs="宋体"/>
          <w:color w:val="auto"/>
          <w:kern w:val="0"/>
          <w:sz w:val="24"/>
          <w:szCs w:val="24"/>
          <w:highlight w:val="none"/>
          <w:u w:val="single"/>
          <w:lang w:val="en-US" w:eastAsia="zh-CN"/>
        </w:rPr>
        <w:t>珠三角枢纽（广州新）机场可行性研究阶段勘察服务项目</w:t>
      </w:r>
      <w:r>
        <w:rPr>
          <w:rFonts w:hint="eastAsia" w:ascii="宋体" w:hAnsi="宋体" w:eastAsia="宋体" w:cs="宋体"/>
          <w:color w:val="auto"/>
          <w:kern w:val="0"/>
          <w:sz w:val="24"/>
          <w:szCs w:val="24"/>
          <w:highlight w:val="none"/>
          <w:u w:val="single"/>
          <w:lang w:eastAsia="zh-CN"/>
        </w:rPr>
        <w:t>包组一技术条款”</w:t>
      </w:r>
      <w:r>
        <w:rPr>
          <w:rFonts w:hint="eastAsia" w:ascii="宋体" w:hAnsi="宋体" w:eastAsia="宋体" w:cs="宋体"/>
          <w:color w:val="auto"/>
          <w:kern w:val="0"/>
          <w:sz w:val="24"/>
          <w:szCs w:val="24"/>
          <w:highlight w:val="none"/>
          <w:u w:val="single"/>
          <w:lang w:val="en-US" w:eastAsia="zh-CN"/>
        </w:rPr>
        <w:t>（以下简称“技术要求”）</w:t>
      </w:r>
      <w:r>
        <w:rPr>
          <w:rFonts w:hint="eastAsia" w:hAnsi="宋体" w:cs="仿宋_GB2312"/>
          <w:color w:val="auto"/>
          <w:sz w:val="24"/>
          <w:szCs w:val="24"/>
          <w:highlight w:val="none"/>
          <w:u w:val="single"/>
          <w:lang w:eastAsia="zh-CN"/>
        </w:rPr>
        <w:t>。</w:t>
      </w:r>
      <w:r>
        <w:rPr>
          <w:rFonts w:hint="eastAsia" w:ascii="宋体" w:hAnsi="宋体" w:eastAsia="宋体" w:cs="宋体"/>
          <w:color w:val="auto"/>
          <w:kern w:val="0"/>
          <w:sz w:val="24"/>
          <w:szCs w:val="24"/>
          <w:highlight w:val="none"/>
        </w:rPr>
        <w:t xml:space="preserve">  </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0" w:name="_Toc457826140"/>
      <w:r>
        <w:rPr>
          <w:rFonts w:hint="eastAsia" w:ascii="宋体" w:hAnsi="宋体" w:eastAsia="宋体" w:cs="宋体"/>
          <w:b/>
          <w:color w:val="auto"/>
          <w:kern w:val="0"/>
          <w:sz w:val="24"/>
          <w:szCs w:val="24"/>
          <w:highlight w:val="none"/>
        </w:rPr>
        <w:t>二、勘察</w:t>
      </w:r>
      <w:r>
        <w:rPr>
          <w:rFonts w:hint="eastAsia" w:ascii="宋体" w:hAnsi="宋体" w:eastAsia="宋体" w:cs="宋体"/>
          <w:b/>
          <w:color w:val="auto"/>
          <w:kern w:val="0"/>
          <w:sz w:val="24"/>
          <w:szCs w:val="24"/>
          <w:highlight w:val="none"/>
          <w:lang w:eastAsia="zh-CN"/>
        </w:rPr>
        <w:t>内容</w:t>
      </w:r>
      <w:r>
        <w:rPr>
          <w:rFonts w:hint="eastAsia" w:ascii="宋体" w:hAnsi="宋体" w:eastAsia="宋体" w:cs="宋体"/>
          <w:b/>
          <w:color w:val="auto"/>
          <w:kern w:val="0"/>
          <w:sz w:val="24"/>
          <w:szCs w:val="24"/>
          <w:highlight w:val="none"/>
        </w:rPr>
        <w:t>、技术要求及工作量</w:t>
      </w:r>
      <w:bookmarkEnd w:id="26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1.勘察</w:t>
      </w:r>
      <w:r>
        <w:rPr>
          <w:rFonts w:hint="eastAsia" w:ascii="宋体" w:hAnsi="宋体"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技术要求：</w:t>
      </w:r>
      <w:r>
        <w:rPr>
          <w:rFonts w:hint="eastAsia" w:ascii="宋体" w:hAnsi="宋体" w:eastAsia="宋体" w:cs="宋体"/>
          <w:color w:val="auto"/>
          <w:kern w:val="0"/>
          <w:sz w:val="24"/>
          <w:szCs w:val="24"/>
          <w:highlight w:val="none"/>
          <w:u w:val="single"/>
          <w:lang w:eastAsia="zh-CN"/>
        </w:rPr>
        <w:t>详见技术要求</w:t>
      </w:r>
      <w:r>
        <w:rPr>
          <w:rFonts w:hint="eastAsia" w:hAnsi="宋体" w:cs="宋体"/>
          <w:color w:val="auto"/>
          <w:sz w:val="24"/>
          <w:highlight w:val="none"/>
        </w:rPr>
        <w:t>。</w:t>
      </w:r>
    </w:p>
    <w:p>
      <w:pPr>
        <w:adjustRightInd w:val="0"/>
        <w:snapToGrid w:val="0"/>
        <w:spacing w:line="360" w:lineRule="auto"/>
        <w:ind w:firstLine="480" w:firstLineChars="200"/>
        <w:jc w:val="left"/>
        <w:rPr>
          <w:rFonts w:hint="eastAsia" w:ascii="宋体" w:hAnsi="宋体" w:cs="Times New Roman"/>
          <w:color w:val="auto"/>
          <w:sz w:val="24"/>
          <w:highlight w:val="none"/>
          <w:u w:val="single"/>
          <w:lang w:val="en-US" w:eastAsia="zh-CN"/>
        </w:rPr>
      </w:pPr>
      <w:r>
        <w:rPr>
          <w:rFonts w:hint="eastAsia" w:ascii="宋体" w:hAnsi="宋体" w:eastAsia="宋体" w:cs="宋体"/>
          <w:color w:val="auto"/>
          <w:kern w:val="0"/>
          <w:sz w:val="24"/>
          <w:szCs w:val="24"/>
          <w:highlight w:val="none"/>
        </w:rPr>
        <w:t>3.工作量：</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cs="Times New Roman"/>
          <w:color w:val="auto"/>
          <w:sz w:val="24"/>
          <w:highlight w:val="none"/>
          <w:u w:val="single"/>
          <w:lang w:val="en-US" w:eastAsia="zh-CN"/>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1" w:name="_Toc457826141"/>
      <w:bookmarkStart w:id="262" w:name="_Toc406150412"/>
      <w:r>
        <w:rPr>
          <w:rFonts w:hint="eastAsia" w:ascii="宋体" w:hAnsi="宋体" w:eastAsia="宋体" w:cs="宋体"/>
          <w:b/>
          <w:color w:val="auto"/>
          <w:kern w:val="0"/>
          <w:sz w:val="24"/>
          <w:szCs w:val="24"/>
          <w:highlight w:val="none"/>
        </w:rPr>
        <w:t>三、合同工期</w:t>
      </w:r>
      <w:bookmarkEnd w:id="261"/>
      <w:bookmarkEnd w:id="262"/>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1.开工日期：_______</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日，具体以甲方发出开工令之日为准。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2.成果提交日期：</w:t>
      </w:r>
      <w:r>
        <w:rPr>
          <w:rFonts w:hint="eastAsia" w:ascii="宋体" w:hAnsi="宋体" w:cs="宋体"/>
          <w:color w:val="auto"/>
          <w:kern w:val="0"/>
          <w:sz w:val="24"/>
          <w:szCs w:val="24"/>
          <w:highlight w:val="none"/>
          <w:u w:val="single"/>
          <w:lang w:val="en-US" w:eastAsia="zh-CN"/>
        </w:rPr>
        <w:t>自发包人发出开工令之日起90日历天内提交最终勘察成果报告，</w:t>
      </w:r>
      <w:r>
        <w:rPr>
          <w:rFonts w:hint="eastAsia" w:ascii="宋体" w:hAnsi="宋体" w:eastAsia="宋体" w:cs="宋体"/>
          <w:color w:val="auto"/>
          <w:kern w:val="0"/>
          <w:sz w:val="24"/>
          <w:highlight w:val="none"/>
          <w:u w:val="single"/>
          <w:lang w:val="en-US" w:eastAsia="zh-CN"/>
        </w:rPr>
        <w:t>包括：本包组勘察服务报告（含试验测试成果资料）、工程物探报告及其他专题勘察报告资料</w:t>
      </w:r>
      <w:r>
        <w:rPr>
          <w:rFonts w:hint="eastAsia" w:ascii="宋体" w:hAnsi="宋体" w:eastAsia="宋体" w:cs="宋体"/>
          <w:color w:val="auto"/>
          <w:kern w:val="0"/>
          <w:sz w:val="24"/>
          <w:szCs w:val="24"/>
          <w:highlight w:val="none"/>
          <w:u w:val="single"/>
          <w:lang w:val="en-US" w:eastAsia="zh-CN"/>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3.合同工期（总日历天数）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90</w:t>
      </w:r>
      <w:r>
        <w:rPr>
          <w:rFonts w:hint="eastAsia" w:ascii="宋体" w:hAnsi="宋体" w:eastAsia="宋体" w:cs="宋体"/>
          <w:color w:val="auto"/>
          <w:kern w:val="0"/>
          <w:sz w:val="24"/>
          <w:szCs w:val="24"/>
          <w:highlight w:val="none"/>
          <w:u w:val="single"/>
          <w:lang w:val="en-US" w:eastAsia="zh-CN"/>
        </w:rPr>
        <w:t>天</w:t>
      </w:r>
      <w:r>
        <w:rPr>
          <w:rFonts w:hint="eastAsia" w:ascii="宋体" w:hAnsi="宋体" w:cs="宋体"/>
          <w:color w:val="auto"/>
          <w:kern w:val="0"/>
          <w:sz w:val="24"/>
          <w:szCs w:val="24"/>
          <w:highlight w:val="none"/>
          <w:u w:val="single"/>
          <w:lang w:val="en-US" w:eastAsia="zh-CN"/>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3" w:name="_Toc406150413"/>
      <w:bookmarkStart w:id="264" w:name="_Toc457826142"/>
      <w:r>
        <w:rPr>
          <w:rFonts w:hint="eastAsia" w:ascii="宋体" w:hAnsi="宋体" w:eastAsia="宋体" w:cs="宋体"/>
          <w:b/>
          <w:color w:val="auto"/>
          <w:kern w:val="0"/>
          <w:sz w:val="24"/>
          <w:szCs w:val="24"/>
          <w:highlight w:val="none"/>
        </w:rPr>
        <w:t>四、质量标准</w:t>
      </w:r>
      <w:bookmarkEnd w:id="263"/>
      <w:bookmarkEnd w:id="264"/>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质量标准： </w:t>
      </w:r>
      <w:r>
        <w:rPr>
          <w:rFonts w:hint="eastAsia" w:ascii="宋体" w:hAnsi="宋体" w:eastAsia="宋体" w:cs="宋体"/>
          <w:color w:val="auto"/>
          <w:kern w:val="0"/>
          <w:sz w:val="24"/>
          <w:szCs w:val="24"/>
          <w:highlight w:val="none"/>
          <w:u w:val="single"/>
          <w:lang w:val="en-US" w:eastAsia="zh-CN"/>
        </w:rPr>
        <w:t>本工程的勘察过程和成果均必须符合中华人民共和国国家标准</w:t>
      </w:r>
      <w:r>
        <w:rPr>
          <w:rFonts w:hint="eastAsia" w:ascii="宋体" w:hAnsi="宋体" w:eastAsia="宋体" w:cs="宋体"/>
          <w:color w:val="auto"/>
          <w:kern w:val="0"/>
          <w:sz w:val="24"/>
          <w:highlight w:val="none"/>
          <w:lang w:val="en-US" w:eastAsia="zh-CN"/>
        </w:rPr>
        <w:t>、</w:t>
      </w:r>
      <w:r>
        <w:rPr>
          <w:rFonts w:hint="eastAsia" w:ascii="宋体" w:hAnsi="宋体" w:cs="宋体"/>
          <w:kern w:val="0"/>
          <w:sz w:val="24"/>
          <w:highlight w:val="none"/>
          <w:u w:val="single"/>
        </w:rPr>
        <w:t>中国</w:t>
      </w:r>
      <w:r>
        <w:rPr>
          <w:rFonts w:ascii="宋体" w:hAnsi="宋体" w:cs="宋体"/>
          <w:kern w:val="0"/>
          <w:sz w:val="24"/>
          <w:highlight w:val="none"/>
          <w:u w:val="single"/>
        </w:rPr>
        <w:t>民航局</w:t>
      </w:r>
      <w:r>
        <w:rPr>
          <w:rFonts w:hint="eastAsia" w:ascii="宋体" w:hAnsi="宋体" w:eastAsia="宋体" w:cs="宋体"/>
          <w:color w:val="auto"/>
          <w:kern w:val="0"/>
          <w:sz w:val="24"/>
          <w:szCs w:val="24"/>
          <w:highlight w:val="none"/>
          <w:u w:val="single"/>
          <w:lang w:val="en-US" w:eastAsia="zh-CN"/>
        </w:rPr>
        <w:t>和建设部颁布的有关勘察方面的现行标准、规范、规程、定额、办法、示例，以及广东省、佛山市下发的有关勘察方面的文件和规定。在勘察过程中，如果国家或有关部门颁发了新的技术标准或规范，应采用新的标准或规范进行勘察。</w:t>
      </w:r>
      <w:r>
        <w:rPr>
          <w:rFonts w:hint="eastAsia" w:ascii="宋体" w:hAnsi="宋体" w:cs="宋体"/>
          <w:color w:val="auto"/>
          <w:kern w:val="0"/>
          <w:sz w:val="24"/>
          <w:szCs w:val="24"/>
          <w:highlight w:val="none"/>
          <w:u w:val="single"/>
          <w:lang w:val="en-US" w:eastAsia="zh-CN"/>
        </w:rPr>
        <w:t>承包人</w:t>
      </w:r>
      <w:r>
        <w:rPr>
          <w:rFonts w:hint="eastAsia" w:ascii="宋体" w:hAnsi="宋体" w:eastAsia="宋体" w:cs="宋体"/>
          <w:color w:val="auto"/>
          <w:kern w:val="0"/>
          <w:sz w:val="24"/>
          <w:szCs w:val="24"/>
          <w:highlight w:val="none"/>
          <w:u w:val="single"/>
          <w:lang w:val="en-US" w:eastAsia="zh-CN"/>
        </w:rPr>
        <w:t>勘察前应将勘察方案上报</w:t>
      </w:r>
      <w:r>
        <w:rPr>
          <w:rFonts w:hint="eastAsia" w:ascii="宋体" w:hAnsi="宋体" w:cs="宋体"/>
          <w:color w:val="auto"/>
          <w:kern w:val="0"/>
          <w:sz w:val="24"/>
          <w:szCs w:val="24"/>
          <w:highlight w:val="none"/>
          <w:u w:val="single"/>
          <w:lang w:val="en-US" w:eastAsia="zh-CN"/>
        </w:rPr>
        <w:t>发包人</w:t>
      </w:r>
      <w:r>
        <w:rPr>
          <w:rFonts w:hint="eastAsia" w:ascii="宋体" w:hAnsi="宋体" w:eastAsia="宋体" w:cs="宋体"/>
          <w:color w:val="auto"/>
          <w:kern w:val="0"/>
          <w:sz w:val="24"/>
          <w:szCs w:val="24"/>
          <w:highlight w:val="none"/>
          <w:u w:val="single"/>
          <w:lang w:val="en-US" w:eastAsia="zh-CN"/>
        </w:rPr>
        <w:t>审核及批准后方可实施</w:t>
      </w:r>
      <w:r>
        <w:rPr>
          <w:rFonts w:hint="eastAsia" w:ascii="宋体" w:hAnsi="宋体" w:cs="仿宋_GB2312"/>
          <w:color w:val="auto"/>
          <w:sz w:val="24"/>
          <w:szCs w:val="24"/>
          <w:highlight w:val="none"/>
          <w:u w:val="single"/>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5" w:name="_Toc457826143"/>
      <w:bookmarkStart w:id="266" w:name="_Toc406150414"/>
      <w:r>
        <w:rPr>
          <w:rFonts w:hint="eastAsia" w:ascii="宋体" w:hAnsi="宋体" w:eastAsia="宋体" w:cs="宋体"/>
          <w:b/>
          <w:color w:val="auto"/>
          <w:kern w:val="0"/>
          <w:sz w:val="24"/>
          <w:szCs w:val="24"/>
          <w:highlight w:val="none"/>
        </w:rPr>
        <w:t>五、合同价款</w:t>
      </w:r>
      <w:bookmarkEnd w:id="265"/>
      <w:bookmarkEnd w:id="266"/>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签约合同价</w:t>
      </w:r>
      <w:r>
        <w:rPr>
          <w:rFonts w:hint="eastAsia" w:ascii="宋体" w:hAnsi="宋体" w:eastAsia="宋体" w:cs="宋体"/>
          <w:color w:val="auto"/>
          <w:kern w:val="0"/>
          <w:sz w:val="24"/>
          <w:szCs w:val="24"/>
          <w:highlight w:val="none"/>
        </w:rPr>
        <w:t>：人民币（大写）____________ (¥__________元)</w:t>
      </w:r>
      <w:r>
        <w:rPr>
          <w:rFonts w:hint="eastAsia" w:ascii="宋体" w:hAnsi="宋体" w:cs="仿宋_GB2312"/>
          <w:b w:val="0"/>
          <w:bCs w:val="0"/>
          <w:color w:val="auto"/>
          <w:sz w:val="24"/>
          <w:szCs w:val="24"/>
          <w:highlight w:val="none"/>
          <w:lang w:eastAsia="zh-CN"/>
        </w:rPr>
        <w:t>【含岩溶勘察部分预留金（或称暂列金额）人民币（大写）壹佰万元整（¥</w:t>
      </w:r>
      <w:r>
        <w:rPr>
          <w:rFonts w:hint="eastAsia" w:ascii="宋体" w:hAnsi="宋体" w:cs="仿宋_GB2312"/>
          <w:b w:val="0"/>
          <w:bCs w:val="0"/>
          <w:color w:val="auto"/>
          <w:sz w:val="24"/>
          <w:szCs w:val="24"/>
          <w:highlight w:val="none"/>
          <w:lang w:val="en-US" w:eastAsia="zh-CN"/>
        </w:rPr>
        <w:t>1,000,000.00</w:t>
      </w:r>
      <w:r>
        <w:rPr>
          <w:rFonts w:hint="eastAsia" w:ascii="宋体" w:hAnsi="宋体" w:cs="仿宋_GB2312"/>
          <w:b w:val="0"/>
          <w:bCs w:val="0"/>
          <w:color w:val="auto"/>
          <w:sz w:val="24"/>
          <w:szCs w:val="24"/>
          <w:highlight w:val="none"/>
          <w:lang w:eastAsia="zh-CN"/>
        </w:rPr>
        <w:t>元）】</w:t>
      </w:r>
    </w:p>
    <w:p>
      <w:pPr>
        <w:pStyle w:val="24"/>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其中，</w:t>
      </w:r>
      <w:r>
        <w:rPr>
          <w:rFonts w:hint="eastAsia" w:ascii="宋体" w:hAnsi="宋体" w:cs="仿宋_GB2312"/>
          <w:b w:val="0"/>
          <w:bCs w:val="0"/>
          <w:color w:val="auto"/>
          <w:sz w:val="24"/>
          <w:szCs w:val="24"/>
          <w:highlight w:val="none"/>
          <w:lang w:eastAsia="zh-CN"/>
        </w:rPr>
        <w:t>主体协调</w:t>
      </w:r>
      <w:r>
        <w:rPr>
          <w:rFonts w:hint="eastAsia" w:ascii="宋体" w:hAnsi="宋体" w:eastAsia="宋体" w:cs="宋体"/>
          <w:color w:val="auto"/>
          <w:kern w:val="0"/>
          <w:sz w:val="24"/>
          <w:szCs w:val="24"/>
          <w:highlight w:val="none"/>
          <w:lang w:eastAsia="zh-CN"/>
        </w:rPr>
        <w:t>工作部分签约合同价：人民币（大写）____________ (¥__________元)，固定总价包干；</w:t>
      </w:r>
      <w:r>
        <w:rPr>
          <w:rFonts w:hint="eastAsia" w:ascii="宋体" w:hAnsi="宋体" w:eastAsia="宋体" w:cs="宋体"/>
          <w:color w:val="auto"/>
          <w:kern w:val="0"/>
          <w:sz w:val="24"/>
          <w:szCs w:val="24"/>
          <w:highlight w:val="none"/>
          <w:u w:val="none"/>
          <w:lang w:eastAsia="zh-CN"/>
        </w:rPr>
        <w:t>机场</w:t>
      </w:r>
      <w:r>
        <w:rPr>
          <w:rFonts w:hint="eastAsia" w:ascii="宋体" w:hAnsi="宋体" w:cs="宋体"/>
          <w:color w:val="auto"/>
          <w:kern w:val="0"/>
          <w:sz w:val="24"/>
          <w:highlight w:val="none"/>
          <w:u w:val="none"/>
          <w:lang w:val="en-US" w:eastAsia="zh-CN"/>
        </w:rPr>
        <w:t>料源区及填方区</w:t>
      </w:r>
      <w:r>
        <w:rPr>
          <w:rFonts w:hint="eastAsia" w:ascii="宋体" w:hAnsi="宋体" w:eastAsia="宋体" w:cs="宋体"/>
          <w:color w:val="auto"/>
          <w:kern w:val="0"/>
          <w:sz w:val="24"/>
          <w:szCs w:val="24"/>
          <w:highlight w:val="none"/>
          <w:u w:val="none"/>
          <w:lang w:eastAsia="zh-CN"/>
        </w:rPr>
        <w:t>岩土</w:t>
      </w:r>
      <w:r>
        <w:rPr>
          <w:rFonts w:hint="eastAsia" w:ascii="宋体" w:hAnsi="宋体" w:eastAsia="宋体" w:cs="宋体"/>
          <w:color w:val="auto"/>
          <w:kern w:val="0"/>
          <w:sz w:val="24"/>
          <w:szCs w:val="24"/>
          <w:highlight w:val="none"/>
          <w:lang w:eastAsia="zh-CN"/>
        </w:rPr>
        <w:t>工程初步勘察工作签约合同价：人民币（大写）____________ (¥__________元)；签约单价人民币（大写）____________ (¥__________元/延米)，</w:t>
      </w:r>
      <w:r>
        <w:rPr>
          <w:rFonts w:hint="eastAsia" w:ascii="宋体" w:hAnsi="宋体" w:cs="仿宋_GB2312"/>
          <w:b w:val="0"/>
          <w:bCs w:val="0"/>
          <w:color w:val="auto"/>
          <w:sz w:val="24"/>
          <w:szCs w:val="24"/>
          <w:highlight w:val="none"/>
          <w:lang w:eastAsia="zh-CN"/>
        </w:rPr>
        <w:t>钻孔总进尺</w:t>
      </w:r>
      <w:r>
        <w:rPr>
          <w:rFonts w:hint="eastAsia" w:ascii="宋体" w:hAnsi="宋体" w:eastAsia="宋体" w:cs="宋体"/>
          <w:color w:val="auto"/>
          <w:kern w:val="0"/>
          <w:sz w:val="24"/>
          <w:szCs w:val="24"/>
          <w:highlight w:val="none"/>
          <w:lang w:val="en-US" w:eastAsia="zh-CN" w:bidi="ar"/>
        </w:rPr>
        <w:t>暂按</w:t>
      </w:r>
      <w:r>
        <w:rPr>
          <w:rFonts w:hint="eastAsia" w:ascii="宋体" w:hAnsi="宋体" w:cs="仿宋_GB2312"/>
          <w:b w:val="0"/>
          <w:bCs w:val="0"/>
          <w:color w:val="auto"/>
          <w:sz w:val="24"/>
          <w:szCs w:val="24"/>
          <w:highlight w:val="none"/>
          <w:lang w:val="en-US" w:eastAsia="zh-CN"/>
        </w:rPr>
        <w:t>29450</w:t>
      </w:r>
      <w:r>
        <w:rPr>
          <w:rFonts w:hint="eastAsia" w:ascii="宋体" w:hAnsi="宋体" w:cs="仿宋_GB2312"/>
          <w:b w:val="0"/>
          <w:bCs w:val="0"/>
          <w:color w:val="auto"/>
          <w:sz w:val="24"/>
          <w:szCs w:val="24"/>
          <w:highlight w:val="none"/>
          <w:lang w:eastAsia="zh-CN"/>
        </w:rPr>
        <w:t>米计算，</w:t>
      </w:r>
      <w:r>
        <w:rPr>
          <w:rFonts w:hint="eastAsia" w:ascii="宋体" w:hAnsi="宋体" w:eastAsia="宋体" w:cs="宋体"/>
          <w:color w:val="auto"/>
          <w:kern w:val="0"/>
          <w:sz w:val="24"/>
          <w:szCs w:val="24"/>
          <w:highlight w:val="none"/>
          <w:lang w:eastAsia="zh-CN"/>
        </w:rPr>
        <w:t>固定单价包干；</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合同价款形式：</w:t>
      </w:r>
      <w:r>
        <w:rPr>
          <w:rFonts w:hint="eastAsia" w:ascii="宋体" w:hAnsi="宋体" w:cs="仿宋_GB2312"/>
          <w:b w:val="0"/>
          <w:bCs w:val="0"/>
          <w:color w:val="auto"/>
          <w:sz w:val="24"/>
          <w:szCs w:val="24"/>
          <w:highlight w:val="none"/>
          <w:u w:val="single"/>
          <w:lang w:eastAsia="zh-CN"/>
        </w:rPr>
        <w:t>主体协调</w:t>
      </w:r>
      <w:r>
        <w:rPr>
          <w:rFonts w:hint="eastAsia" w:ascii="宋体" w:hAnsi="宋体" w:cs="宋体"/>
          <w:color w:val="auto"/>
          <w:sz w:val="24"/>
          <w:szCs w:val="24"/>
          <w:highlight w:val="none"/>
          <w:u w:val="single"/>
          <w:lang w:eastAsia="zh-CN"/>
        </w:rPr>
        <w:t>工作部分采用固定总价包干；机场料源区及填方区岩土工程初步勘察工作部分采用固定单价包干，按实结算，但最终结算金额不得超出本包组签约合同价。</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7" w:name="_Toc406150415"/>
      <w:bookmarkStart w:id="268" w:name="_Toc457826144"/>
      <w:r>
        <w:rPr>
          <w:rFonts w:hint="eastAsia" w:ascii="宋体" w:hAnsi="宋体" w:eastAsia="宋体" w:cs="宋体"/>
          <w:b/>
          <w:color w:val="auto"/>
          <w:kern w:val="0"/>
          <w:sz w:val="24"/>
          <w:szCs w:val="24"/>
          <w:highlight w:val="none"/>
        </w:rPr>
        <w:t>六、合同文件构成</w:t>
      </w:r>
      <w:bookmarkEnd w:id="267"/>
      <w:bookmarkEnd w:id="268"/>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组成本合同的文件包括：</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在合同履行过程中形成的与合同有关的文件构成合同文件组成部分。</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69" w:name="_Toc457826145"/>
      <w:r>
        <w:rPr>
          <w:rFonts w:hint="eastAsia" w:ascii="宋体" w:hAnsi="宋体" w:eastAsia="宋体" w:cs="宋体"/>
          <w:b/>
          <w:color w:val="auto"/>
          <w:kern w:val="0"/>
          <w:sz w:val="24"/>
          <w:szCs w:val="24"/>
          <w:highlight w:val="none"/>
        </w:rPr>
        <w:t>七、承诺</w:t>
      </w:r>
      <w:bookmarkEnd w:id="269"/>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1.发包人承诺按照法律规定履行项目审批手续，按照合同约定提供工程勘察条件和相关资料，并按照合同约定的期限和方式支付合同价款。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承诺按照法律法规和技术标准规定及合同约定提供勘察技术服务。　</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70" w:name="_Toc406150417"/>
      <w:bookmarkStart w:id="271" w:name="_Toc457826146"/>
      <w:r>
        <w:rPr>
          <w:rFonts w:hint="eastAsia" w:ascii="宋体" w:hAnsi="宋体" w:eastAsia="宋体" w:cs="宋体"/>
          <w:b/>
          <w:color w:val="auto"/>
          <w:kern w:val="0"/>
          <w:sz w:val="24"/>
          <w:szCs w:val="24"/>
          <w:highlight w:val="none"/>
        </w:rPr>
        <w:t>八、词语定义</w:t>
      </w:r>
      <w:bookmarkEnd w:id="270"/>
      <w:bookmarkEnd w:id="271"/>
    </w:p>
    <w:p>
      <w:pPr>
        <w:tabs>
          <w:tab w:val="left" w:pos="540"/>
          <w:tab w:val="left" w:pos="720"/>
        </w:tabs>
        <w:adjustRightInd w:val="0"/>
        <w:snapToGri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本合同协议书中词语含义与合同第二部分《通用合同条款》中的词语含义相同。</w:t>
      </w:r>
      <w:bookmarkStart w:id="272" w:name="_Toc457826147"/>
      <w:bookmarkStart w:id="273" w:name="_Toc406150418"/>
      <w:bookmarkStart w:id="274" w:name="_Toc351203489"/>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九、签订时间</w:t>
      </w:r>
      <w:bookmarkEnd w:id="272"/>
      <w:bookmarkEnd w:id="273"/>
      <w:bookmarkEnd w:id="274"/>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lang w:val="en-US"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75" w:name="_Toc457826148"/>
      <w:bookmarkStart w:id="276" w:name="_Toc351203490"/>
      <w:bookmarkStart w:id="277" w:name="_Toc406150419"/>
      <w:r>
        <w:rPr>
          <w:rFonts w:hint="eastAsia" w:ascii="宋体" w:hAnsi="宋体" w:eastAsia="宋体" w:cs="宋体"/>
          <w:b/>
          <w:color w:val="auto"/>
          <w:kern w:val="0"/>
          <w:sz w:val="24"/>
          <w:szCs w:val="24"/>
          <w:highlight w:val="none"/>
        </w:rPr>
        <w:t>十、签订地点</w:t>
      </w:r>
      <w:bookmarkEnd w:id="275"/>
      <w:bookmarkEnd w:id="276"/>
      <w:bookmarkEnd w:id="277"/>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lang w:eastAsia="zh-CN"/>
        </w:rPr>
        <w:t>佛山市</w:t>
      </w:r>
      <w:r>
        <w:rPr>
          <w:rFonts w:hint="eastAsia" w:ascii="宋体" w:hAnsi="宋体" w:eastAsia="宋体" w:cs="宋体"/>
          <w:bCs/>
          <w:color w:val="auto"/>
          <w:sz w:val="24"/>
          <w:szCs w:val="24"/>
          <w:highlight w:val="none"/>
        </w:rPr>
        <w:t>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78" w:name="_Toc406150420"/>
      <w:bookmarkStart w:id="279" w:name="_Toc457826149"/>
      <w:bookmarkStart w:id="280" w:name="_Toc351203492"/>
      <w:r>
        <w:rPr>
          <w:rFonts w:hint="eastAsia" w:ascii="宋体" w:hAnsi="宋体" w:eastAsia="宋体" w:cs="宋体"/>
          <w:b/>
          <w:color w:val="auto"/>
          <w:kern w:val="0"/>
          <w:sz w:val="24"/>
          <w:szCs w:val="24"/>
          <w:highlight w:val="none"/>
        </w:rPr>
        <w:t>十一、合同生效</w:t>
      </w:r>
      <w:bookmarkEnd w:id="278"/>
      <w:bookmarkEnd w:id="279"/>
      <w:bookmarkEnd w:id="280"/>
    </w:p>
    <w:p>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lang w:eastAsia="zh-CN"/>
        </w:rPr>
        <w:t>发</w:t>
      </w:r>
      <w:r>
        <w:rPr>
          <w:rFonts w:hint="eastAsia" w:ascii="宋体" w:hAnsi="宋体"/>
          <w:bCs/>
          <w:color w:val="auto"/>
          <w:sz w:val="24"/>
          <w:highlight w:val="none"/>
          <w:u w:val="single"/>
        </w:rPr>
        <w:t>包人和</w:t>
      </w:r>
      <w:r>
        <w:rPr>
          <w:rFonts w:hint="eastAsia" w:ascii="宋体" w:hAnsi="宋体"/>
          <w:bCs/>
          <w:color w:val="auto"/>
          <w:sz w:val="24"/>
          <w:highlight w:val="none"/>
          <w:u w:val="single"/>
          <w:lang w:eastAsia="zh-CN"/>
        </w:rPr>
        <w:t>承包人</w:t>
      </w:r>
      <w:r>
        <w:rPr>
          <w:rFonts w:hint="eastAsia" w:ascii="宋体" w:hAnsi="宋体"/>
          <w:bCs/>
          <w:color w:val="auto"/>
          <w:sz w:val="24"/>
          <w:highlight w:val="none"/>
          <w:u w:val="single"/>
        </w:rPr>
        <w:t>的法定代表人或其授权代理人在协议书上签字并盖单位</w:t>
      </w:r>
      <w:r>
        <w:rPr>
          <w:rFonts w:hint="eastAsia" w:ascii="宋体" w:hAnsi="宋体"/>
          <w:bCs/>
          <w:color w:val="auto"/>
          <w:sz w:val="24"/>
          <w:highlight w:val="none"/>
          <w:u w:val="single"/>
          <w:lang w:eastAsia="zh-CN"/>
        </w:rPr>
        <w:t>公</w:t>
      </w:r>
      <w:r>
        <w:rPr>
          <w:rFonts w:hint="eastAsia" w:ascii="宋体" w:hAnsi="宋体"/>
          <w:bCs/>
          <w:color w:val="auto"/>
          <w:sz w:val="24"/>
          <w:highlight w:val="none"/>
          <w:u w:val="single"/>
        </w:rPr>
        <w:t>章后</w:t>
      </w:r>
      <w:r>
        <w:rPr>
          <w:rFonts w:hint="eastAsia" w:ascii="宋体" w:hAnsi="宋体" w:eastAsia="宋体" w:cs="宋体"/>
          <w:bCs/>
          <w:color w:val="auto"/>
          <w:sz w:val="24"/>
          <w:szCs w:val="24"/>
          <w:highlight w:val="none"/>
        </w:rPr>
        <w:t>生效。</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bookmarkStart w:id="281" w:name="_Toc457826150"/>
      <w:r>
        <w:rPr>
          <w:rFonts w:hint="eastAsia" w:ascii="宋体" w:hAnsi="宋体" w:eastAsia="宋体" w:cs="宋体"/>
          <w:b/>
          <w:color w:val="auto"/>
          <w:kern w:val="0"/>
          <w:sz w:val="24"/>
          <w:szCs w:val="24"/>
          <w:highlight w:val="none"/>
        </w:rPr>
        <w:t>十二、合同份数</w:t>
      </w:r>
      <w:bookmarkEnd w:id="28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执</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pPr>
        <w:spacing w:line="360" w:lineRule="auto"/>
        <w:rPr>
          <w:rFonts w:hint="eastAsia" w:hAnsi="宋体" w:cs="宋体"/>
          <w:b/>
          <w:bCs/>
          <w:color w:val="auto"/>
          <w:sz w:val="24"/>
          <w:szCs w:val="24"/>
          <w:highlight w:val="none"/>
        </w:rPr>
      </w:pPr>
      <w:bookmarkStart w:id="282" w:name="_Toc406150422"/>
      <w:bookmarkStart w:id="283" w:name="_Toc457826151"/>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6"/>
        <w:gridCol w:w="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highlight w:val="none"/>
              </w:rPr>
            </w:pPr>
            <w:r>
              <w:rPr>
                <w:rFonts w:hint="eastAsia" w:ascii="宋体" w:hAnsi="宋体"/>
                <w:b/>
                <w:highlight w:val="none"/>
              </w:rPr>
              <w:t>甲方（盖章）：</w:t>
            </w:r>
            <w:r>
              <w:rPr>
                <w:rFonts w:hint="eastAsia" w:ascii="宋体" w:hAnsi="宋体" w:cs="Times New Roman"/>
                <w:b/>
                <w:highlight w:val="none"/>
              </w:rPr>
              <w:t>佛山市机场建设开发有限公司</w:t>
            </w:r>
          </w:p>
        </w:tc>
        <w:tc>
          <w:tcPr>
            <w:tcW w:w="4520" w:type="dxa"/>
            <w:noWrap w:val="0"/>
            <w:vAlign w:val="top"/>
          </w:tcPr>
          <w:p>
            <w:pPr>
              <w:spacing w:line="560" w:lineRule="exact"/>
              <w:rPr>
                <w:rFonts w:ascii="宋体" w:hAnsi="宋体"/>
                <w:highlight w:val="none"/>
              </w:rPr>
            </w:pPr>
            <w:r>
              <w:rPr>
                <w:rFonts w:hint="eastAsia" w:ascii="宋体" w:hAnsi="宋体"/>
                <w:b/>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highlight w:val="none"/>
              </w:rPr>
            </w:pPr>
            <w:r>
              <w:rPr>
                <w:rFonts w:hint="eastAsia" w:ascii="宋体" w:hAnsi="宋体"/>
                <w:highlight w:val="none"/>
              </w:rPr>
              <w:t>法定代表人</w:t>
            </w:r>
          </w:p>
          <w:p>
            <w:pPr>
              <w:spacing w:line="560" w:lineRule="exact"/>
              <w:rPr>
                <w:rFonts w:ascii="宋体" w:hAnsi="宋体"/>
                <w:highlight w:val="none"/>
              </w:rPr>
            </w:pPr>
            <w:r>
              <w:rPr>
                <w:rFonts w:hint="eastAsia" w:ascii="宋体" w:hAnsi="宋体"/>
                <w:highlight w:val="none"/>
              </w:rPr>
              <w:t>或委托代理人：</w:t>
            </w:r>
            <w:r>
              <w:rPr>
                <w:rFonts w:hint="eastAsia" w:ascii="宋体" w:hAnsi="宋体"/>
                <w:highlight w:val="none"/>
                <w:u w:val="single"/>
              </w:rPr>
              <w:t xml:space="preserve">                         </w:t>
            </w:r>
          </w:p>
        </w:tc>
        <w:tc>
          <w:tcPr>
            <w:tcW w:w="4520" w:type="dxa"/>
            <w:noWrap w:val="0"/>
            <w:vAlign w:val="top"/>
          </w:tcPr>
          <w:p>
            <w:pPr>
              <w:spacing w:line="560" w:lineRule="exact"/>
              <w:rPr>
                <w:rFonts w:hint="eastAsia" w:ascii="宋体" w:hAnsi="宋体"/>
                <w:highlight w:val="none"/>
              </w:rPr>
            </w:pPr>
            <w:r>
              <w:rPr>
                <w:rFonts w:hint="eastAsia" w:ascii="宋体" w:hAnsi="宋体"/>
                <w:highlight w:val="none"/>
              </w:rPr>
              <w:t>法定代表人</w:t>
            </w:r>
          </w:p>
          <w:p>
            <w:pPr>
              <w:spacing w:line="560" w:lineRule="exact"/>
              <w:rPr>
                <w:rFonts w:ascii="宋体" w:hAnsi="宋体"/>
                <w:highlight w:val="none"/>
              </w:rPr>
            </w:pPr>
            <w:r>
              <w:rPr>
                <w:rFonts w:hint="eastAsia" w:ascii="宋体" w:hAnsi="宋体"/>
                <w:highlight w:val="none"/>
              </w:rPr>
              <w:t>或委托代理人：</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highlight w:val="none"/>
              </w:rPr>
            </w:pPr>
            <w:r>
              <w:rPr>
                <w:rFonts w:hint="eastAsia" w:ascii="宋体" w:hAnsi="宋体"/>
                <w:highlight w:val="none"/>
              </w:rPr>
              <w:t>地址：佛山市禅城区季华五路2</w:t>
            </w:r>
            <w:r>
              <w:rPr>
                <w:rFonts w:ascii="宋体" w:hAnsi="宋体"/>
                <w:highlight w:val="none"/>
              </w:rPr>
              <w:t>0</w:t>
            </w:r>
            <w:r>
              <w:rPr>
                <w:rFonts w:hint="eastAsia" w:ascii="宋体" w:hAnsi="宋体"/>
                <w:highlight w:val="none"/>
              </w:rPr>
              <w:t>号</w:t>
            </w:r>
          </w:p>
        </w:tc>
        <w:tc>
          <w:tcPr>
            <w:tcW w:w="4520" w:type="dxa"/>
            <w:noWrap w:val="0"/>
            <w:vAlign w:val="top"/>
          </w:tcPr>
          <w:p>
            <w:pPr>
              <w:spacing w:line="560" w:lineRule="exact"/>
              <w:rPr>
                <w:rFonts w:ascii="宋体" w:hAnsi="宋体"/>
                <w:highlight w:val="none"/>
              </w:rPr>
            </w:pPr>
            <w:r>
              <w:rPr>
                <w:rFonts w:hint="eastAsia" w:ascii="宋体" w:hAnsi="宋体"/>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highlight w:val="none"/>
              </w:rPr>
            </w:pPr>
            <w:r>
              <w:rPr>
                <w:rFonts w:hint="eastAsia" w:ascii="宋体" w:hAnsi="宋体"/>
                <w:highlight w:val="none"/>
              </w:rPr>
              <w:t>日期：</w:t>
            </w:r>
            <w:r>
              <w:rPr>
                <w:rFonts w:hint="eastAsia" w:ascii="宋体" w:hAnsi="宋体"/>
                <w:highlight w:val="none"/>
                <w:lang w:val="en-US" w:eastAsia="zh-CN"/>
              </w:rPr>
              <w:t>2022</w:t>
            </w:r>
            <w:r>
              <w:rPr>
                <w:rFonts w:hint="eastAsia" w:ascii="宋体" w:hAnsi="宋体"/>
                <w:highlight w:val="none"/>
              </w:rPr>
              <w:t xml:space="preserve"> 年</w:t>
            </w:r>
            <w:r>
              <w:rPr>
                <w:rFonts w:hint="eastAsia" w:ascii="宋体" w:hAnsi="宋体"/>
                <w:highlight w:val="none"/>
                <w:lang w:val="en-US" w:eastAsia="zh-CN"/>
              </w:rPr>
              <w:t xml:space="preserve">  </w:t>
            </w:r>
            <w:r>
              <w:rPr>
                <w:rFonts w:hint="eastAsia" w:ascii="宋体" w:hAnsi="宋体"/>
                <w:highlight w:val="none"/>
              </w:rPr>
              <w:t>月</w:t>
            </w:r>
            <w:r>
              <w:rPr>
                <w:rFonts w:hint="eastAsia" w:ascii="宋体" w:hAnsi="宋体"/>
                <w:highlight w:val="none"/>
                <w:lang w:val="en-US" w:eastAsia="zh-CN"/>
              </w:rPr>
              <w:t xml:space="preserve">  </w:t>
            </w:r>
            <w:r>
              <w:rPr>
                <w:rFonts w:hint="eastAsia" w:ascii="宋体" w:hAnsi="宋体"/>
                <w:highlight w:val="none"/>
              </w:rPr>
              <w:t>日</w:t>
            </w:r>
          </w:p>
        </w:tc>
        <w:tc>
          <w:tcPr>
            <w:tcW w:w="4520" w:type="dxa"/>
            <w:noWrap w:val="0"/>
            <w:vAlign w:val="top"/>
          </w:tcPr>
          <w:p>
            <w:pPr>
              <w:spacing w:line="560" w:lineRule="exact"/>
              <w:rPr>
                <w:rFonts w:ascii="宋体" w:hAnsi="宋体"/>
                <w:highlight w:val="none"/>
              </w:rPr>
            </w:pPr>
            <w:r>
              <w:rPr>
                <w:rFonts w:hint="eastAsia" w:ascii="宋体" w:hAnsi="宋体"/>
                <w:highlight w:val="none"/>
              </w:rPr>
              <w:t>日期：</w:t>
            </w:r>
            <w:r>
              <w:rPr>
                <w:rFonts w:hint="eastAsia" w:ascii="宋体" w:hAnsi="宋体"/>
                <w:highlight w:val="none"/>
                <w:lang w:val="en-US" w:eastAsia="zh-CN"/>
              </w:rPr>
              <w:t>2022</w:t>
            </w:r>
            <w:r>
              <w:rPr>
                <w:rFonts w:hint="eastAsia" w:ascii="宋体" w:hAnsi="宋体"/>
                <w:highlight w:val="none"/>
              </w:rPr>
              <w:t>年</w:t>
            </w:r>
            <w:r>
              <w:rPr>
                <w:rFonts w:hint="eastAsia" w:ascii="宋体" w:hAnsi="宋体"/>
                <w:highlight w:val="none"/>
                <w:lang w:val="en-US" w:eastAsia="zh-CN"/>
              </w:rPr>
              <w:t xml:space="preserve">  </w:t>
            </w:r>
            <w:r>
              <w:rPr>
                <w:rFonts w:hint="eastAsia" w:ascii="宋体" w:hAnsi="宋体"/>
                <w:highlight w:val="none"/>
              </w:rPr>
              <w:t>月</w:t>
            </w:r>
            <w:r>
              <w:rPr>
                <w:rFonts w:hint="eastAsia" w:ascii="宋体" w:hAnsi="宋体"/>
                <w:highlight w:val="none"/>
                <w:lang w:val="en-US" w:eastAsia="zh-CN"/>
              </w:rPr>
              <w:t xml:space="preserve">  </w:t>
            </w:r>
            <w:r>
              <w:rPr>
                <w:rFonts w:hint="eastAsia" w:ascii="宋体" w:hAnsi="宋体"/>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highlight w:val="none"/>
              </w:rPr>
            </w:pPr>
            <w:r>
              <w:rPr>
                <w:rFonts w:hint="eastAsia" w:ascii="宋体" w:hAnsi="宋体"/>
                <w:highlight w:val="none"/>
              </w:rPr>
              <w:t>经办人：</w:t>
            </w:r>
            <w:r>
              <w:rPr>
                <w:rFonts w:hint="eastAsia" w:ascii="宋体" w:hAnsi="宋体"/>
                <w:highlight w:val="none"/>
                <w:lang w:val="en-US" w:eastAsia="zh-CN"/>
              </w:rPr>
              <w:t xml:space="preserve"> </w:t>
            </w:r>
          </w:p>
          <w:p>
            <w:pPr>
              <w:spacing w:line="560" w:lineRule="exact"/>
              <w:rPr>
                <w:rFonts w:hint="eastAsia" w:ascii="宋体" w:hAnsi="宋体"/>
                <w:highlight w:val="none"/>
              </w:rPr>
            </w:pPr>
            <w:r>
              <w:rPr>
                <w:rFonts w:hint="eastAsia" w:ascii="宋体" w:hAnsi="宋体"/>
                <w:highlight w:val="none"/>
              </w:rPr>
              <w:t>校核人：</w:t>
            </w:r>
            <w:r>
              <w:rPr>
                <w:rFonts w:hint="eastAsia" w:ascii="宋体" w:hAnsi="宋体"/>
                <w:highlight w:val="none"/>
                <w:lang w:val="en-US" w:eastAsia="zh-CN"/>
              </w:rPr>
              <w:t xml:space="preserve"> </w:t>
            </w:r>
          </w:p>
        </w:tc>
        <w:tc>
          <w:tcPr>
            <w:tcW w:w="4520" w:type="dxa"/>
            <w:noWrap w:val="0"/>
            <w:vAlign w:val="top"/>
          </w:tcPr>
          <w:p>
            <w:pPr>
              <w:spacing w:line="560" w:lineRule="exact"/>
              <w:rPr>
                <w:rFonts w:hint="eastAsia" w:ascii="宋体" w:hAnsi="宋体"/>
                <w:highlight w:val="none"/>
              </w:rPr>
            </w:pPr>
            <w:r>
              <w:rPr>
                <w:rFonts w:hint="eastAsia" w:ascii="宋体" w:hAnsi="宋体"/>
                <w:highlight w:val="none"/>
              </w:rPr>
              <w:t>经办人：</w:t>
            </w:r>
          </w:p>
          <w:p>
            <w:pPr>
              <w:spacing w:line="560" w:lineRule="exact"/>
              <w:rPr>
                <w:rFonts w:ascii="宋体" w:hAnsi="宋体"/>
                <w:highlight w:val="none"/>
              </w:rPr>
            </w:pPr>
            <w:r>
              <w:rPr>
                <w:rFonts w:hint="eastAsia" w:ascii="宋体" w:hAnsi="宋体"/>
                <w:highlight w:val="none"/>
              </w:rPr>
              <w:t>开户名称：</w:t>
            </w:r>
            <w:r>
              <w:rPr>
                <w:rFonts w:hint="eastAsia" w:ascii="宋体" w:hAnsi="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highlight w:val="none"/>
              </w:rPr>
            </w:pPr>
          </w:p>
        </w:tc>
        <w:tc>
          <w:tcPr>
            <w:tcW w:w="4520" w:type="dxa"/>
            <w:noWrap w:val="0"/>
            <w:vAlign w:val="top"/>
          </w:tcPr>
          <w:p>
            <w:pPr>
              <w:spacing w:line="560" w:lineRule="exact"/>
              <w:rPr>
                <w:rFonts w:ascii="宋体" w:hAnsi="宋体"/>
                <w:highlight w:val="none"/>
              </w:rPr>
            </w:pPr>
            <w:r>
              <w:rPr>
                <w:rFonts w:hint="eastAsia" w:ascii="宋体" w:hAnsi="宋体"/>
                <w:highlight w:val="none"/>
              </w:rPr>
              <w:t>银行</w:t>
            </w:r>
            <w:r>
              <w:rPr>
                <w:rFonts w:hint="eastAsia" w:ascii="宋体" w:hAnsi="宋体"/>
                <w:highlight w:val="none"/>
                <w:lang w:eastAsia="zh-CN"/>
              </w:rPr>
              <w:t>账号</w:t>
            </w:r>
            <w:r>
              <w:rPr>
                <w:rFonts w:hint="eastAsia" w:ascii="宋体" w:hAnsi="宋体"/>
                <w:highlight w:val="none"/>
              </w:rPr>
              <w:t>：</w:t>
            </w:r>
            <w:r>
              <w:rPr>
                <w:rFonts w:hint="eastAsia" w:ascii="宋体" w:hAnsi="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highlight w:val="none"/>
              </w:rPr>
            </w:pPr>
          </w:p>
        </w:tc>
        <w:tc>
          <w:tcPr>
            <w:tcW w:w="4520" w:type="dxa"/>
            <w:noWrap w:val="0"/>
            <w:vAlign w:val="top"/>
          </w:tcPr>
          <w:p>
            <w:pPr>
              <w:spacing w:line="560" w:lineRule="exact"/>
              <w:rPr>
                <w:rFonts w:ascii="宋体" w:hAnsi="宋体"/>
                <w:highlight w:val="none"/>
              </w:rPr>
            </w:pPr>
            <w:r>
              <w:rPr>
                <w:rFonts w:hint="eastAsia" w:ascii="宋体" w:hAnsi="宋体"/>
                <w:highlight w:val="none"/>
              </w:rPr>
              <w:t>开 户 行：</w:t>
            </w:r>
            <w:r>
              <w:rPr>
                <w:rFonts w:hint="eastAsia" w:ascii="宋体" w:hAnsi="宋体" w:cs="Times New Roman"/>
                <w:highlight w:val="none"/>
                <w:lang w:val="en-US" w:eastAsia="zh-CN"/>
              </w:rPr>
              <w:t xml:space="preserve"> </w:t>
            </w:r>
          </w:p>
        </w:tc>
      </w:tr>
    </w:tbl>
    <w:p>
      <w:pPr>
        <w:pStyle w:val="24"/>
        <w:rPr>
          <w:rFonts w:hint="eastAsia" w:hAnsi="宋体" w:cs="宋体"/>
          <w:color w:val="auto"/>
          <w:sz w:val="24"/>
          <w:szCs w:val="24"/>
          <w:highlight w:val="none"/>
        </w:rPr>
      </w:pPr>
    </w:p>
    <w:p>
      <w:pPr>
        <w:pStyle w:val="24"/>
        <w:rPr>
          <w:rFonts w:hint="eastAsia" w:hAnsi="宋体" w:cs="宋体"/>
          <w:color w:val="auto"/>
          <w:sz w:val="24"/>
          <w:szCs w:val="24"/>
          <w:highlight w:val="none"/>
        </w:rPr>
      </w:pPr>
    </w:p>
    <w:p>
      <w:pPr>
        <w:jc w:val="right"/>
        <w:rPr>
          <w:rFonts w:hint="eastAsia" w:ascii="华文中宋" w:hAnsi="华文中宋" w:eastAsia="华文中宋"/>
          <w:color w:val="auto"/>
          <w:sz w:val="44"/>
          <w:szCs w:val="44"/>
          <w:highlight w:val="none"/>
        </w:rPr>
      </w:pPr>
      <w:r>
        <w:rPr>
          <w:rFonts w:hint="eastAsia" w:hAnsi="宋体"/>
          <w:color w:val="auto"/>
          <w:sz w:val="24"/>
          <w:highlight w:val="none"/>
        </w:rPr>
        <w:t xml:space="preserve">  </w:t>
      </w: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hAnsi="宋体"/>
          <w:color w:val="auto"/>
          <w:sz w:val="24"/>
          <w:highlight w:val="none"/>
        </w:rPr>
        <w:t xml:space="preserve">  </w:t>
      </w:r>
    </w:p>
    <w:p>
      <w:pPr>
        <w:snapToGrid w:val="0"/>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br w:type="page"/>
      </w:r>
      <w:bookmarkEnd w:id="282"/>
      <w:bookmarkEnd w:id="283"/>
      <w:bookmarkStart w:id="284" w:name="_Toc21400"/>
      <w:bookmarkStart w:id="285" w:name="_Toc406150513"/>
      <w:bookmarkStart w:id="286" w:name="_Toc457826251"/>
      <w:bookmarkStart w:id="287" w:name="_Toc406426565"/>
      <w:r>
        <w:rPr>
          <w:rFonts w:hint="eastAsia" w:ascii="宋体" w:hAnsi="宋体" w:eastAsia="宋体" w:cs="宋体"/>
          <w:b/>
          <w:bCs/>
          <w:color w:val="auto"/>
          <w:kern w:val="0"/>
          <w:sz w:val="32"/>
          <w:szCs w:val="32"/>
          <w:highlight w:val="none"/>
        </w:rPr>
        <w:t>第二部分　通用合同条款</w:t>
      </w:r>
      <w:bookmarkEnd w:id="284"/>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288" w:name="_Toc457826152"/>
      <w:r>
        <w:rPr>
          <w:rFonts w:hint="eastAsia" w:ascii="宋体" w:hAnsi="宋体" w:eastAsia="宋体" w:cs="宋体"/>
          <w:b/>
          <w:bCs/>
          <w:color w:val="auto"/>
          <w:kern w:val="2"/>
          <w:sz w:val="24"/>
          <w:szCs w:val="24"/>
          <w:highlight w:val="none"/>
          <w:lang w:val="en-US" w:eastAsia="zh-CN" w:bidi="ar-SA"/>
        </w:rPr>
        <w:t>第1条 一般约定</w:t>
      </w:r>
      <w:bookmarkEnd w:id="288"/>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289" w:name="_Toc406150424"/>
      <w:bookmarkStart w:id="290" w:name="_Toc457826153"/>
      <w:r>
        <w:rPr>
          <w:rFonts w:hint="eastAsia" w:ascii="宋体" w:hAnsi="宋体" w:eastAsia="宋体" w:cs="宋体"/>
          <w:b/>
          <w:bCs/>
          <w:color w:val="auto"/>
          <w:kern w:val="0"/>
          <w:sz w:val="24"/>
          <w:szCs w:val="24"/>
          <w:highlight w:val="none"/>
          <w:lang w:val="en-US" w:eastAsia="zh-CN" w:bidi="ar-SA"/>
        </w:rPr>
        <w:t>1.1 词语定义</w:t>
      </w:r>
      <w:bookmarkEnd w:id="289"/>
      <w:bookmarkEnd w:id="29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下列词语除专用合同条款另有约定外，应具有本条所赋予的含义。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合同协议书：指构成合同的由发包人和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共同签署的称为“合同协议书”的书面文件。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通用合同条款：是根据法律、行政法规规定及建设工程勘察的需要订立，通用于建设工程勘察的合同条款。</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专用合同条款：是发包人与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根据法律、行政法规规定，结合具体工程实际，经协商达成一致意见的合同条款，是对通用合同条款的细化、完善、补充、修改或另行约定。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发包人：指与</w:t>
      </w:r>
      <w:r>
        <w:rPr>
          <w:rFonts w:hint="eastAsia" w:ascii="宋体" w:hAnsi="宋体" w:eastAsia="宋体" w:cs="宋体"/>
          <w:color w:val="auto"/>
          <w:kern w:val="0"/>
          <w:sz w:val="24"/>
          <w:szCs w:val="24"/>
          <w:highlight w:val="none"/>
          <w:lang w:eastAsia="zh-CN"/>
        </w:rPr>
        <w:t>承包人签订</w:t>
      </w:r>
      <w:r>
        <w:rPr>
          <w:rFonts w:hint="eastAsia" w:ascii="宋体" w:hAnsi="宋体" w:eastAsia="宋体" w:cs="宋体"/>
          <w:color w:val="auto"/>
          <w:kern w:val="0"/>
          <w:sz w:val="24"/>
          <w:szCs w:val="24"/>
          <w:highlight w:val="none"/>
        </w:rPr>
        <w:t>合同协议书的当事人以及取得该当事人资格的合法继承人。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：指在合同协议书中约定，被发包人接受的具有工程勘察资质的当事人以及取得该当事人资格的合法继承人。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 工程：指发包人与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在合同协议书中约定的勘察范围内的项目。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 勘察任务书：指由发包人就工程勘察范围、内容和技术标准等提出要求的书面文件。勘察任务书构成合同文件组成部分。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 合同价款：指合同当事人在合同协议书中约定，发包人用以支付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完成合同约定范围内工程勘察工作的款项。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1.1.10 费用：指为履行合同所发生的或将要发生的</w:t>
      </w:r>
      <w:r>
        <w:rPr>
          <w:rFonts w:hint="eastAsia" w:ascii="宋体" w:hAnsi="宋体" w:eastAsia="宋体" w:cs="宋体"/>
          <w:color w:val="auto"/>
          <w:kern w:val="0"/>
          <w:sz w:val="24"/>
          <w:szCs w:val="24"/>
          <w:highlight w:val="none"/>
          <w:lang w:eastAsia="zh-CN"/>
        </w:rPr>
        <w:t>必需的</w:t>
      </w:r>
      <w:r>
        <w:rPr>
          <w:rFonts w:hint="eastAsia" w:ascii="宋体" w:hAnsi="宋体" w:eastAsia="宋体" w:cs="宋体"/>
          <w:color w:val="auto"/>
          <w:kern w:val="0"/>
          <w:sz w:val="24"/>
          <w:szCs w:val="24"/>
          <w:highlight w:val="none"/>
        </w:rPr>
        <w:t>支出。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工期：指合同当事人在合同协议书中约定，按总日历天数（包括法定节假日）计算的工作天数。</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开工日期：指合同当事人在合同中约定，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开始工作的绝对或相对日期。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成果提交日期：指合同当事人在合同中约定，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完成合同范围内工作并提交成果资料的绝对或相对日期。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图纸：指由发包人提供或由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提供并经发包人认可，满足</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开展工作需要的所有图件，包括相关说明和资料。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作业场地：指工程勘察作业的场所以及发包人具体指定的供工程勘察作业使用的其他场所。</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1.1.18 索赔：指在合同履行过程中，一方违反合同约定，直接或间接地给另一方造成实际损失，受损方向违约方提出经济赔偿和（或）工期顺延的要求。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不利物质条件：指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在作业场地遇到的不可预见的自然物质条件、非自然的物质障碍和污染物。</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1.1.20 后期服务：指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提交成果资料后，为发包人提供的后续技术服务工作和程序性工作，如报告成果咨询、基槽检验、现场交桩和竣工验收等。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291" w:name="_Toc457826154"/>
      <w:bookmarkStart w:id="292" w:name="_Toc406150425"/>
      <w:r>
        <w:rPr>
          <w:rFonts w:hint="eastAsia" w:ascii="宋体" w:hAnsi="宋体" w:eastAsia="宋体" w:cs="宋体"/>
          <w:b/>
          <w:bCs/>
          <w:color w:val="auto"/>
          <w:kern w:val="0"/>
          <w:sz w:val="24"/>
          <w:szCs w:val="24"/>
          <w:highlight w:val="none"/>
          <w:lang w:val="en-US" w:eastAsia="zh-CN" w:bidi="ar-SA"/>
        </w:rPr>
        <w:t>1.2 合同文件及优先解释顺序</w:t>
      </w:r>
      <w:bookmarkEnd w:id="291"/>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合同文件应能相互解释，互为说明。除专用合同条款另有约定外，组成本合同的文件及优先解释顺序如下：</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上述合同文件包括合同当事人就该项合同文件所作出的补充和修改，属于同一类内容的文件，应以最新签署的为准。</w:t>
      </w:r>
    </w:p>
    <w:p>
      <w:pPr>
        <w:keepNext w:val="0"/>
        <w:keepLines w:val="0"/>
        <w:pageBreakBefore w:val="0"/>
        <w:widowControl w:val="0"/>
        <w:tabs>
          <w:tab w:val="left" w:pos="180"/>
        </w:tabs>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293" w:name="_Toc457826155"/>
      <w:r>
        <w:rPr>
          <w:rFonts w:hint="eastAsia" w:ascii="宋体" w:hAnsi="宋体" w:eastAsia="宋体" w:cs="宋体"/>
          <w:b w:val="0"/>
          <w:bCs w:val="0"/>
          <w:color w:val="auto"/>
          <w:kern w:val="0"/>
          <w:sz w:val="24"/>
          <w:szCs w:val="24"/>
          <w:highlight w:val="none"/>
        </w:rPr>
        <w:t>1.2.2 当合同文件内容含糊不清或不相一致时，在不影响工作正常进行的情况下，由发包人和</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kern w:val="0"/>
          <w:sz w:val="24"/>
          <w:szCs w:val="24"/>
          <w:highlight w:val="none"/>
        </w:rPr>
        <w:t>协商解决。双方协商不成时，按第16条〔争议解决〕的约定处理。</w:t>
      </w:r>
      <w:bookmarkEnd w:id="292"/>
      <w:bookmarkEnd w:id="293"/>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294" w:name="_Toc406150426"/>
      <w:bookmarkStart w:id="295" w:name="_Toc457826156"/>
      <w:r>
        <w:rPr>
          <w:rFonts w:hint="eastAsia" w:ascii="宋体" w:hAnsi="宋体" w:eastAsia="宋体" w:cs="宋体"/>
          <w:b/>
          <w:bCs/>
          <w:color w:val="auto"/>
          <w:kern w:val="0"/>
          <w:sz w:val="24"/>
          <w:szCs w:val="24"/>
          <w:highlight w:val="none"/>
          <w:lang w:val="en-US" w:eastAsia="zh-CN" w:bidi="ar-SA"/>
        </w:rPr>
        <w:t>1.3 适用法律法规、技术标准</w:t>
      </w:r>
      <w:bookmarkEnd w:id="294"/>
      <w:bookmarkEnd w:id="295"/>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 适用法律法规</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本合同文件适用中华人民共和国法律、行政法规、部门规章以及工程所在地的地方性法规、自治条例、单行条例和地方政府规章等。其他需要明示的规范性文件，由合同当事人在专用合同条款中约定。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适用技术标准</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适用于工程的现行有效国家标准、行业标准、工程所在地的地方标准以及相应的规范、规程为本合同文件适用的技术标准。合同当事人有特别要求的，应在专用合同条款中约定。</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发包人要求使用国外技术标准的，应在专用合同条款中约定所使用技术标准的名称及提供方，并约定技术标准原文版、中译本的份数、时间及费用承担等事项。</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296" w:name="_Toc457826157"/>
      <w:r>
        <w:rPr>
          <w:rFonts w:hint="eastAsia" w:ascii="宋体" w:hAnsi="宋体" w:eastAsia="宋体" w:cs="宋体"/>
          <w:b/>
          <w:bCs/>
          <w:color w:val="auto"/>
          <w:kern w:val="0"/>
          <w:sz w:val="24"/>
          <w:szCs w:val="24"/>
          <w:highlight w:val="none"/>
          <w:lang w:val="en-US" w:eastAsia="zh-CN" w:bidi="ar-SA"/>
        </w:rPr>
        <w:t>1.4 语言文字</w:t>
      </w:r>
      <w:bookmarkEnd w:id="296"/>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本合同文件使用汉语语言文字书写、解释和说明。如专用合同条款约定使用两种以上（含两种）语言时，汉语为优先解释和说明本合同的语言。</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297" w:name="_Toc457826158"/>
      <w:bookmarkStart w:id="298" w:name="_Toc406150428"/>
      <w:bookmarkStart w:id="299" w:name="_Toc351203502"/>
      <w:bookmarkStart w:id="300" w:name="_Toc337558733"/>
      <w:bookmarkStart w:id="301" w:name="_Toc296503033"/>
      <w:bookmarkStart w:id="302" w:name="_Toc296346534"/>
      <w:r>
        <w:rPr>
          <w:rFonts w:hint="eastAsia" w:ascii="宋体" w:hAnsi="宋体" w:eastAsia="宋体" w:cs="宋体"/>
          <w:b/>
          <w:bCs/>
          <w:color w:val="auto"/>
          <w:kern w:val="0"/>
          <w:sz w:val="24"/>
          <w:szCs w:val="24"/>
          <w:highlight w:val="none"/>
          <w:lang w:val="en-US" w:eastAsia="zh-CN" w:bidi="ar-SA"/>
        </w:rPr>
        <w:t>1.5 联络</w:t>
      </w:r>
      <w:bookmarkEnd w:id="297"/>
      <w:bookmarkEnd w:id="298"/>
      <w:bookmarkEnd w:id="299"/>
    </w:p>
    <w:bookmarkEnd w:id="300"/>
    <w:bookmarkEnd w:id="301"/>
    <w:bookmarkEnd w:id="302"/>
    <w:p>
      <w:pPr>
        <w:tabs>
          <w:tab w:val="left" w:pos="540"/>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与合同有关的批准文件、通知、证明、证书、指示、指令、要求、请求、意见、确定和决定等，均应采用书面形式或合同双方确认的其他形式，并应在合同约定的期限内送达接收人。</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1.5.2 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应在专用合同条款中约定各自的送达接收人、送达形式及联系方式。合同当事人指定的接收人、送达地点或联系方式发生变动的，应提前3天以书面形式通知对方，否则视为未发生变动。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1.5.3 发包人、</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应及时签收对方送达至约定送达地点和指定接收人的来往信函；如确有充分证据证明一方无正当理由拒不签收的，视为拒绝签收一方认可往来信函的内容。</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03" w:name="_Toc449383259"/>
      <w:bookmarkStart w:id="304" w:name="_Toc406150429"/>
      <w:bookmarkStart w:id="305" w:name="_Toc351203503"/>
      <w:bookmarkStart w:id="306" w:name="_Toc296346536"/>
      <w:bookmarkStart w:id="307" w:name="_Toc296503035"/>
      <w:bookmarkStart w:id="308" w:name="_Toc337558734"/>
      <w:bookmarkStart w:id="309" w:name="_Toc457826159"/>
      <w:bookmarkStart w:id="310" w:name="_Toc406150430"/>
      <w:bookmarkStart w:id="311" w:name="_Toc337558738"/>
      <w:r>
        <w:rPr>
          <w:rFonts w:hint="eastAsia" w:ascii="宋体" w:hAnsi="宋体" w:eastAsia="宋体" w:cs="宋体"/>
          <w:b/>
          <w:bCs/>
          <w:color w:val="auto"/>
          <w:kern w:val="0"/>
          <w:sz w:val="24"/>
          <w:szCs w:val="24"/>
          <w:highlight w:val="none"/>
          <w:lang w:val="en-US" w:eastAsia="zh-CN" w:bidi="ar-SA"/>
        </w:rPr>
        <w:t>1.6 严禁贿赂</w:t>
      </w:r>
      <w:bookmarkEnd w:id="303"/>
      <w:bookmarkEnd w:id="304"/>
      <w:bookmarkEnd w:id="305"/>
    </w:p>
    <w:bookmarkEnd w:id="306"/>
    <w:bookmarkEnd w:id="307"/>
    <w:bookmarkEnd w:id="308"/>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合同当事人不得以贿赂或变相贿赂的方式，谋取非法利益或损害对方权益。因一方的贿赂造成对方损失的，应赔偿损失并承担相应的法律责任。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 保密</w:t>
      </w:r>
      <w:bookmarkEnd w:id="309"/>
      <w:bookmarkEnd w:id="310"/>
    </w:p>
    <w:bookmarkEnd w:id="311"/>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除法律法规规定或合同另有约定外，未经发包人同意，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不得将发包人提供的图纸、文件以及声明需要保密的资料信息等商业秘密泄露给第三方。</w:t>
      </w:r>
    </w:p>
    <w:p>
      <w:pPr>
        <w:snapToGrid w:val="0"/>
        <w:spacing w:line="360" w:lineRule="auto"/>
        <w:ind w:firstLine="552" w:firstLineChars="23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除法律法规规定或合同另有约定外，未经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同意，发包人不得将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提供的技术文件、成果资料、技术秘密及声明需要保密的资料信息等商业秘密泄露给第三方。</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12" w:name="_Toc457826160"/>
      <w:bookmarkStart w:id="313" w:name="_Toc406150431"/>
      <w:r>
        <w:rPr>
          <w:rFonts w:hint="eastAsia" w:ascii="宋体" w:hAnsi="宋体" w:eastAsia="宋体" w:cs="宋体"/>
          <w:b/>
          <w:bCs/>
          <w:color w:val="auto"/>
          <w:kern w:val="2"/>
          <w:sz w:val="24"/>
          <w:szCs w:val="24"/>
          <w:highlight w:val="none"/>
          <w:lang w:val="en-US" w:eastAsia="zh-CN" w:bidi="ar-SA"/>
        </w:rPr>
        <w:t>第2条 发包人</w:t>
      </w:r>
      <w:bookmarkEnd w:id="312"/>
      <w:bookmarkEnd w:id="313"/>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14" w:name="_Toc406150432"/>
      <w:bookmarkStart w:id="315" w:name="_Toc457826161"/>
      <w:r>
        <w:rPr>
          <w:rFonts w:hint="eastAsia" w:ascii="宋体" w:hAnsi="宋体" w:eastAsia="宋体" w:cs="宋体"/>
          <w:b/>
          <w:bCs/>
          <w:color w:val="auto"/>
          <w:kern w:val="0"/>
          <w:sz w:val="24"/>
          <w:szCs w:val="24"/>
          <w:highlight w:val="none"/>
          <w:lang w:val="en-US" w:eastAsia="zh-CN" w:bidi="ar-SA"/>
        </w:rPr>
        <w:t>2.1 发包人权利</w:t>
      </w:r>
      <w:bookmarkEnd w:id="314"/>
      <w:bookmarkEnd w:id="315"/>
    </w:p>
    <w:p>
      <w:pPr>
        <w:tabs>
          <w:tab w:val="left" w:pos="540"/>
        </w:tabs>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2.1.1 发包人对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的勘察工作有权依照合同约定实施监督，并对勘察成果予以验收。</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2.1.2 </w:t>
      </w:r>
      <w:r>
        <w:rPr>
          <w:rFonts w:hint="eastAsia" w:ascii="宋体" w:hAnsi="宋体" w:eastAsia="宋体" w:cs="宋体"/>
          <w:color w:val="auto"/>
          <w:sz w:val="24"/>
          <w:szCs w:val="24"/>
          <w:highlight w:val="none"/>
        </w:rPr>
        <w:t>发包人对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无法胜任工程勘察工作的人员有权提出更换。</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2.1.3 发包人拥有</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为其项目编制的所有文件资料的使用权，包括投标文件、成果资料和数据等。</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16" w:name="_Toc457826162"/>
      <w:bookmarkStart w:id="317" w:name="_Toc406150433"/>
      <w:r>
        <w:rPr>
          <w:rFonts w:hint="eastAsia" w:ascii="宋体" w:hAnsi="宋体" w:eastAsia="宋体" w:cs="宋体"/>
          <w:b/>
          <w:bCs/>
          <w:color w:val="auto"/>
          <w:kern w:val="0"/>
          <w:sz w:val="24"/>
          <w:szCs w:val="24"/>
          <w:highlight w:val="none"/>
          <w:lang w:val="en-US" w:eastAsia="zh-CN" w:bidi="ar-SA"/>
        </w:rPr>
        <w:t>2.2 发包人义务</w:t>
      </w:r>
      <w:bookmarkEnd w:id="316"/>
      <w:bookmarkEnd w:id="317"/>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2.2.1 </w:t>
      </w:r>
      <w:r>
        <w:rPr>
          <w:rFonts w:hint="eastAsia" w:ascii="宋体" w:hAnsi="宋体" w:eastAsia="宋体" w:cs="宋体"/>
          <w:color w:val="auto"/>
          <w:sz w:val="24"/>
          <w:szCs w:val="24"/>
          <w:highlight w:val="none"/>
        </w:rPr>
        <w:t>发包人应以书面形式向</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明确勘察任务及技术要求。</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2.2.2 </w:t>
      </w:r>
      <w:r>
        <w:rPr>
          <w:rFonts w:hint="eastAsia" w:ascii="宋体" w:hAnsi="宋体" w:eastAsia="宋体" w:cs="宋体"/>
          <w:color w:val="auto"/>
          <w:sz w:val="24"/>
          <w:szCs w:val="24"/>
          <w:highlight w:val="none"/>
        </w:rPr>
        <w:t>发包人应提供开展工程勘察工作所需要的图纸及技术资料，包括总平面图、地形图、已有水准点和坐标控制点等，若上述资料由</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负责搜集时，发包人应承担相关费用。</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2.2.3 </w:t>
      </w:r>
      <w:r>
        <w:rPr>
          <w:rFonts w:hint="eastAsia" w:ascii="宋体" w:hAnsi="宋体" w:eastAsia="宋体" w:cs="宋体"/>
          <w:color w:val="auto"/>
          <w:sz w:val="24"/>
          <w:szCs w:val="24"/>
          <w:highlight w:val="none"/>
        </w:rPr>
        <w:t>发包人应提供工程勘察作业所需的批准及许可文件，包括立项批复、占用和挖掘道路许可等。</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提供具备条件的作业场地及进场通道（包括土地征用、障碍物清除、场地平整、提供水电接口和青苗赔偿等）并承担相关费用。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提供作业场地内地下埋藏物（包括地下管线、地下构筑物等）的资料、图纸，没有资料、图纸的地区，发包人应委托专业机构查清地下埋藏物。若因发包人未提供上述资料、图纸，或提供的资料、图纸不实，致使</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在工程勘察工作过程中发生人身伤害或造成经济损失时，由发包人承担赔偿责任。</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2.2.6 </w:t>
      </w:r>
      <w:r>
        <w:rPr>
          <w:rFonts w:hint="eastAsia" w:ascii="宋体" w:hAnsi="宋体" w:eastAsia="宋体" w:cs="宋体"/>
          <w:color w:val="auto"/>
          <w:sz w:val="24"/>
          <w:szCs w:val="24"/>
          <w:highlight w:val="none"/>
        </w:rPr>
        <w:t>发包人应按照法律法规规定为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安全生产提供条件并支付安全生产防护费用，发包人不得要求</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违反安全生产管理规定进行作业。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2.2.7 </w:t>
      </w:r>
      <w:r>
        <w:rPr>
          <w:rFonts w:hint="eastAsia" w:ascii="宋体" w:hAnsi="宋体" w:eastAsia="宋体" w:cs="宋体"/>
          <w:color w:val="auto"/>
          <w:sz w:val="24"/>
          <w:szCs w:val="24"/>
          <w:highlight w:val="none"/>
        </w:rPr>
        <w:t>若勘察现场需要看守，特别是在有毒、有害等危险现场作业时，发包人应派人负责安全保卫工作；按国家有关规定，对从事危险作业的现场人员进行保健防护，并承担费用。发包人对安全文明</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有特殊要求时，应在专用合同条款中另行约定。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满足质量标准的已完工作，按照合同约定及时支付相应的工程勘察合同价款及费用。</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18" w:name="_Toc406150434"/>
      <w:bookmarkStart w:id="319" w:name="_Toc457826163"/>
      <w:r>
        <w:rPr>
          <w:rFonts w:hint="eastAsia" w:ascii="宋体" w:hAnsi="宋体" w:eastAsia="宋体" w:cs="宋体"/>
          <w:b/>
          <w:bCs/>
          <w:color w:val="auto"/>
          <w:kern w:val="0"/>
          <w:sz w:val="24"/>
          <w:szCs w:val="24"/>
          <w:highlight w:val="none"/>
          <w:lang w:val="en-US" w:eastAsia="zh-CN" w:bidi="ar-SA"/>
        </w:rPr>
        <w:t>2.3 发包人代表</w:t>
      </w:r>
      <w:bookmarkEnd w:id="318"/>
      <w:bookmarkEnd w:id="319"/>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发包人应在专用合同条款中明确其负责工程勘察的发包人代表的姓名、职务、联系方式及授权范围等事项。发包人代表在发包人的授权范围内，负责处理合同履行过程中与发包人有关的具体事宜。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20" w:name="_Toc457826164"/>
      <w:bookmarkStart w:id="321" w:name="_Toc406150435"/>
      <w:r>
        <w:rPr>
          <w:rFonts w:hint="eastAsia" w:ascii="宋体" w:hAnsi="宋体" w:eastAsia="宋体" w:cs="宋体"/>
          <w:b/>
          <w:bCs/>
          <w:color w:val="auto"/>
          <w:kern w:val="2"/>
          <w:sz w:val="24"/>
          <w:szCs w:val="24"/>
          <w:highlight w:val="none"/>
          <w:lang w:val="en-US" w:eastAsia="zh-CN" w:bidi="ar-SA"/>
        </w:rPr>
        <w:t xml:space="preserve">第3条 </w:t>
      </w:r>
      <w:bookmarkEnd w:id="320"/>
      <w:bookmarkEnd w:id="321"/>
      <w:r>
        <w:rPr>
          <w:rFonts w:hint="eastAsia" w:ascii="宋体" w:hAnsi="宋体" w:eastAsia="宋体" w:cs="宋体"/>
          <w:b/>
          <w:bCs/>
          <w:color w:val="auto"/>
          <w:kern w:val="2"/>
          <w:sz w:val="24"/>
          <w:szCs w:val="24"/>
          <w:highlight w:val="none"/>
          <w:lang w:val="en-US" w:eastAsia="zh-CN" w:bidi="ar-SA"/>
        </w:rPr>
        <w:t>承包人</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22" w:name="_Toc406150436"/>
      <w:bookmarkStart w:id="323" w:name="_Toc457826165"/>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bookmarkEnd w:id="322"/>
      <w:bookmarkEnd w:id="323"/>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在工程勘察期间，根据项目条件和技术标准、法律法规规定等方面的变化，有权向发包人提出增减合同工作量或修改技术方案的建议。</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sz w:val="24"/>
          <w:szCs w:val="24"/>
          <w:highlight w:val="none"/>
        </w:rPr>
        <w:t>除建设工程主体部分的勘察外，</w:t>
      </w:r>
      <w:r>
        <w:rPr>
          <w:rFonts w:hint="eastAsia" w:ascii="宋体" w:hAnsi="宋体" w:eastAsia="宋体" w:cs="宋体"/>
          <w:color w:val="auto"/>
          <w:sz w:val="24"/>
          <w:szCs w:val="24"/>
          <w:highlight w:val="none"/>
          <w:lang w:eastAsia="zh-CN"/>
        </w:rPr>
        <w:t>根据合同约定或</w:t>
      </w:r>
      <w:r>
        <w:rPr>
          <w:rFonts w:hint="eastAsia" w:ascii="宋体" w:hAnsi="宋体" w:eastAsia="宋体" w:cs="宋体"/>
          <w:color w:val="auto"/>
          <w:sz w:val="24"/>
          <w:szCs w:val="24"/>
          <w:highlight w:val="none"/>
        </w:rPr>
        <w:t>经发包人同意，</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可以将建设工程其他部分的勘察分包给</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具有相应资质等级的建设工程勘察单位。发包人对分包的特殊要求应在专用合同条款中另行约定。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3.1.3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对其编制的所有文件资料，包括投标文件、成果资料、数据和专利技术等拥有知识产权。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24" w:name="_Toc406150437"/>
      <w:bookmarkStart w:id="325" w:name="_Toc457826166"/>
      <w:r>
        <w:rPr>
          <w:rFonts w:hint="eastAsia" w:ascii="宋体" w:hAnsi="宋体" w:eastAsia="宋体" w:cs="宋体"/>
          <w:b/>
          <w:bCs/>
          <w:color w:val="auto"/>
          <w:kern w:val="0"/>
          <w:sz w:val="24"/>
          <w:szCs w:val="24"/>
          <w:highlight w:val="none"/>
          <w:lang w:val="en-US" w:eastAsia="zh-CN" w:bidi="ar-SA"/>
        </w:rPr>
        <w:t xml:space="preserve">3.2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义务</w:t>
      </w:r>
      <w:bookmarkEnd w:id="324"/>
      <w:bookmarkEnd w:id="325"/>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应按勘察任务书和技术要求并依据有关技术标准进行工程勘察工作。</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应建立质量保证体系，按本合同约定的时间提交质量合格的成果资料，并对其质量负责。</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3.2.3 </w:t>
      </w:r>
      <w:r>
        <w:rPr>
          <w:rFonts w:hint="eastAsia" w:ascii="宋体" w:hAnsi="宋体" w:eastAsia="宋体" w:cs="宋体"/>
          <w:color w:val="auto"/>
          <w:kern w:val="0"/>
          <w:sz w:val="24"/>
          <w:szCs w:val="24"/>
          <w:highlight w:val="none"/>
          <w:lang w:eastAsia="zh-CN"/>
        </w:rPr>
        <w:t>承包人按照发包人要求的份数、形式</w:t>
      </w:r>
      <w:r>
        <w:rPr>
          <w:rFonts w:hint="eastAsia" w:ascii="宋体" w:hAnsi="宋体" w:eastAsia="宋体" w:cs="宋体"/>
          <w:color w:val="auto"/>
          <w:kern w:val="0"/>
          <w:sz w:val="24"/>
          <w:szCs w:val="24"/>
          <w:highlight w:val="none"/>
        </w:rPr>
        <w:t>提交成果资料后，</w:t>
      </w:r>
      <w:r>
        <w:rPr>
          <w:rFonts w:hint="eastAsia" w:ascii="宋体" w:hAnsi="宋体" w:eastAsia="宋体" w:cs="宋体"/>
          <w:color w:val="auto"/>
          <w:kern w:val="0"/>
          <w:sz w:val="24"/>
          <w:szCs w:val="24"/>
          <w:highlight w:val="none"/>
          <w:lang w:eastAsia="zh-CN"/>
        </w:rPr>
        <w:t>并对成果资料的质量负责，提交成果资料后承包人</w:t>
      </w:r>
      <w:r>
        <w:rPr>
          <w:rFonts w:hint="eastAsia" w:ascii="宋体" w:hAnsi="宋体" w:eastAsia="宋体" w:cs="宋体"/>
          <w:color w:val="auto"/>
          <w:kern w:val="0"/>
          <w:sz w:val="24"/>
          <w:szCs w:val="24"/>
          <w:highlight w:val="none"/>
        </w:rPr>
        <w:t>应为发包人继续提供后期服务。</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3.2.4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在工程勘察期间遇到地下文物时，应及时向发包人和文物主管部门报告并妥善保护。</w:t>
      </w:r>
    </w:p>
    <w:p>
      <w:pPr>
        <w:tabs>
          <w:tab w:val="left" w:pos="540"/>
        </w:tabs>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3.2.5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开展工程勘察活动时应遵守有关</w:t>
      </w:r>
      <w:r>
        <w:rPr>
          <w:rFonts w:hint="eastAsia" w:ascii="宋体" w:hAnsi="宋体" w:eastAsia="宋体" w:cs="宋体"/>
          <w:color w:val="auto"/>
          <w:sz w:val="24"/>
          <w:szCs w:val="24"/>
          <w:highlight w:val="none"/>
        </w:rPr>
        <w:t>职业健康及</w:t>
      </w:r>
      <w:r>
        <w:rPr>
          <w:rFonts w:hint="eastAsia" w:ascii="宋体" w:hAnsi="宋体" w:eastAsia="宋体" w:cs="宋体"/>
          <w:color w:val="auto"/>
          <w:kern w:val="0"/>
          <w:sz w:val="24"/>
          <w:szCs w:val="24"/>
          <w:highlight w:val="none"/>
        </w:rPr>
        <w:t>安全生产方面</w:t>
      </w:r>
      <w:r>
        <w:rPr>
          <w:rFonts w:hint="eastAsia" w:ascii="宋体" w:hAnsi="宋体" w:eastAsia="宋体" w:cs="宋体"/>
          <w:color w:val="auto"/>
          <w:sz w:val="24"/>
          <w:szCs w:val="24"/>
          <w:highlight w:val="none"/>
        </w:rPr>
        <w:t>的各项法律法规的规定</w:t>
      </w:r>
      <w:r>
        <w:rPr>
          <w:rFonts w:hint="eastAsia" w:ascii="宋体" w:hAnsi="宋体" w:eastAsia="宋体" w:cs="宋体"/>
          <w:color w:val="auto"/>
          <w:kern w:val="0"/>
          <w:sz w:val="24"/>
          <w:szCs w:val="24"/>
          <w:highlight w:val="none"/>
        </w:rPr>
        <w:t>，采取安全防护措施，确保人员、设备和设施的安全。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在燃气管道、热力管道、动力设备、输水管道、输电线路、临街交通要</w:t>
      </w:r>
      <w:r>
        <w:rPr>
          <w:rFonts w:hint="eastAsia" w:ascii="宋体" w:hAnsi="宋体" w:eastAsia="宋体" w:cs="宋体"/>
          <w:color w:val="auto"/>
          <w:sz w:val="24"/>
          <w:szCs w:val="24"/>
          <w:highlight w:val="none"/>
        </w:rPr>
        <w:t>道及地下通道（地下隧道）附近等风险性较大的地点，以及在易燃易爆地段及放射、有毒环境中进</w:t>
      </w:r>
      <w:r>
        <w:rPr>
          <w:rFonts w:hint="eastAsia" w:ascii="宋体" w:hAnsi="宋体" w:eastAsia="宋体" w:cs="宋体"/>
          <w:color w:val="auto"/>
          <w:kern w:val="0"/>
          <w:sz w:val="24"/>
          <w:szCs w:val="24"/>
          <w:highlight w:val="none"/>
        </w:rPr>
        <w:t>行工程勘察作业时，应编制安全防护方案并制定应急预案。</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应在勘察方案中列明环境保护的具体措施，并在合同履行期间采取合理措施保护作业现场环境。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26" w:name="_Toc406150438"/>
      <w:bookmarkStart w:id="327" w:name="_Toc457826167"/>
      <w:r>
        <w:rPr>
          <w:rFonts w:hint="eastAsia" w:ascii="宋体" w:hAnsi="宋体" w:eastAsia="宋体" w:cs="宋体"/>
          <w:b/>
          <w:bCs/>
          <w:color w:val="auto"/>
          <w:kern w:val="0"/>
          <w:sz w:val="24"/>
          <w:szCs w:val="24"/>
          <w:highlight w:val="none"/>
          <w:lang w:val="en-US" w:eastAsia="zh-CN" w:bidi="ar-SA"/>
        </w:rPr>
        <w:t xml:space="preserve">3.3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bookmarkEnd w:id="326"/>
      <w:bookmarkEnd w:id="327"/>
    </w:p>
    <w:p>
      <w:pPr>
        <w:tabs>
          <w:tab w:val="left" w:pos="360"/>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接受任务时，应在专用合同条款中明确其负责工程勘察的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代表的姓名、职务、联系方式及授权范围等事项。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的授权范围内，负责处理合同履行过程中与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28" w:name="_Toc457826168"/>
      <w:bookmarkStart w:id="329" w:name="_Toc406150439"/>
      <w:r>
        <w:rPr>
          <w:rFonts w:hint="eastAsia" w:ascii="宋体" w:hAnsi="宋体" w:eastAsia="宋体" w:cs="宋体"/>
          <w:b/>
          <w:bCs/>
          <w:color w:val="auto"/>
          <w:kern w:val="2"/>
          <w:sz w:val="24"/>
          <w:szCs w:val="24"/>
          <w:highlight w:val="none"/>
          <w:lang w:val="en-US" w:eastAsia="zh-CN" w:bidi="ar-SA"/>
        </w:rPr>
        <w:t>第4条 工期</w:t>
      </w:r>
      <w:bookmarkEnd w:id="328"/>
      <w:bookmarkEnd w:id="329"/>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30" w:name="_Toc457826169"/>
      <w:bookmarkStart w:id="331" w:name="_Toc406150440"/>
      <w:r>
        <w:rPr>
          <w:rFonts w:hint="eastAsia" w:ascii="宋体" w:hAnsi="宋体" w:eastAsia="宋体" w:cs="宋体"/>
          <w:b/>
          <w:bCs/>
          <w:color w:val="auto"/>
          <w:kern w:val="0"/>
          <w:sz w:val="24"/>
          <w:szCs w:val="24"/>
          <w:highlight w:val="none"/>
          <w:lang w:val="en-US" w:eastAsia="zh-CN" w:bidi="ar-SA"/>
        </w:rPr>
        <w:t>4.1 开工及延期开工</w:t>
      </w:r>
      <w:bookmarkEnd w:id="330"/>
      <w:bookmarkEnd w:id="331"/>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应按合同约定的工期进行工程勘察工作，并接受发包人对工程勘察工作进度的监督、检查。</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4.1.2 因发包人原因不能按照合同约定的日期开工，发包人应以书面形式通知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，推迟开工日期并相应顺延工期。</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32" w:name="_Toc457826170"/>
      <w:bookmarkStart w:id="333" w:name="_Toc406150441"/>
      <w:r>
        <w:rPr>
          <w:rFonts w:hint="eastAsia" w:ascii="宋体" w:hAnsi="宋体" w:eastAsia="宋体" w:cs="宋体"/>
          <w:b/>
          <w:bCs/>
          <w:color w:val="auto"/>
          <w:kern w:val="0"/>
          <w:sz w:val="24"/>
          <w:szCs w:val="24"/>
          <w:highlight w:val="none"/>
          <w:lang w:val="en-US" w:eastAsia="zh-CN" w:bidi="ar-SA"/>
        </w:rPr>
        <w:t>4.2 成果提交日期</w:t>
      </w:r>
      <w:bookmarkEnd w:id="332"/>
      <w:bookmarkEnd w:id="333"/>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应按照合同约定的日期或双方同意顺延的工期提交成果资料，具体可在专用合同条款中约定。</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34" w:name="_Toc457826171"/>
      <w:r>
        <w:rPr>
          <w:rFonts w:hint="eastAsia" w:ascii="宋体" w:hAnsi="宋体" w:eastAsia="宋体" w:cs="宋体"/>
          <w:b/>
          <w:bCs/>
          <w:color w:val="auto"/>
          <w:kern w:val="0"/>
          <w:sz w:val="24"/>
          <w:szCs w:val="24"/>
          <w:highlight w:val="none"/>
          <w:lang w:val="en-US" w:eastAsia="zh-CN" w:bidi="ar-SA"/>
        </w:rPr>
        <w:t>4.3 发包人造成的工期延误</w:t>
      </w:r>
      <w:bookmarkEnd w:id="334"/>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因以下情形造成工期延误，</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有权要求发包人延长工期、增加合同价款和（或）补偿费用：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（1）发包人未能按合同约定提供图纸及开工条件；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）变更导致合同工作量增加；</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）发包人增加合同工作内容；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）发包人改变工程勘察技术要求；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）发包人导致工期延误的其他情形。</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4.3.2 </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35" w:name="_Toc406150443"/>
      <w:bookmarkStart w:id="336" w:name="_Toc457826172"/>
      <w:r>
        <w:rPr>
          <w:rFonts w:hint="eastAsia" w:ascii="宋体" w:hAnsi="宋体" w:eastAsia="宋体" w:cs="宋体"/>
          <w:b/>
          <w:bCs/>
          <w:color w:val="auto"/>
          <w:kern w:val="0"/>
          <w:sz w:val="24"/>
          <w:szCs w:val="24"/>
          <w:highlight w:val="none"/>
          <w:lang w:val="en-US" w:eastAsia="zh-CN" w:bidi="ar-SA"/>
        </w:rPr>
        <w:t xml:space="preserve">4.4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造成的工期延误</w:t>
      </w:r>
      <w:bookmarkEnd w:id="335"/>
      <w:bookmarkEnd w:id="336"/>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因以下情形不能按照合同约定的日期或双方同意顺延的工期提交成果资料的，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bookmarkStart w:id="337" w:name="_Toc406150444"/>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未按合同约定开工日期开展工作造成工期延误的；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管理不善、组织不力造成工期延误的；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（3）因弥补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自身原因导致的质量缺陷而造成工期延误的；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成果资料不合格返工造成工期延误的；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导致工期延误的其他情形。</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38" w:name="_Toc457826173"/>
      <w:r>
        <w:rPr>
          <w:rFonts w:hint="eastAsia" w:ascii="宋体" w:hAnsi="宋体" w:eastAsia="宋体" w:cs="宋体"/>
          <w:b/>
          <w:bCs/>
          <w:color w:val="auto"/>
          <w:kern w:val="0"/>
          <w:sz w:val="24"/>
          <w:szCs w:val="24"/>
          <w:highlight w:val="none"/>
          <w:lang w:val="en-US" w:eastAsia="zh-CN" w:bidi="ar-SA"/>
        </w:rPr>
        <w:t>4.5 恶劣气候条件</w:t>
      </w:r>
      <w:bookmarkEnd w:id="337"/>
      <w:bookmarkEnd w:id="338"/>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恶劣气候条件影响现场作业，导致现场作业难以进行，造成工期延误的，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有权要求发包人延长工期，具体可参照第4.3.2款处理。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39" w:name="_Toc457826174"/>
      <w:bookmarkStart w:id="340" w:name="_Toc406150445"/>
      <w:r>
        <w:rPr>
          <w:rFonts w:hint="eastAsia" w:ascii="宋体" w:hAnsi="宋体" w:eastAsia="宋体" w:cs="宋体"/>
          <w:b/>
          <w:bCs/>
          <w:color w:val="auto"/>
          <w:kern w:val="2"/>
          <w:sz w:val="24"/>
          <w:szCs w:val="24"/>
          <w:highlight w:val="none"/>
          <w:lang w:val="en-US" w:eastAsia="zh-CN" w:bidi="ar-SA"/>
        </w:rPr>
        <w:t>第5条 成果资料</w:t>
      </w:r>
      <w:bookmarkEnd w:id="339"/>
      <w:bookmarkEnd w:id="340"/>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41" w:name="_Toc457826175"/>
      <w:bookmarkStart w:id="342" w:name="_Toc406150446"/>
      <w:r>
        <w:rPr>
          <w:rFonts w:hint="eastAsia" w:ascii="宋体" w:hAnsi="宋体" w:eastAsia="宋体" w:cs="宋体"/>
          <w:b/>
          <w:bCs/>
          <w:color w:val="auto"/>
          <w:kern w:val="0"/>
          <w:sz w:val="24"/>
          <w:szCs w:val="24"/>
          <w:highlight w:val="none"/>
          <w:lang w:val="en-US" w:eastAsia="zh-CN" w:bidi="ar-SA"/>
        </w:rPr>
        <w:t>5.1 成果质量</w:t>
      </w:r>
      <w:bookmarkEnd w:id="341"/>
      <w:bookmarkEnd w:id="342"/>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5.1.1 成果质量应符合相关技术标准</w:t>
      </w:r>
      <w:r>
        <w:rPr>
          <w:rFonts w:hint="eastAsia" w:ascii="宋体" w:hAnsi="宋体" w:eastAsia="宋体" w:cs="宋体"/>
          <w:color w:val="auto"/>
          <w:kern w:val="0"/>
          <w:sz w:val="24"/>
          <w:szCs w:val="24"/>
          <w:highlight w:val="none"/>
          <w:lang w:eastAsia="zh-CN"/>
        </w:rPr>
        <w:t>和深度规定</w:t>
      </w:r>
      <w:r>
        <w:rPr>
          <w:rFonts w:hint="eastAsia" w:ascii="宋体" w:hAnsi="宋体" w:eastAsia="宋体" w:cs="宋体"/>
          <w:color w:val="auto"/>
          <w:kern w:val="0"/>
          <w:sz w:val="24"/>
          <w:szCs w:val="24"/>
          <w:highlight w:val="none"/>
        </w:rPr>
        <w:t>，且满足合同约定的质量要求。</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5.1.2 双方对工程勘察成果质量有争议时，由双方同意的第三方机构鉴定，所需费用及因此造成的损失，由责任方承担；双方均有责任</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，由双方根据其责任分别承担。</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43" w:name="_Toc406150447"/>
      <w:bookmarkStart w:id="344" w:name="_Toc457826176"/>
      <w:r>
        <w:rPr>
          <w:rFonts w:hint="eastAsia" w:ascii="宋体" w:hAnsi="宋体" w:eastAsia="宋体" w:cs="宋体"/>
          <w:b/>
          <w:bCs/>
          <w:color w:val="auto"/>
          <w:kern w:val="0"/>
          <w:sz w:val="24"/>
          <w:szCs w:val="24"/>
          <w:highlight w:val="none"/>
          <w:lang w:val="en-US" w:eastAsia="zh-CN" w:bidi="ar-SA"/>
        </w:rPr>
        <w:t>5.2 成果份数</w:t>
      </w:r>
      <w:bookmarkEnd w:id="343"/>
      <w:bookmarkEnd w:id="344"/>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应向发包人提交成果资料四份，发包人要求增加的份数，在专用合同条款中另行约定，发包人另行支付相应的费用。</w:t>
      </w:r>
    </w:p>
    <w:p>
      <w:pPr>
        <w:tabs>
          <w:tab w:val="left" w:pos="540"/>
        </w:tabs>
        <w:adjustRightInd w:val="0"/>
        <w:snapToGrid w:val="0"/>
        <w:spacing w:before="260" w:beforeLines="0" w:after="260" w:afterLines="0" w:line="360" w:lineRule="auto"/>
        <w:ind w:firstLine="482" w:firstLineChars="200"/>
        <w:jc w:val="left"/>
        <w:outlineLvl w:val="2"/>
        <w:rPr>
          <w:rFonts w:hint="eastAsia" w:ascii="宋体" w:hAnsi="宋体" w:eastAsia="宋体" w:cs="宋体"/>
          <w:color w:val="auto"/>
          <w:kern w:val="0"/>
          <w:sz w:val="24"/>
          <w:szCs w:val="24"/>
          <w:highlight w:val="none"/>
        </w:rPr>
      </w:pPr>
      <w:bookmarkStart w:id="345" w:name="_Toc457826177"/>
      <w:r>
        <w:rPr>
          <w:rFonts w:hint="eastAsia" w:ascii="宋体" w:hAnsi="宋体" w:eastAsia="宋体" w:cs="宋体"/>
          <w:b/>
          <w:bCs/>
          <w:color w:val="auto"/>
          <w:kern w:val="0"/>
          <w:sz w:val="24"/>
          <w:szCs w:val="24"/>
          <w:highlight w:val="none"/>
        </w:rPr>
        <w:t>5.3 成果交付</w:t>
      </w:r>
      <w:bookmarkEnd w:id="345"/>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按照约定时间和地点向发包人交付成果资料，发包人应出具书面签收单，内容包括成果名称、成果组成、成果份数、提交和签收日期、提交人与接收人的亲笔签名等。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46" w:name="_Toc457826178"/>
      <w:r>
        <w:rPr>
          <w:rFonts w:hint="eastAsia" w:ascii="宋体" w:hAnsi="宋体" w:eastAsia="宋体" w:cs="宋体"/>
          <w:b/>
          <w:bCs/>
          <w:color w:val="auto"/>
          <w:kern w:val="0"/>
          <w:sz w:val="24"/>
          <w:szCs w:val="24"/>
          <w:highlight w:val="none"/>
          <w:lang w:val="en-US" w:eastAsia="zh-CN" w:bidi="ar-SA"/>
        </w:rPr>
        <w:t>5.4 成果验收</w:t>
      </w:r>
      <w:bookmarkEnd w:id="346"/>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向发包人提交成果资料后，如需对勘察成果组织验收的，发包人应及时组织验收。</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发包人14天内无正当理由不予组织验收，视为验收通过。</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47" w:name="_Toc406150449"/>
      <w:bookmarkStart w:id="348" w:name="_Toc457826179"/>
      <w:r>
        <w:rPr>
          <w:rFonts w:hint="eastAsia" w:ascii="宋体" w:hAnsi="宋体" w:eastAsia="宋体" w:cs="宋体"/>
          <w:b/>
          <w:bCs/>
          <w:color w:val="auto"/>
          <w:kern w:val="2"/>
          <w:sz w:val="24"/>
          <w:szCs w:val="24"/>
          <w:highlight w:val="none"/>
          <w:lang w:val="en-US" w:eastAsia="zh-CN" w:bidi="ar-SA"/>
        </w:rPr>
        <w:t>第6条 后期服务</w:t>
      </w:r>
      <w:bookmarkEnd w:id="347"/>
      <w:bookmarkEnd w:id="348"/>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49" w:name="_Toc457826180"/>
      <w:bookmarkStart w:id="350" w:name="_Toc406150450"/>
      <w:r>
        <w:rPr>
          <w:rFonts w:hint="eastAsia" w:ascii="宋体" w:hAnsi="宋体" w:eastAsia="宋体" w:cs="宋体"/>
          <w:b/>
          <w:bCs/>
          <w:color w:val="auto"/>
          <w:kern w:val="0"/>
          <w:sz w:val="24"/>
          <w:szCs w:val="24"/>
          <w:highlight w:val="none"/>
          <w:lang w:val="en-US" w:eastAsia="zh-CN" w:bidi="ar-SA"/>
        </w:rPr>
        <w:t>6.1 后续技术服务</w:t>
      </w:r>
      <w:bookmarkEnd w:id="349"/>
      <w:bookmarkEnd w:id="350"/>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应派专业技术人员为发包人提供后续技术服务，发包人应为其提供必要的工作和生活条件，后续技术服务的内容、费用和时限应由双方在专用合同条款中另行约定。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51" w:name="_Toc406150451"/>
      <w:bookmarkStart w:id="352" w:name="_Toc457826181"/>
      <w:r>
        <w:rPr>
          <w:rFonts w:hint="eastAsia" w:ascii="宋体" w:hAnsi="宋体" w:eastAsia="宋体" w:cs="宋体"/>
          <w:b/>
          <w:bCs/>
          <w:color w:val="auto"/>
          <w:kern w:val="0"/>
          <w:sz w:val="24"/>
          <w:szCs w:val="24"/>
          <w:highlight w:val="none"/>
          <w:lang w:val="en-US" w:eastAsia="zh-CN" w:bidi="ar-SA"/>
        </w:rPr>
        <w:t>6.2 竣工验收</w:t>
      </w:r>
      <w:bookmarkEnd w:id="351"/>
      <w:bookmarkEnd w:id="352"/>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工程竣工验收时，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应按发包人要求参加竣工验收工作，并提供竣工验收所需相关资料。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53" w:name="_Toc457826182"/>
      <w:bookmarkStart w:id="354" w:name="_Toc406150452"/>
      <w:r>
        <w:rPr>
          <w:rFonts w:hint="eastAsia" w:ascii="宋体" w:hAnsi="宋体" w:eastAsia="宋体" w:cs="宋体"/>
          <w:b/>
          <w:bCs/>
          <w:color w:val="auto"/>
          <w:kern w:val="2"/>
          <w:sz w:val="24"/>
          <w:szCs w:val="24"/>
          <w:highlight w:val="none"/>
          <w:lang w:val="en-US" w:eastAsia="zh-CN" w:bidi="ar-SA"/>
        </w:rPr>
        <w:t>第7条 合同价款与支付</w:t>
      </w:r>
      <w:bookmarkEnd w:id="353"/>
      <w:bookmarkEnd w:id="354"/>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55" w:name="_Toc406150453"/>
      <w:bookmarkStart w:id="356" w:name="_Toc457826183"/>
      <w:r>
        <w:rPr>
          <w:rFonts w:hint="eastAsia" w:ascii="宋体" w:hAnsi="宋体" w:eastAsia="宋体" w:cs="宋体"/>
          <w:b/>
          <w:bCs/>
          <w:color w:val="auto"/>
          <w:kern w:val="0"/>
          <w:sz w:val="24"/>
          <w:szCs w:val="24"/>
          <w:highlight w:val="none"/>
          <w:lang w:val="en-US" w:eastAsia="zh-CN" w:bidi="ar-SA"/>
        </w:rPr>
        <w:t>7.1 合同价款与调整</w:t>
      </w:r>
      <w:bookmarkEnd w:id="355"/>
      <w:bookmarkEnd w:id="356"/>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依照法定程序进行招标工程的合同价款由发包人和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依据中标价格载明在合同协议书中；非招标工程的合同价款由发包人和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议定，并载明在合同协议书中。合同价款在合同协议书中约定后，除合同条款约定的合同价款调整因素外，任何一方不得擅自改变。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7.1.2 合同当事人可任选下列一种合同价款的形式，双方可在专用合同条款中约定：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双方在专用合同条款中约定合同价款包含的风险范围和风险费用的计算方法，在约定的风险范围内合同价款不再调整。风险范围以外的合同价款调整因素和方法，应在专用合同条款中约定。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（2）单价合同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合同价款根据工作量的变化而调整，合同单价在风险范围内一般不予调整，双方可在专用合同条款中约定合同单价调整因素和方法。</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（3）其他合同价款形式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bookmarkStart w:id="357" w:name="_Toc406150454"/>
      <w:r>
        <w:rPr>
          <w:rFonts w:hint="eastAsia" w:ascii="宋体" w:hAnsi="宋体" w:eastAsia="宋体" w:cs="宋体"/>
          <w:color w:val="auto"/>
          <w:kern w:val="0"/>
          <w:sz w:val="24"/>
          <w:szCs w:val="24"/>
          <w:highlight w:val="none"/>
        </w:rPr>
        <w:t>3 需调整合同价款时，合同一方应及时将调整原因、调整金额以书面形式通知对方，双方共同确认调整金额后作为追加或减少的合同价款，与进度款同期支付。</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一方在收到对方的通知后7天内不予确认也不提出修改意见，视为已经同意该项调整。合同当事人就调整事项不能达成一致的，则按照第16条〔争议解决〕的约定处理。</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58" w:name="_Toc457826184"/>
      <w:r>
        <w:rPr>
          <w:rFonts w:hint="eastAsia" w:ascii="宋体" w:hAnsi="宋体" w:eastAsia="宋体" w:cs="宋体"/>
          <w:b/>
          <w:bCs/>
          <w:color w:val="auto"/>
          <w:kern w:val="0"/>
          <w:sz w:val="24"/>
          <w:szCs w:val="24"/>
          <w:highlight w:val="none"/>
          <w:lang w:val="en-US" w:eastAsia="zh-CN" w:bidi="ar-SA"/>
        </w:rPr>
        <w:t>7.2 定金或预付款</w:t>
      </w:r>
      <w:bookmarkEnd w:id="357"/>
      <w:bookmarkEnd w:id="358"/>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7.2.1 实行定金或预付款的，双方应在专用合同条款中约定发包人向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支付定金或预付款数额，支付时间应不迟于约定的开工日期前7天。发包人不按约定支付，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向发包人发出要求支付的通知，发包人收到通知后仍不能按要求支付，发包人</w:t>
      </w:r>
      <w:r>
        <w:rPr>
          <w:rFonts w:hint="eastAsia" w:ascii="宋体" w:hAnsi="宋体" w:eastAsia="宋体" w:cs="宋体"/>
          <w:color w:val="auto"/>
          <w:kern w:val="0"/>
          <w:sz w:val="24"/>
          <w:szCs w:val="24"/>
          <w:highlight w:val="none"/>
          <w:lang w:eastAsia="zh-CN"/>
        </w:rPr>
        <w:t>需</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定金或预付款在进度款中抵扣，抵扣办法可在专用合同条款中约定。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59" w:name="_Toc457826185"/>
      <w:bookmarkStart w:id="360" w:name="_Toc406150455"/>
      <w:r>
        <w:rPr>
          <w:rFonts w:hint="eastAsia" w:ascii="宋体" w:hAnsi="宋体" w:eastAsia="宋体" w:cs="宋体"/>
          <w:b/>
          <w:bCs/>
          <w:color w:val="auto"/>
          <w:kern w:val="0"/>
          <w:sz w:val="24"/>
          <w:szCs w:val="24"/>
          <w:highlight w:val="none"/>
          <w:lang w:val="en-US" w:eastAsia="zh-CN" w:bidi="ar-SA"/>
        </w:rPr>
        <w:t>7.3 进度款支付</w:t>
      </w:r>
      <w:bookmarkEnd w:id="359"/>
      <w:bookmarkEnd w:id="36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发包人应按照专用合同条款约定的进度款支付方式、支付条件和支付时间进行支付。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7.3.2 第7.1款〔合同价款与调整〕和第8.2款〔变更合同价款确定〕确定调整的合同价款及其他条款中约定的追加或减少的合同价款，应与进度款同期调整支付。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7.3.3 发包人超过约定的支付时间不支付进度款，</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可向发包人发出要求付款的通知，发包人收到</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通知后仍不能按要求付款，可与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协商签订延期付款协议，经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同意后可延期支付。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7.3.4 发包人不按合同约定支付进度款，双方又未达成延期付款协议，</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可停止工程勘察作业和后期服务，由发包人承担违约责任。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61" w:name="_Toc457826186"/>
      <w:r>
        <w:rPr>
          <w:rFonts w:hint="eastAsia" w:ascii="宋体" w:hAnsi="宋体" w:eastAsia="宋体" w:cs="宋体"/>
          <w:b/>
          <w:bCs/>
          <w:color w:val="auto"/>
          <w:kern w:val="0"/>
          <w:sz w:val="24"/>
          <w:szCs w:val="24"/>
          <w:highlight w:val="none"/>
          <w:lang w:val="en-US" w:eastAsia="zh-CN" w:bidi="ar-SA"/>
        </w:rPr>
        <w:t>7.4 合同价款结算</w:t>
      </w:r>
      <w:bookmarkEnd w:id="361"/>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28天内，依据第7.1款〔合同价款与调整〕和第8.2款〔变更合同价款确定〕的约定进行最终合同价款确定，并予以全额支付。</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62" w:name="_Toc457826187"/>
      <w:bookmarkStart w:id="363" w:name="_Toc406150456"/>
      <w:r>
        <w:rPr>
          <w:rFonts w:hint="eastAsia" w:ascii="宋体" w:hAnsi="宋体" w:eastAsia="宋体" w:cs="宋体"/>
          <w:b/>
          <w:bCs/>
          <w:color w:val="auto"/>
          <w:kern w:val="2"/>
          <w:sz w:val="24"/>
          <w:szCs w:val="24"/>
          <w:highlight w:val="none"/>
          <w:lang w:val="en-US" w:eastAsia="zh-CN" w:bidi="ar-SA"/>
        </w:rPr>
        <w:t>第8条 变更与调整</w:t>
      </w:r>
      <w:bookmarkEnd w:id="362"/>
      <w:bookmarkEnd w:id="363"/>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64" w:name="_Toc406150457"/>
      <w:bookmarkStart w:id="365" w:name="_Toc457826188"/>
      <w:r>
        <w:rPr>
          <w:rFonts w:hint="eastAsia" w:ascii="宋体" w:hAnsi="宋体" w:eastAsia="宋体" w:cs="宋体"/>
          <w:b/>
          <w:bCs/>
          <w:color w:val="auto"/>
          <w:kern w:val="0"/>
          <w:sz w:val="24"/>
          <w:szCs w:val="24"/>
          <w:highlight w:val="none"/>
          <w:lang w:val="en-US" w:eastAsia="zh-CN" w:bidi="ar-SA"/>
        </w:rPr>
        <w:t>8.1 变更范围与确认</w:t>
      </w:r>
      <w:bookmarkEnd w:id="364"/>
      <w:bookmarkEnd w:id="365"/>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本合同变更是指在合同签订日后发生的以下变更：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（1）法律法规及技术标准的变化引起的变更；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（2）规划方案或设计条件的变化引起的变更；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（3）不利物质条件引起的变更；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（4）发包人的要求变化引起的变更；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（5）因政府临时禁令引起的变更；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（6）其他专用合同条款中约定的变更。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当引起变更的情形出现，除专用合同条款对期限另有约定外，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应在7天内就调整后的技术方案以书面形式向发包人提出变更要求，发包人应在收到报告后7天内予以确认，逾期不予确认也不提出修改意见，视为同意变更。</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66" w:name="_Toc406150458"/>
      <w:bookmarkStart w:id="367" w:name="_Toc457826189"/>
      <w:r>
        <w:rPr>
          <w:rFonts w:hint="eastAsia" w:ascii="宋体" w:hAnsi="宋体" w:eastAsia="宋体" w:cs="宋体"/>
          <w:b/>
          <w:bCs/>
          <w:color w:val="auto"/>
          <w:kern w:val="0"/>
          <w:sz w:val="24"/>
          <w:szCs w:val="24"/>
          <w:highlight w:val="none"/>
          <w:lang w:val="en-US" w:eastAsia="zh-CN" w:bidi="ar-SA"/>
        </w:rPr>
        <w:t>8.2 变更合同价款确定</w:t>
      </w:r>
      <w:bookmarkEnd w:id="366"/>
      <w:bookmarkEnd w:id="367"/>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变更合同价款按下列方法进行：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（1）合同中已有适用于变更工程的价格，按合同已有的价格变更合同价款；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（2）合同中只有类似于变更工程的价格，可以参照类似价格变更合同价款；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（3）合同中没有适用或类似于变更工程的价格，由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提出适当的变更价格，经发包人确认后执行。</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8.2.2 除专用合同条款对期限另有约定外，一方应在双方确定变更事项后14天内向对方提出变更合同价款报告，否则视为该项变更不涉及合同价款的变更。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8.2.3 除专用合同条款对期限另有约定外，一方应在收到对方提交的变更合同价款报告之日起14天内予以确认。逾期无正当理由不予确认的，则视为该项变更合同价款报告已被确认。</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8.2.4 一方不同意对方提出的合同价款变更，按第16条〔争议解决〕的约定处理。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8.2.5 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自身原因导致的变更，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无权要求追加合同价款。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68" w:name="_Toc406150459"/>
      <w:bookmarkStart w:id="369" w:name="_Toc457826190"/>
      <w:r>
        <w:rPr>
          <w:rFonts w:hint="eastAsia" w:ascii="宋体" w:hAnsi="宋体" w:eastAsia="宋体" w:cs="宋体"/>
          <w:b/>
          <w:bCs/>
          <w:color w:val="auto"/>
          <w:kern w:val="2"/>
          <w:sz w:val="24"/>
          <w:szCs w:val="24"/>
          <w:highlight w:val="none"/>
          <w:lang w:val="en-US" w:eastAsia="zh-CN" w:bidi="ar-SA"/>
        </w:rPr>
        <w:t>第9条 知识产权</w:t>
      </w:r>
      <w:bookmarkEnd w:id="368"/>
      <w:bookmarkEnd w:id="369"/>
    </w:p>
    <w:p>
      <w:pPr>
        <w:tabs>
          <w:tab w:val="left" w:pos="54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 除专用合同条款另有约定外，发包人提供给</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的图纸、发包人为实施工程自行编制或委托编制的反映发包人要求或其他类似性质的文件的著作权属于发包人，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可以为实现本合同目的而复制、使用此类文件，但不能用于与本合同无关的其他事项。未经发包人书面同意，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9.2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为实施工程所编制的成果文件的著作权属于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，发包人可因本工程的需要而复制、使用此类文件，但不能擅自修改或用于与本合同无关的其他事项。未经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书面同意，发包人不得为了本合同以外的目的而复制、使用上述文件或将之提供给任何第三方。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 合同当事人保证在履行本合同过程中不侵犯对方及第三方的知识产权。</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在工程勘察时，因侵犯他人的专利权或其他知识产权所引起的责任，由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承担；因发包人提供的基础资料导致侵权的，由发包人承担责任。</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9.4 在不损害对方利益情况下，合同当事人双方均有权在申报奖项、制作宣传印刷品及出版物时使用有关项目的文字和图片材料。</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bookmarkStart w:id="370" w:name="_Toc406150461"/>
      <w:r>
        <w:rPr>
          <w:rFonts w:hint="eastAsia" w:ascii="宋体" w:hAnsi="宋体" w:eastAsia="宋体" w:cs="宋体"/>
          <w:b w:val="0"/>
          <w:bCs/>
          <w:color w:val="auto"/>
          <w:kern w:val="0"/>
          <w:sz w:val="24"/>
          <w:szCs w:val="24"/>
          <w:highlight w:val="none"/>
        </w:rPr>
        <w:t>9.5</w:t>
      </w:r>
      <w:bookmarkEnd w:id="370"/>
      <w:r>
        <w:rPr>
          <w:rFonts w:hint="eastAsia" w:ascii="宋体" w:hAnsi="宋体" w:eastAsia="宋体" w:cs="宋体"/>
          <w:b w:val="0"/>
          <w:bCs/>
          <w:color w:val="auto"/>
          <w:kern w:val="0"/>
          <w:sz w:val="24"/>
          <w:szCs w:val="24"/>
          <w:highlight w:val="none"/>
        </w:rPr>
        <w:t xml:space="preserve">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在合同签订前和签订时已确定采用的专利、专有技术、技术秘密的使用费已包含在合同价款中。</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71" w:name="_Toc457826191"/>
      <w:bookmarkStart w:id="372" w:name="_Toc406150462"/>
      <w:r>
        <w:rPr>
          <w:rFonts w:hint="eastAsia" w:ascii="宋体" w:hAnsi="宋体" w:eastAsia="宋体" w:cs="宋体"/>
          <w:b/>
          <w:bCs/>
          <w:color w:val="auto"/>
          <w:kern w:val="2"/>
          <w:sz w:val="24"/>
          <w:szCs w:val="24"/>
          <w:highlight w:val="none"/>
          <w:lang w:val="en-US" w:eastAsia="zh-CN" w:bidi="ar-SA"/>
        </w:rPr>
        <w:t>第10条 不可抗力</w:t>
      </w:r>
      <w:bookmarkEnd w:id="371"/>
      <w:bookmarkEnd w:id="372"/>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73" w:name="_Toc457826192"/>
      <w:bookmarkStart w:id="374" w:name="_Toc406150463"/>
      <w:r>
        <w:rPr>
          <w:rFonts w:hint="eastAsia" w:ascii="宋体" w:hAnsi="宋体" w:eastAsia="宋体" w:cs="宋体"/>
          <w:b/>
          <w:bCs/>
          <w:color w:val="auto"/>
          <w:kern w:val="0"/>
          <w:sz w:val="24"/>
          <w:szCs w:val="24"/>
          <w:highlight w:val="none"/>
          <w:lang w:val="en-US" w:eastAsia="zh-CN" w:bidi="ar-SA"/>
        </w:rPr>
        <w:t>10.1 不可抗力的确认</w:t>
      </w:r>
      <w:bookmarkEnd w:id="373"/>
      <w:bookmarkEnd w:id="374"/>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不可抗力是在订立合同时不可合理预见，在履行合同中不可避免的发生且不能克服的自然灾害和社会突发事件，如地震、海啸、瘟疫、洪水、骚乱、暴动、战争以及专用条款约定的其他自然灾害和社会突发事件。</w:t>
      </w:r>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不可抗力发生后，发包人和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应收集不可抗力发生及造成损失的证据。合同当事双方对是否属于不可抗力或其损失发生争议时，按第16条〔争议解决〕的约定处理。</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75" w:name="_Toc406150464"/>
      <w:bookmarkStart w:id="376" w:name="_Toc457826193"/>
      <w:r>
        <w:rPr>
          <w:rFonts w:hint="eastAsia" w:ascii="宋体" w:hAnsi="宋体" w:eastAsia="宋体" w:cs="宋体"/>
          <w:b/>
          <w:bCs/>
          <w:color w:val="auto"/>
          <w:kern w:val="0"/>
          <w:sz w:val="24"/>
          <w:szCs w:val="24"/>
          <w:highlight w:val="none"/>
          <w:lang w:val="en-US" w:eastAsia="zh-CN" w:bidi="ar-SA"/>
        </w:rPr>
        <w:t>10.2 不可抗力的通知</w:t>
      </w:r>
      <w:bookmarkEnd w:id="375"/>
      <w:bookmarkEnd w:id="376"/>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遇有不可抗力发生时，发包人和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应立即通知对方，双方应共同采取措施减少损失。除专用合同条款对期限另有约定外，不可抗力持续发生，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应每隔7天向发包人报告一次受害损失情况。</w:t>
      </w:r>
    </w:p>
    <w:p>
      <w:pPr>
        <w:tabs>
          <w:tab w:val="left" w:pos="16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10.2.2 除专用合同条款对期限另有约定外，不可抗力结束后2天内，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向发包人通报受害损失情况及预计清理和修复的费用；不可抗力结束后14天内，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向发包人提交清理和修复费用的正式报告及有关资料。</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77" w:name="_Toc457826194"/>
      <w:bookmarkStart w:id="378" w:name="_Toc406150465"/>
      <w:r>
        <w:rPr>
          <w:rFonts w:hint="eastAsia" w:ascii="宋体" w:hAnsi="宋体" w:eastAsia="宋体" w:cs="宋体"/>
          <w:b/>
          <w:bCs/>
          <w:color w:val="auto"/>
          <w:kern w:val="0"/>
          <w:sz w:val="24"/>
          <w:szCs w:val="24"/>
          <w:highlight w:val="none"/>
          <w:lang w:val="en-US" w:eastAsia="zh-CN" w:bidi="ar-SA"/>
        </w:rPr>
        <w:t>10.3 不可抗力后果的承担</w:t>
      </w:r>
      <w:bookmarkEnd w:id="377"/>
      <w:bookmarkEnd w:id="378"/>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因不可抗力发生的费用及延误的工期由双方按以下方法分别承担：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人员伤亡由合同当事人双方自行负责，并承担相应费用；</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机械设备损坏及停工损失，由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（3）停工期间，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应发包人要求留在作业场地的管理人员及保卫人员的费用由发包人承担；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（4）作业场地发生的清理、修复费用由发包人承担；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（5）延误的工期相应顺延。</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因合同一方迟延履行合同后发生不可抗力的，不能免除迟延履行方的相应责任。</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79" w:name="_Toc457826195"/>
      <w:bookmarkStart w:id="380" w:name="_Toc406150466"/>
      <w:r>
        <w:rPr>
          <w:rFonts w:hint="eastAsia" w:ascii="宋体" w:hAnsi="宋体" w:eastAsia="宋体" w:cs="宋体"/>
          <w:b/>
          <w:bCs/>
          <w:color w:val="auto"/>
          <w:kern w:val="2"/>
          <w:sz w:val="24"/>
          <w:szCs w:val="24"/>
          <w:highlight w:val="none"/>
          <w:lang w:val="en-US" w:eastAsia="zh-CN" w:bidi="ar-SA"/>
        </w:rPr>
        <w:t>第11条 合同生效与终止</w:t>
      </w:r>
      <w:bookmarkEnd w:id="379"/>
      <w:bookmarkEnd w:id="380"/>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 双方在合同协议书中约定合同生效方式。</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 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履行合同全部义务，合同价款支付完毕，本合同即告终止。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 合同的权利义务终止后，合同当事人应遵循诚实信用原则，履行通知、协助和保密等义务。</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81" w:name="_Toc406150467"/>
      <w:bookmarkStart w:id="382" w:name="_Toc457826196"/>
      <w:r>
        <w:rPr>
          <w:rFonts w:hint="eastAsia" w:ascii="宋体" w:hAnsi="宋体" w:eastAsia="宋体" w:cs="宋体"/>
          <w:b/>
          <w:bCs/>
          <w:color w:val="auto"/>
          <w:kern w:val="2"/>
          <w:sz w:val="24"/>
          <w:szCs w:val="24"/>
          <w:highlight w:val="none"/>
          <w:lang w:val="en-US" w:eastAsia="zh-CN" w:bidi="ar-SA"/>
        </w:rPr>
        <w:t>第12条 合同解除</w:t>
      </w:r>
      <w:bookmarkEnd w:id="381"/>
      <w:bookmarkEnd w:id="382"/>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12.1</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有下列情形之一的，发包人、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可以解除合同：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（1）因不可抗力致使合同无法履行；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（2）发生未按第7.2款〔定金或预付款〕或第7.3款〔进度款支付〕约定按时支付合同价款的情况，停止作业超过28天，</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有权解除合同，由发包人承担违约责任；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将其承包的全部工程转包给他人或者肢解以后以分包的名义分别转包给他人，发包人有权解除合同，由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（4）发包人和</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协商一致可以解除合同的其他情形。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 一方依据第12.1款约定要求解除合同的，应以书面形式向对方发出解除合同的通知，并在发出通知前不少于14天告知对方，通知到达对方时合同解除。对解除合同有争议的，按第16条〔争议解决〕的约定处理。</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 因不可抗力致使合同无法履行时，发包人应按合同约定向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支付已完工作量相对应比例的合同价款后解除合同。</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 合同解除后，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应按发包人要求将自有设备和人员撤出作业场地，发包人应为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撤出提供必要条件。</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83" w:name="_Toc457826197"/>
      <w:bookmarkStart w:id="384" w:name="_Toc406150468"/>
      <w:r>
        <w:rPr>
          <w:rFonts w:hint="eastAsia" w:ascii="宋体" w:hAnsi="宋体" w:eastAsia="宋体" w:cs="宋体"/>
          <w:b/>
          <w:bCs/>
          <w:color w:val="auto"/>
          <w:kern w:val="2"/>
          <w:sz w:val="24"/>
          <w:szCs w:val="24"/>
          <w:highlight w:val="none"/>
          <w:lang w:val="en-US" w:eastAsia="zh-CN" w:bidi="ar-SA"/>
        </w:rPr>
        <w:t>第13条 责任与保险</w:t>
      </w:r>
      <w:bookmarkEnd w:id="383"/>
      <w:bookmarkEnd w:id="384"/>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13.1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应运用一切合理的专业技术和经验，按照公认的职业标准尽其全部职责和谨慎、勤勉地履行其在本合同项下的责任和义务。</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 合同当事人可按照法律法规的要求在专用合同条款中约定履行本合同所需要的工程勘察责任保险，并使其于合同责任期内保持有效。</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13.3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应依照法律法规的规定为勘察作业人员参加工伤保险、人身意外伤害险和其他保险。</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85" w:name="_Toc406150469"/>
      <w:bookmarkStart w:id="386" w:name="_Toc457826198"/>
      <w:r>
        <w:rPr>
          <w:rFonts w:hint="eastAsia" w:ascii="宋体" w:hAnsi="宋体" w:eastAsia="宋体" w:cs="宋体"/>
          <w:b/>
          <w:bCs/>
          <w:color w:val="auto"/>
          <w:kern w:val="2"/>
          <w:sz w:val="24"/>
          <w:szCs w:val="24"/>
          <w:highlight w:val="none"/>
          <w:lang w:val="en-US" w:eastAsia="zh-CN" w:bidi="ar-SA"/>
        </w:rPr>
        <w:t>第14条 违约</w:t>
      </w:r>
      <w:bookmarkEnd w:id="385"/>
      <w:bookmarkEnd w:id="386"/>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87" w:name="_Toc406150470"/>
      <w:bookmarkStart w:id="388" w:name="_Toc457826199"/>
      <w:r>
        <w:rPr>
          <w:rFonts w:hint="eastAsia" w:ascii="宋体" w:hAnsi="宋体" w:eastAsia="宋体" w:cs="宋体"/>
          <w:b/>
          <w:bCs/>
          <w:color w:val="auto"/>
          <w:kern w:val="0"/>
          <w:sz w:val="24"/>
          <w:szCs w:val="24"/>
          <w:highlight w:val="none"/>
          <w:lang w:val="en-US" w:eastAsia="zh-CN" w:bidi="ar-SA"/>
        </w:rPr>
        <w:t>14.1 发包人违约</w:t>
      </w:r>
      <w:bookmarkEnd w:id="387"/>
      <w:bookmarkEnd w:id="388"/>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发包人违约情形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（2）发包人未按第7.2款〔定金或预付款〕约定按时支付定金或预付款；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（3）发包人未按第7.3款〔进度款支付〕约定按时支付进度款；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（4）发包人不履行合同义务或不按合同约定履行义务的其他情形。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未开始勘察工作的，不退还发包人已付的定金或发包人按照专用合同条款约定向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支付违约金；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已开始勘察工作的，若完成计划工作量不足50%的，发包人应支付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合同价款的50%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完成计划工作量超过50%的，发包人应支付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合同价款的100%。</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（2）发包人发生其他违约情形时，发包人应承担由此增加的费用和工期延误损失，并给予</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合理赔偿。双方可在专用合同条款内约定发包人赔偿</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损失的计算方法或者发包人应支付违约金的数额或计算方法。</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89" w:name="_Toc457826200"/>
      <w:bookmarkStart w:id="390" w:name="_Toc406150471"/>
      <w:r>
        <w:rPr>
          <w:rFonts w:hint="eastAsia" w:ascii="宋体" w:hAnsi="宋体" w:eastAsia="宋体" w:cs="宋体"/>
          <w:b/>
          <w:bCs/>
          <w:color w:val="auto"/>
          <w:kern w:val="0"/>
          <w:sz w:val="24"/>
          <w:szCs w:val="24"/>
          <w:highlight w:val="none"/>
          <w:lang w:val="en-US" w:eastAsia="zh-CN" w:bidi="ar-SA"/>
        </w:rPr>
        <w:t xml:space="preserve">14.2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违约</w:t>
      </w:r>
      <w:bookmarkEnd w:id="389"/>
      <w:bookmarkEnd w:id="39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原因不能按照合同约定的日期或合同当事人同意顺延的工期提交成果资料；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不履行合同义务或未按约定履行合同义务的其他情形。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应双倍返还发包人已支付的定金或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原因造成工期延误的，应按专用合同条款约定向发包人支付违约金。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应负责无偿给予补充完善使其达到质量合格。因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除负责采取补救措施外，应通过所投工程勘察责任保险向发包人承担赔偿责任或根据直接经济损失程度按专用合同条款约定向发包人支付赔偿金。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应承担违约责任并赔偿因其违约给发包人造成的损失，双方可在专用合同条款内约定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赔偿发包人损失的计算方法和赔偿金额。</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91" w:name="_Toc457826201"/>
      <w:bookmarkStart w:id="392" w:name="_Toc406150472"/>
      <w:r>
        <w:rPr>
          <w:rFonts w:hint="eastAsia" w:ascii="宋体" w:hAnsi="宋体" w:eastAsia="宋体" w:cs="宋体"/>
          <w:b/>
          <w:bCs/>
          <w:color w:val="auto"/>
          <w:kern w:val="2"/>
          <w:sz w:val="24"/>
          <w:szCs w:val="24"/>
          <w:highlight w:val="none"/>
          <w:lang w:val="en-US" w:eastAsia="zh-CN" w:bidi="ar-SA"/>
        </w:rPr>
        <w:t>第15条 索赔</w:t>
      </w:r>
      <w:bookmarkEnd w:id="391"/>
      <w:bookmarkEnd w:id="392"/>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15.1 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未按合同约定履行义务或发生错误以及应由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承担责任的其他情形，造成工期延误及发包人的经济损失，除专用合同条款另有约定外，发包人可按下列程序以书面形式向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提出经济损失的索赔报告及有关资料；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在收到发包人送交的索赔报告和有关资料后28天内未予答复或未对发包人作进一步要求，视为该项索赔已被认可；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（5）当该违约事件持续进行时，发包人应阶段性向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发出索赔意向，在违约事件终了后21天内，向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送交索赔的有关资料和最终索赔报告。索赔答复程序与本款第（3）、（4）项约定相同。</w:t>
      </w:r>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15.2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发包人未按合同约定履行义务或发生错误以及应由发包人承担责任的其他情形，造成工期延误和（或）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不能及时得到合同价款及</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的经济损失，除专用合同条款另有约定外，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可按下列程序以书面形式向发包人索赔：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可向发包人发出要求其采取有效措施纠正违约行为的通知；发包人收到通知14天内仍不履行合同义务，</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有权停止作业，并向发包人发出索赔意向通知。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（2）发出索赔意向通知后14天内，向发包人提出延长工期和（或）补偿经济损失的索赔报告及有关资料；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送交的索赔报告和有关资料后28天内未予答复或未对</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（5）当该索赔事件持续进行时，</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应阶段性向发包人发出索赔意向，在索赔事件终了后21天内，向发包人送交索赔的有关资料和最终索赔报告。索赔答复程序与本款第（3）、（4）项约定相同。</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393" w:name="_Toc457826202"/>
      <w:bookmarkStart w:id="394" w:name="_Toc406150473"/>
      <w:r>
        <w:rPr>
          <w:rFonts w:hint="eastAsia" w:ascii="宋体" w:hAnsi="宋体" w:eastAsia="宋体" w:cs="宋体"/>
          <w:b/>
          <w:bCs/>
          <w:color w:val="auto"/>
          <w:kern w:val="2"/>
          <w:sz w:val="24"/>
          <w:szCs w:val="24"/>
          <w:highlight w:val="none"/>
          <w:lang w:val="en-US" w:eastAsia="zh-CN" w:bidi="ar-SA"/>
        </w:rPr>
        <w:t>第16条 争议解决</w:t>
      </w:r>
      <w:bookmarkEnd w:id="393"/>
      <w:bookmarkEnd w:id="394"/>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95" w:name="_Toc457826203"/>
      <w:bookmarkStart w:id="396" w:name="_Toc406150474"/>
      <w:r>
        <w:rPr>
          <w:rFonts w:hint="eastAsia" w:ascii="宋体" w:hAnsi="宋体" w:eastAsia="宋体" w:cs="宋体"/>
          <w:b/>
          <w:bCs/>
          <w:color w:val="auto"/>
          <w:kern w:val="0"/>
          <w:sz w:val="24"/>
          <w:szCs w:val="24"/>
          <w:highlight w:val="none"/>
          <w:lang w:val="en-US" w:eastAsia="zh-CN" w:bidi="ar-SA"/>
        </w:rPr>
        <w:t>16.1 和解</w:t>
      </w:r>
      <w:bookmarkEnd w:id="395"/>
      <w:bookmarkEnd w:id="396"/>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因本合同以及与本合同有关事项发生争议的，双方可以就争议自行和解。自行和解达成协议的，经签字并盖章后作为合同补充文件，双方均应遵照执行。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397" w:name="_Toc457826204"/>
      <w:bookmarkStart w:id="398" w:name="_Toc406150475"/>
      <w:r>
        <w:rPr>
          <w:rFonts w:hint="eastAsia" w:ascii="宋体" w:hAnsi="宋体" w:eastAsia="宋体" w:cs="宋体"/>
          <w:b/>
          <w:bCs/>
          <w:color w:val="auto"/>
          <w:kern w:val="0"/>
          <w:sz w:val="24"/>
          <w:szCs w:val="24"/>
          <w:highlight w:val="none"/>
          <w:lang w:val="en-US" w:eastAsia="zh-CN" w:bidi="ar-SA"/>
        </w:rPr>
        <w:t>16.2 调解</w:t>
      </w:r>
      <w:bookmarkEnd w:id="397"/>
      <w:bookmarkEnd w:id="398"/>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因本合同以及与本合同有关事项发生争议的，双方可以就争议请求行政主管部门、行业协会或其他第三方进行调解。调解达成协议的，经签字并盖章后作为合同补充文件，双方均应遵照执行。</w:t>
      </w:r>
      <w:bookmarkStart w:id="399" w:name="_Toc406150476"/>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00" w:name="_Toc457826205"/>
      <w:r>
        <w:rPr>
          <w:rFonts w:hint="eastAsia" w:ascii="宋体" w:hAnsi="宋体" w:eastAsia="宋体" w:cs="宋体"/>
          <w:b/>
          <w:bCs/>
          <w:color w:val="auto"/>
          <w:kern w:val="0"/>
          <w:sz w:val="24"/>
          <w:szCs w:val="24"/>
          <w:highlight w:val="none"/>
          <w:lang w:val="en-US" w:eastAsia="zh-CN" w:bidi="ar-SA"/>
        </w:rPr>
        <w:t>16.3 仲裁或诉讼</w:t>
      </w:r>
      <w:bookmarkEnd w:id="399"/>
      <w:bookmarkEnd w:id="40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因本合同以及与本合同有关事项发生争议的，当事人不愿和解、调解或者和解、调解不成的，双方可以在专用合同条款内约定以下一种方式解决争议：</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（1）双方达成仲裁协议，向约定的仲裁委员会申请仲裁；</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宋体"/>
          <w:color w:val="auto"/>
          <w:kern w:val="0"/>
          <w:sz w:val="24"/>
          <w:szCs w:val="24"/>
          <w:highlight w:val="none"/>
          <w:lang w:eastAsia="zh-CN"/>
        </w:rPr>
        <w:t>项目所在地</w:t>
      </w:r>
      <w:r>
        <w:rPr>
          <w:rFonts w:hint="eastAsia" w:ascii="宋体" w:hAnsi="宋体" w:eastAsia="宋体" w:cs="宋体"/>
          <w:color w:val="auto"/>
          <w:kern w:val="0"/>
          <w:sz w:val="24"/>
          <w:szCs w:val="24"/>
          <w:highlight w:val="none"/>
        </w:rPr>
        <w:t>有管辖权的人民法院起诉。</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01" w:name="_Toc406150477"/>
      <w:bookmarkStart w:id="402" w:name="_Toc457826206"/>
      <w:r>
        <w:rPr>
          <w:rFonts w:hint="eastAsia" w:ascii="宋体" w:hAnsi="宋体" w:eastAsia="宋体" w:cs="宋体"/>
          <w:b/>
          <w:bCs/>
          <w:color w:val="auto"/>
          <w:kern w:val="2"/>
          <w:sz w:val="24"/>
          <w:szCs w:val="24"/>
          <w:highlight w:val="none"/>
          <w:lang w:val="en-US" w:eastAsia="zh-CN" w:bidi="ar-SA"/>
        </w:rPr>
        <w:t>第17条 补充条款</w:t>
      </w:r>
      <w:bookmarkEnd w:id="401"/>
      <w:bookmarkEnd w:id="402"/>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双方根据有关法律法规规定，结合实际经协商一致，可对通用合同条款内容具体化、补充或修改，并在专用合同条款内约定。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pPr>
        <w:snapToGrid w:val="0"/>
        <w:spacing w:line="360" w:lineRule="auto"/>
        <w:jc w:val="center"/>
        <w:outlineLvl w:val="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403" w:name="_Toc457826207"/>
      <w:bookmarkStart w:id="404" w:name="_Toc406150478"/>
      <w:bookmarkStart w:id="405" w:name="_Toc2045"/>
      <w:r>
        <w:rPr>
          <w:rFonts w:hint="eastAsia" w:ascii="宋体" w:hAnsi="宋体" w:eastAsia="宋体" w:cs="宋体"/>
          <w:b/>
          <w:bCs/>
          <w:color w:val="auto"/>
          <w:kern w:val="0"/>
          <w:sz w:val="32"/>
          <w:szCs w:val="32"/>
          <w:highlight w:val="none"/>
        </w:rPr>
        <w:t>第三部分　专用合同条款</w:t>
      </w:r>
      <w:bookmarkEnd w:id="403"/>
      <w:bookmarkEnd w:id="404"/>
      <w:bookmarkEnd w:id="405"/>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06" w:name="_Toc406150479"/>
      <w:bookmarkStart w:id="407" w:name="_Toc457826208"/>
      <w:r>
        <w:rPr>
          <w:rFonts w:hint="eastAsia" w:ascii="宋体" w:hAnsi="宋体" w:eastAsia="宋体" w:cs="宋体"/>
          <w:b/>
          <w:bCs/>
          <w:color w:val="auto"/>
          <w:kern w:val="2"/>
          <w:sz w:val="24"/>
          <w:szCs w:val="24"/>
          <w:highlight w:val="none"/>
          <w:lang w:val="en-US" w:eastAsia="zh-CN" w:bidi="ar-SA"/>
        </w:rPr>
        <w:t>第1条 一般约定</w:t>
      </w:r>
      <w:bookmarkEnd w:id="406"/>
      <w:bookmarkEnd w:id="407"/>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08" w:name="_Toc457826209"/>
      <w:bookmarkStart w:id="409" w:name="_Toc406150480"/>
      <w:r>
        <w:rPr>
          <w:rFonts w:hint="eastAsia" w:ascii="宋体" w:hAnsi="宋体" w:eastAsia="宋体" w:cs="宋体"/>
          <w:b/>
          <w:bCs/>
          <w:color w:val="auto"/>
          <w:kern w:val="0"/>
          <w:sz w:val="24"/>
          <w:szCs w:val="24"/>
          <w:highlight w:val="none"/>
          <w:lang w:val="en-US" w:eastAsia="zh-CN" w:bidi="ar-SA"/>
        </w:rPr>
        <w:t>1.1 词语定义</w:t>
      </w:r>
      <w:bookmarkEnd w:id="408"/>
    </w:p>
    <w:p>
      <w:pPr>
        <w:snapToGrid w:val="0"/>
        <w:spacing w:line="360" w:lineRule="auto"/>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协议书中相关词语的含义与通用条件中的定义与解释相同。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0" w:name="_Toc457826210"/>
      <w:r>
        <w:rPr>
          <w:rFonts w:hint="eastAsia" w:ascii="宋体" w:hAnsi="宋体" w:eastAsia="宋体" w:cs="宋体"/>
          <w:b/>
          <w:bCs/>
          <w:color w:val="auto"/>
          <w:kern w:val="0"/>
          <w:sz w:val="24"/>
          <w:szCs w:val="24"/>
          <w:highlight w:val="none"/>
          <w:lang w:val="en-US" w:eastAsia="zh-CN" w:bidi="ar-SA"/>
        </w:rPr>
        <w:t>1.2 合同文件及优先解释顺序</w:t>
      </w:r>
      <w:bookmarkEnd w:id="410"/>
    </w:p>
    <w:p>
      <w:pPr>
        <w:widowControl/>
        <w:spacing w:line="360" w:lineRule="auto"/>
        <w:ind w:firstLine="480" w:firstLineChars="200"/>
        <w:rPr>
          <w:rFonts w:hint="eastAsia" w:ascii="Times New Roman"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1.2.1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合同文件组成及优先解释顺序：</w:t>
      </w:r>
      <w:r>
        <w:rPr>
          <w:rFonts w:hint="eastAsia" w:ascii="Times New Roman" w:hAnsi="宋体" w:eastAsia="宋体" w:cs="Times New Roman"/>
          <w:color w:val="auto"/>
          <w:sz w:val="24"/>
          <w:highlight w:val="none"/>
          <w:u w:val="single"/>
        </w:rPr>
        <w:t>构成本合同的文件可视为是能互相说明的，如果合同文件存在歧义或不一致，则根据如下优先次序来判断：</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合同实施期间双方以书面形式签订的合同补充协议和修正协议；</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本合同及附件；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中标通知书；</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招标文件及相关澄清修正说明；</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投标文件及附件；</w:t>
      </w:r>
    </w:p>
    <w:p>
      <w:pPr>
        <w:widowControl/>
        <w:spacing w:line="360" w:lineRule="auto"/>
        <w:ind w:left="210" w:firstLine="216"/>
        <w:rPr>
          <w:rFonts w:hint="eastAsia" w:ascii="宋体" w:hAnsi="宋体" w:eastAsia="宋体" w:cs="宋体"/>
          <w:color w:val="auto"/>
          <w:sz w:val="24"/>
          <w:highlight w:val="none"/>
          <w:u w:val="single"/>
          <w:lang w:eastAsia="zh-CN"/>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标准、规范及有关技术文件</w:t>
      </w:r>
      <w:r>
        <w:rPr>
          <w:rFonts w:hint="eastAsia" w:ascii="宋体" w:hAnsi="宋体" w:eastAsia="宋体" w:cs="宋体"/>
          <w:color w:val="auto"/>
          <w:sz w:val="24"/>
          <w:highlight w:val="none"/>
          <w:u w:val="single"/>
          <w:lang w:eastAsia="zh-CN"/>
        </w:rPr>
        <w:t>；</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组成合同的其他文件。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Times New Roman" w:hAnsi="宋体" w:eastAsia="宋体" w:cs="Times New Roman"/>
          <w:color w:val="auto"/>
          <w:sz w:val="24"/>
          <w:highlight w:val="none"/>
          <w:u w:val="single"/>
        </w:rPr>
        <w:t>如</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在投标文件及附件中作出有比招标文件及相关澄清修正说明和本合同及附件更有利于发包人的响应（即发包人有权视情况适用有利于己方的条款或文件而不遵循上述解释顺序），则投标文件及附件中更有利于发包人的相关条款内容的解释顺序优于招标文件及相关澄清修正说明和本合同及附件，</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须按这些响应承诺履行。</w:t>
      </w:r>
    </w:p>
    <w:bookmarkEnd w:id="409"/>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1" w:name="_Toc457826211"/>
      <w:bookmarkStart w:id="412" w:name="_Toc406150481"/>
      <w:r>
        <w:rPr>
          <w:rFonts w:hint="eastAsia" w:ascii="宋体" w:hAnsi="宋体" w:eastAsia="宋体" w:cs="宋体"/>
          <w:b/>
          <w:bCs/>
          <w:color w:val="auto"/>
          <w:kern w:val="0"/>
          <w:sz w:val="24"/>
          <w:szCs w:val="24"/>
          <w:highlight w:val="none"/>
          <w:lang w:val="en-US" w:eastAsia="zh-CN" w:bidi="ar-SA"/>
        </w:rPr>
        <w:t>1.3 适用法律法规、技术标准</w:t>
      </w:r>
      <w:bookmarkEnd w:id="411"/>
      <w:bookmarkEnd w:id="412"/>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适用法律法规</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需要明示的规范性文件：</w:t>
      </w:r>
      <w:r>
        <w:rPr>
          <w:rFonts w:hint="eastAsia" w:ascii="宋体" w:hAnsi="宋体" w:eastAsia="宋体" w:cs="Times New Roman"/>
          <w:color w:val="auto"/>
          <w:sz w:val="24"/>
          <w:szCs w:val="24"/>
          <w:highlight w:val="none"/>
          <w:u w:val="single"/>
        </w:rPr>
        <w:t>本合同适用中华人民共和国法律、行政法规、部门规章以及工程所在地的地方性法规、自治条例、单行条例和地方政府规章等。</w:t>
      </w:r>
    </w:p>
    <w:p>
      <w:pPr>
        <w:adjustRightInd/>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适用技术标准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特别要求：</w:t>
      </w:r>
      <w:r>
        <w:rPr>
          <w:rFonts w:hint="eastAsia" w:ascii="宋体" w:hAnsi="宋体" w:eastAsia="宋体" w:cs="宋体"/>
          <w:color w:val="auto"/>
          <w:kern w:val="0"/>
          <w:sz w:val="24"/>
          <w:szCs w:val="24"/>
          <w:highlight w:val="none"/>
          <w:u w:val="single"/>
          <w:lang w:val="en-US" w:eastAsia="zh-CN"/>
        </w:rPr>
        <w:t>/</w:t>
      </w:r>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使用国外技术标准的名称、提供方、原文版、中译本的份数、时间及费用承担：</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3" w:name="_Toc457826212"/>
      <w:r>
        <w:rPr>
          <w:rFonts w:hint="eastAsia" w:ascii="宋体" w:hAnsi="宋体" w:eastAsia="宋体" w:cs="宋体"/>
          <w:b/>
          <w:bCs/>
          <w:color w:val="auto"/>
          <w:kern w:val="0"/>
          <w:sz w:val="24"/>
          <w:szCs w:val="24"/>
          <w:highlight w:val="none"/>
          <w:lang w:val="en-US" w:eastAsia="zh-CN" w:bidi="ar-SA"/>
        </w:rPr>
        <w:t>1.4 语言文字</w:t>
      </w:r>
      <w:bookmarkEnd w:id="413"/>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本合同除使用汉语外，还使用</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rPr>
        <w:t>语言文字。</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4" w:name="_Toc457826213"/>
      <w:bookmarkStart w:id="415" w:name="_Toc406150483"/>
      <w:r>
        <w:rPr>
          <w:rFonts w:hint="eastAsia" w:ascii="宋体" w:hAnsi="宋体" w:eastAsia="宋体" w:cs="宋体"/>
          <w:b/>
          <w:bCs/>
          <w:color w:val="auto"/>
          <w:kern w:val="0"/>
          <w:sz w:val="24"/>
          <w:szCs w:val="24"/>
          <w:highlight w:val="none"/>
          <w:lang w:val="en-US" w:eastAsia="zh-CN" w:bidi="ar-SA"/>
        </w:rPr>
        <w:t>1.5 联络</w:t>
      </w:r>
      <w:bookmarkEnd w:id="414"/>
      <w:bookmarkEnd w:id="415"/>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发包人接收文件的地点：____________________________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发包人指定的接收人：___________________________________</w:t>
      </w:r>
    </w:p>
    <w:p>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发包人指定的联系方式：___________________________________</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接收文件的地点：___________________________________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指定的接收人：_____________________________________</w:t>
      </w:r>
    </w:p>
    <w:p>
      <w:pPr>
        <w:tabs>
          <w:tab w:val="left" w:pos="720"/>
          <w:tab w:val="left" w:pos="90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kern w:val="0"/>
          <w:sz w:val="24"/>
          <w:szCs w:val="24"/>
          <w:highlight w:val="none"/>
        </w:rPr>
        <w:t>指定的联系方式：___________________________________</w:t>
      </w:r>
    </w:p>
    <w:p>
      <w:pPr>
        <w:spacing w:line="360" w:lineRule="auto"/>
        <w:ind w:firstLine="480" w:firstLineChars="200"/>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1.5.</w:t>
      </w:r>
      <w:r>
        <w:rPr>
          <w:rFonts w:hint="eastAsia" w:ascii="宋体" w:hAnsi="宋体" w:eastAsia="宋体" w:cs="Times New Roman"/>
          <w:color w:val="auto"/>
          <w:kern w:val="0"/>
          <w:sz w:val="24"/>
          <w:highlight w:val="none"/>
        </w:rPr>
        <w:t>4联络路径：</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应将书面函件直接报送发包人指定的接收人，发包人通过发包人代表向</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发布书面指令。</w:t>
      </w:r>
    </w:p>
    <w:p>
      <w:pPr>
        <w:spacing w:line="360" w:lineRule="auto"/>
        <w:ind w:firstLine="480" w:firstLineChars="200"/>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rPr>
        <w:t>1.5.5协议双方根据合同所约定的地址送达书面通知，上述送达地址适用于本协议相关的各类通知、协议、文书的送达，以及合同发生纠纷时相关文件和法律文书的送达，同时包括争议进入民事诉讼程序后一审、二审、再审和执行程序及其他程序中相关文件的送达。如一方需变更送达地址的，需提前三天向对方发出书面通知，否则，仍以本合同确定的地址送达书面通知</w:t>
      </w:r>
      <w:r>
        <w:rPr>
          <w:rFonts w:hint="eastAsia" w:ascii="宋体" w:hAnsi="宋体" w:eastAsia="宋体" w:cs="Times New Roman"/>
          <w:color w:val="auto"/>
          <w:kern w:val="0"/>
          <w:sz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6" w:name="_Toc457826214"/>
      <w:r>
        <w:rPr>
          <w:rFonts w:hint="eastAsia" w:ascii="宋体" w:hAnsi="宋体" w:eastAsia="宋体" w:cs="宋体"/>
          <w:b/>
          <w:bCs/>
          <w:color w:val="auto"/>
          <w:kern w:val="0"/>
          <w:sz w:val="24"/>
          <w:szCs w:val="24"/>
          <w:highlight w:val="none"/>
          <w:lang w:val="en-US" w:eastAsia="zh-CN" w:bidi="ar-SA"/>
        </w:rPr>
        <w:t>1.7 保密</w:t>
      </w:r>
      <w:bookmarkEnd w:id="416"/>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合同当事人关于保密的约定：</w:t>
      </w:r>
      <w:r>
        <w:rPr>
          <w:rFonts w:hint="eastAsia" w:ascii="宋体" w:hAnsi="宋体" w:eastAsia="宋体" w:cs="宋体"/>
          <w:color w:val="auto"/>
          <w:kern w:val="0"/>
          <w:sz w:val="24"/>
          <w:szCs w:val="24"/>
          <w:highlight w:val="none"/>
          <w:u w:val="single"/>
        </w:rPr>
        <w:t>除法律法规规定或合同另有约定外，未经发包人同意，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不得将发包人提供的图纸、文件以及声明需要保密的资料信息等商业秘密泄露给第三方。除法律法规规定或合同另有约定外，未经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同意，发包人不得将</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提供的技术文件、成果资料、技术秘密及声明需要保密的资料信息等商业秘密泄露给第三方。</w:t>
      </w:r>
      <w:r>
        <w:rPr>
          <w:rFonts w:hint="eastAsia" w:ascii="宋体" w:hAnsi="宋体" w:eastAsia="宋体" w:cs="宋体"/>
          <w:color w:val="auto"/>
          <w:kern w:val="0"/>
          <w:sz w:val="24"/>
          <w:szCs w:val="24"/>
          <w:highlight w:val="none"/>
          <w:u w:val="single"/>
          <w:lang w:eastAsia="zh-CN"/>
        </w:rPr>
        <w:t>承包人须与发包人签订保密协议。</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17" w:name="_Toc457826215"/>
      <w:bookmarkStart w:id="418" w:name="_Toc406150484"/>
      <w:r>
        <w:rPr>
          <w:rFonts w:hint="eastAsia" w:ascii="宋体" w:hAnsi="宋体" w:eastAsia="宋体" w:cs="宋体"/>
          <w:b/>
          <w:bCs/>
          <w:color w:val="auto"/>
          <w:kern w:val="2"/>
          <w:sz w:val="24"/>
          <w:szCs w:val="24"/>
          <w:highlight w:val="none"/>
          <w:lang w:val="en-US" w:eastAsia="zh-CN" w:bidi="ar-SA"/>
        </w:rPr>
        <w:t>第2条 发包人</w:t>
      </w:r>
      <w:bookmarkEnd w:id="417"/>
      <w:bookmarkEnd w:id="418"/>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19" w:name="_Toc406150485"/>
      <w:bookmarkStart w:id="420" w:name="_Toc457826216"/>
      <w:r>
        <w:rPr>
          <w:rFonts w:hint="eastAsia" w:ascii="宋体" w:hAnsi="宋体" w:eastAsia="宋体" w:cs="宋体"/>
          <w:b/>
          <w:bCs/>
          <w:color w:val="auto"/>
          <w:kern w:val="0"/>
          <w:sz w:val="24"/>
          <w:szCs w:val="24"/>
          <w:highlight w:val="none"/>
          <w:lang w:val="en-US" w:eastAsia="zh-CN" w:bidi="ar-SA"/>
        </w:rPr>
        <w:t>2.2 发包人义务</w:t>
      </w:r>
      <w:bookmarkEnd w:id="419"/>
      <w:bookmarkEnd w:id="420"/>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2.2.2 发包人委托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搜集的资料：</w:t>
      </w:r>
      <w:r>
        <w:rPr>
          <w:rFonts w:hint="eastAsia" w:ascii="宋体" w:hAnsi="宋体" w:eastAsia="宋体" w:cs="宋体"/>
          <w:color w:val="auto"/>
          <w:kern w:val="0"/>
          <w:sz w:val="24"/>
          <w:highlight w:val="none"/>
          <w:u w:val="single"/>
          <w:lang w:val="en-US" w:eastAsia="zh-CN"/>
        </w:rPr>
        <w:t xml:space="preserve">                   </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 删除通用合同条款中本款内容。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2.2.4、2.2.5 、2.2.6、2.2.7删除通用合同条款中本款内容，修订为如下内容：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2.2.4 </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CN"/>
        </w:rPr>
        <w:t>不</w:t>
      </w:r>
      <w:r>
        <w:rPr>
          <w:rFonts w:hint="eastAsia" w:ascii="宋体" w:hAnsi="宋体" w:eastAsia="宋体" w:cs="宋体"/>
          <w:sz w:val="24"/>
          <w:highlight w:val="none"/>
          <w:u w:val="single"/>
        </w:rPr>
        <w:t>提供进场通道，</w:t>
      </w:r>
      <w:r>
        <w:rPr>
          <w:rFonts w:hint="eastAsia" w:ascii="宋体" w:hAnsi="宋体" w:eastAsia="宋体" w:cs="宋体"/>
          <w:sz w:val="24"/>
          <w:highlight w:val="none"/>
          <w:u w:val="single"/>
          <w:lang w:eastAsia="zh-CN"/>
        </w:rPr>
        <w:t>场地外围通道、</w:t>
      </w:r>
      <w:r>
        <w:rPr>
          <w:rFonts w:hint="eastAsia" w:ascii="宋体" w:hAnsi="宋体" w:eastAsia="宋体" w:cs="宋体"/>
          <w:sz w:val="24"/>
          <w:highlight w:val="none"/>
          <w:u w:val="single"/>
        </w:rPr>
        <w:t>场地内部通道及交通运输设备由</w:t>
      </w:r>
      <w:r>
        <w:rPr>
          <w:rFonts w:hint="eastAsia" w:ascii="宋体" w:hAnsi="宋体" w:eastAsia="宋体" w:cs="宋体"/>
          <w:sz w:val="24"/>
          <w:highlight w:val="none"/>
          <w:u w:val="single"/>
          <w:lang w:eastAsia="zh-CN"/>
        </w:rPr>
        <w:t>承包人</w:t>
      </w:r>
      <w:r>
        <w:rPr>
          <w:rFonts w:hint="eastAsia" w:ascii="宋体" w:hAnsi="宋体" w:eastAsia="宋体" w:cs="宋体"/>
          <w:sz w:val="24"/>
          <w:highlight w:val="none"/>
          <w:u w:val="single"/>
        </w:rPr>
        <w:t>自行解决，相关费用已包含在合同价款中，发包人不再单列付费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2.2.5</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发包人不提供作业场地内地下埋藏物（包括地下管线、地下构筑物等）的资料、图纸，</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人应自行调查了解（发包人给予必要协助），相关费用已包含在合同价款中，发包人不再单列付费。</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人在实施工程勘察工作过程中如发生人身伤害或造成经济损失时，须自行承担赔偿责任</w:t>
      </w:r>
      <w:r>
        <w:rPr>
          <w:rFonts w:hint="eastAsia" w:ascii="宋体" w:hAnsi="宋体" w:eastAsia="宋体" w:cs="宋体"/>
          <w:sz w:val="24"/>
          <w:highlight w:val="none"/>
          <w:u w:val="single"/>
          <w:lang w:eastAsia="zh-CN"/>
        </w:rPr>
        <w:t>。</w:t>
      </w:r>
      <w:r>
        <w:rPr>
          <w:rFonts w:hint="eastAsia" w:ascii="宋体" w:hAnsi="宋体" w:cs="宋体"/>
          <w:sz w:val="24"/>
          <w:highlight w:val="none"/>
          <w:u w:val="single"/>
          <w:lang w:val="en-US" w:eastAsia="zh-Hans"/>
        </w:rPr>
        <w:t>若给发包人造成损失的</w:t>
      </w:r>
      <w:r>
        <w:rPr>
          <w:rFonts w:hint="default" w:ascii="宋体" w:hAnsi="宋体" w:cs="宋体"/>
          <w:sz w:val="24"/>
          <w:highlight w:val="none"/>
          <w:u w:val="single"/>
          <w:lang w:eastAsia="zh-Hans"/>
        </w:rPr>
        <w:t>，</w:t>
      </w:r>
      <w:r>
        <w:rPr>
          <w:rFonts w:hint="eastAsia" w:ascii="宋体" w:hAnsi="宋体" w:cs="宋体"/>
          <w:sz w:val="24"/>
          <w:highlight w:val="none"/>
          <w:u w:val="single"/>
          <w:lang w:val="en-US" w:eastAsia="zh-Hans"/>
        </w:rPr>
        <w:t>承包人须赔偿发包人的一切损失</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2.2.6</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人实施勘察作业所需的安全生产防护费用已包含在合同价款中，发包人不再单列付费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2.2.7 发包人对安全文明施工的特别要求：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人在实施勘察工作过程中，须遵照执行国家、省、市</w:t>
      </w:r>
      <w:r>
        <w:rPr>
          <w:rFonts w:hint="eastAsia" w:ascii="宋体" w:hAnsi="宋体" w:eastAsia="宋体" w:cs="宋体"/>
          <w:sz w:val="24"/>
          <w:highlight w:val="none"/>
          <w:u w:val="single"/>
          <w:lang w:eastAsia="zh-CN"/>
        </w:rPr>
        <w:t>及相关地区</w:t>
      </w:r>
      <w:r>
        <w:rPr>
          <w:rFonts w:hint="eastAsia" w:ascii="宋体" w:hAnsi="宋体" w:eastAsia="宋体" w:cs="宋体"/>
          <w:sz w:val="24"/>
          <w:highlight w:val="none"/>
          <w:u w:val="single"/>
        </w:rPr>
        <w:t>颁布的关于安全生产、文明施工管理相关规定，所需费用已包含在合同价款中，发包人不再单列付费</w:t>
      </w:r>
      <w:r>
        <w:rPr>
          <w:rFonts w:hint="eastAsia" w:ascii="宋体" w:hAnsi="宋体" w:eastAsia="宋体" w:cs="宋体"/>
          <w:sz w:val="24"/>
          <w:highlight w:val="none"/>
        </w:rPr>
        <w:t>。</w:t>
      </w:r>
    </w:p>
    <w:p>
      <w:pPr>
        <w:tabs>
          <w:tab w:val="left" w:pos="900"/>
        </w:tabs>
        <w:adjustRightInd w:val="0"/>
        <w:spacing w:line="360" w:lineRule="auto"/>
        <w:ind w:firstLine="480"/>
        <w:jc w:val="left"/>
        <w:rPr>
          <w:rFonts w:hint="eastAsia" w:ascii="宋体" w:hAnsi="宋体" w:eastAsia="宋体" w:cs="宋体"/>
          <w:b/>
          <w:bCs/>
          <w:color w:val="auto"/>
          <w:kern w:val="0"/>
          <w:sz w:val="24"/>
          <w:szCs w:val="24"/>
          <w:highlight w:val="none"/>
        </w:rPr>
      </w:pPr>
      <w:bookmarkStart w:id="421" w:name="_Toc406150486"/>
      <w:bookmarkStart w:id="422" w:name="_Toc457826217"/>
      <w:r>
        <w:rPr>
          <w:rFonts w:hint="eastAsia" w:ascii="宋体" w:hAnsi="宋体" w:eastAsia="宋体" w:cs="宋体"/>
          <w:b/>
          <w:bCs/>
          <w:color w:val="auto"/>
          <w:kern w:val="0"/>
          <w:sz w:val="24"/>
          <w:szCs w:val="24"/>
          <w:highlight w:val="none"/>
        </w:rPr>
        <w:t>2.3 发包人代表</w:t>
      </w:r>
      <w:bookmarkEnd w:id="421"/>
      <w:bookmarkEnd w:id="422"/>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姓名：________ 职务：__________ 联系方式：_________________</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授权范围：</w:t>
      </w:r>
      <w:bookmarkStart w:id="423" w:name="_Toc457826218"/>
      <w:bookmarkStart w:id="424" w:name="_Toc406150487"/>
      <w:r>
        <w:rPr>
          <w:rFonts w:hint="eastAsia" w:ascii="宋体" w:hAnsi="宋体" w:eastAsia="宋体" w:cs="宋体"/>
          <w:b w:val="0"/>
          <w:bCs/>
          <w:color w:val="auto"/>
          <w:kern w:val="0"/>
          <w:sz w:val="24"/>
          <w:szCs w:val="24"/>
          <w:highlight w:val="none"/>
          <w:lang w:val="en-US" w:eastAsia="zh-CN" w:bidi="ar-SA"/>
        </w:rPr>
        <w:t>代表发包人协调与本包组有关事宜，并行使合同约定的发包人权利，履行合同约定发包人的职责，具体的授权范围以书面的授权委托书为准。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第3条 </w:t>
      </w:r>
      <w:bookmarkEnd w:id="423"/>
      <w:bookmarkEnd w:id="424"/>
      <w:r>
        <w:rPr>
          <w:rFonts w:hint="eastAsia" w:ascii="宋体" w:hAnsi="宋体" w:eastAsia="宋体" w:cs="宋体"/>
          <w:b/>
          <w:bCs/>
          <w:color w:val="auto"/>
          <w:kern w:val="2"/>
          <w:sz w:val="24"/>
          <w:szCs w:val="24"/>
          <w:highlight w:val="none"/>
          <w:lang w:val="en-US" w:eastAsia="zh-CN" w:bidi="ar-SA"/>
        </w:rPr>
        <w:t>承包人</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25" w:name="_Toc457826219"/>
      <w:bookmarkStart w:id="426" w:name="_Toc406150488"/>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bookmarkEnd w:id="425"/>
      <w:bookmarkEnd w:id="426"/>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3.1.2 关于分包的约定：</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bookmarkStart w:id="427" w:name="_Toc406150489"/>
      <w:bookmarkStart w:id="428" w:name="_Toc457826220"/>
      <w:r>
        <w:rPr>
          <w:rFonts w:hint="eastAsia" w:ascii="宋体" w:hAnsi="Times New Roman" w:eastAsia="宋体" w:cs="宋体"/>
          <w:b/>
          <w:bCs/>
          <w:color w:val="auto"/>
          <w:kern w:val="0"/>
          <w:sz w:val="24"/>
          <w:szCs w:val="24"/>
          <w:highlight w:val="none"/>
          <w:lang w:val="en-US" w:eastAsia="zh-CN" w:bidi="ar-SA"/>
        </w:rPr>
        <w:t>3.2 承包人义务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（1）承包人</w:t>
      </w:r>
      <w:r>
        <w:rPr>
          <w:rFonts w:hint="eastAsia" w:ascii="宋体" w:hAnsi="宋体" w:eastAsia="宋体" w:cs="宋体"/>
          <w:color w:val="auto"/>
          <w:sz w:val="24"/>
          <w:szCs w:val="24"/>
          <w:highlight w:val="none"/>
        </w:rPr>
        <w:t>应遵守法律和有关技术标准的强制性规定，完成合同约定范围内的</w:t>
      </w:r>
      <w:r>
        <w:rPr>
          <w:rFonts w:hint="eastAsia" w:ascii="宋体" w:hAnsi="宋体" w:eastAsia="宋体" w:cs="宋体"/>
          <w:color w:val="auto"/>
          <w:sz w:val="24"/>
          <w:szCs w:val="24"/>
          <w:highlight w:val="none"/>
          <w:lang w:eastAsia="zh-CN"/>
        </w:rPr>
        <w:t>勘察工作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提供符合技术标准及合同要求的工程</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文件，提供</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配合服务。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包组勘察须组织</w:t>
      </w:r>
      <w:r>
        <w:rPr>
          <w:rFonts w:hint="eastAsia" w:ascii="宋体" w:hAnsi="宋体" w:eastAsia="宋体" w:cs="宋体"/>
          <w:color w:val="auto"/>
          <w:sz w:val="24"/>
          <w:highlight w:val="none"/>
        </w:rPr>
        <w:t>相关专家评审</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，评审会务所发生的费用</w:t>
      </w:r>
      <w:r>
        <w:rPr>
          <w:rFonts w:hint="eastAsia" w:ascii="宋体" w:hAnsi="宋体" w:eastAsia="宋体" w:cs="宋体"/>
          <w:color w:val="auto"/>
          <w:sz w:val="24"/>
          <w:highlight w:val="none"/>
          <w:lang w:eastAsia="zh-CN"/>
        </w:rPr>
        <w:t>（包括但不限于</w:t>
      </w:r>
      <w:r>
        <w:rPr>
          <w:rFonts w:hint="eastAsia" w:ascii="宋体" w:hAnsi="宋体" w:eastAsia="宋体" w:cs="宋体"/>
          <w:color w:val="auto"/>
          <w:sz w:val="24"/>
          <w:highlight w:val="none"/>
        </w:rPr>
        <w:t>会务费、专家评审费、场地租用费、住宿费、修改成果须重新评审的费用等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包含在</w:t>
      </w:r>
      <w:r>
        <w:rPr>
          <w:rFonts w:hint="eastAsia" w:ascii="宋体" w:hAnsi="宋体" w:eastAsia="宋体" w:cs="宋体"/>
          <w:color w:val="auto"/>
          <w:sz w:val="24"/>
          <w:highlight w:val="none"/>
          <w:lang w:eastAsia="zh-CN"/>
        </w:rPr>
        <w:t>合同价</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不另行支付。</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（3）</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在开展勘察工作前若须按发包人的要求对勘察场地进行临时围挡搭设的，围挡搭设需符合相关文件的要求及属地环保部门的相关规定。若当地相关行政部门认为承包人设置的围挡不符合佛山市或相关围蔽围挡的相关规定，</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无条件改正，且发生的一切费用已包含在合同价中，发包人不再另行支付。若围蔽围挡侵害第三人权利，承包人须承担由此产生的责任，包括赔偿第三人的损失，若同时给发包人造成损失的，承包人须承担发包人的一切损失。</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（4）</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勘测现场，</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的人员安全责任及费用由</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负责。</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应对场地进场考察，因勘察需要搭建工棚、安装水电、清理勘察场地、疏通积水、铺设便道、现状道路恢复、绿化恢复、地勘孔封堵等一切费用由承包人负责，发包人将不另行支付。</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lang w:eastAsia="zh-CN"/>
        </w:rPr>
      </w:pPr>
      <w:r>
        <w:rPr>
          <w:rFonts w:hint="eastAsia" w:ascii="宋体" w:hAnsi="Times New Roman" w:eastAsia="宋体" w:cs="宋体"/>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须参加并接受有关部门对项目勘察、实施等工作的监督、检查或审查</w:t>
      </w:r>
      <w:r>
        <w:rPr>
          <w:rFonts w:hint="eastAsia" w:ascii="Times New Roman"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rPr>
      </w:pPr>
      <w:r>
        <w:rPr>
          <w:rFonts w:hint="eastAsia" w:ascii="宋体" w:hAnsi="Times New Roman" w:eastAsia="宋体" w:cs="宋体"/>
          <w:color w:val="auto"/>
          <w:kern w:val="0"/>
          <w:sz w:val="24"/>
          <w:szCs w:val="24"/>
          <w:highlight w:val="none"/>
          <w:lang w:val="en-US" w:eastAsia="zh-CN"/>
        </w:rPr>
        <w:t>（6）</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必须主动与发包人沟通，按时办理各事项的审査、批复手续（发包人提供协助）并确保手续的按时完成。在报批过程中</w:t>
      </w:r>
      <w:r>
        <w:rPr>
          <w:rFonts w:hint="eastAsia" w:ascii="Times New Roman" w:hAnsi="宋体" w:eastAsia="宋体" w:cs="宋体"/>
          <w:color w:val="auto"/>
          <w:sz w:val="24"/>
          <w:szCs w:val="24"/>
          <w:highlight w:val="none"/>
          <w:u w:val="single"/>
          <w:lang w:eastAsia="zh-CN"/>
        </w:rPr>
        <w:t>因组织</w:t>
      </w:r>
      <w:r>
        <w:rPr>
          <w:rFonts w:hint="eastAsia" w:ascii="Times New Roman" w:hAnsi="宋体" w:eastAsia="宋体" w:cs="宋体"/>
          <w:color w:val="auto"/>
          <w:sz w:val="24"/>
          <w:szCs w:val="24"/>
          <w:highlight w:val="none"/>
          <w:u w:val="single"/>
        </w:rPr>
        <w:t>会议</w:t>
      </w:r>
      <w:r>
        <w:rPr>
          <w:rFonts w:hint="eastAsia" w:ascii="Times New Roman" w:hAnsi="宋体" w:eastAsia="宋体" w:cs="宋体"/>
          <w:color w:val="auto"/>
          <w:sz w:val="24"/>
          <w:szCs w:val="24"/>
          <w:highlight w:val="none"/>
          <w:u w:val="single"/>
          <w:lang w:eastAsia="zh-CN"/>
        </w:rPr>
        <w:t>或</w:t>
      </w:r>
      <w:r>
        <w:rPr>
          <w:rFonts w:hint="eastAsia" w:ascii="Times New Roman" w:hAnsi="宋体" w:eastAsia="宋体" w:cs="宋体"/>
          <w:color w:val="auto"/>
          <w:sz w:val="24"/>
          <w:szCs w:val="24"/>
          <w:highlight w:val="none"/>
          <w:u w:val="single"/>
        </w:rPr>
        <w:t>专家评审</w:t>
      </w:r>
      <w:r>
        <w:rPr>
          <w:rFonts w:hint="eastAsia" w:ascii="Times New Roman" w:hAnsi="宋体" w:eastAsia="宋体" w:cs="宋体"/>
          <w:color w:val="auto"/>
          <w:sz w:val="24"/>
          <w:szCs w:val="24"/>
          <w:highlight w:val="none"/>
          <w:u w:val="single"/>
          <w:lang w:eastAsia="zh-CN"/>
        </w:rPr>
        <w:t>所产生的一切费</w:t>
      </w:r>
      <w:r>
        <w:rPr>
          <w:rFonts w:hint="eastAsia" w:ascii="Times New Roman" w:hAnsi="宋体" w:eastAsia="宋体" w:cs="宋体"/>
          <w:color w:val="auto"/>
          <w:sz w:val="24"/>
          <w:szCs w:val="24"/>
          <w:highlight w:val="none"/>
          <w:u w:val="single"/>
        </w:rPr>
        <w:t>用由</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支付。</w:t>
      </w:r>
    </w:p>
    <w:p>
      <w:pPr>
        <w:spacing w:line="360" w:lineRule="auto"/>
        <w:ind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（7）</w:t>
      </w:r>
      <w:r>
        <w:rPr>
          <w:rFonts w:hint="eastAsia" w:ascii="宋体" w:hAnsi="Times New Roman" w:eastAsia="宋体" w:cs="宋体"/>
          <w:color w:val="auto"/>
          <w:kern w:val="0"/>
          <w:sz w:val="24"/>
          <w:highlight w:val="none"/>
          <w:u w:val="single"/>
        </w:rPr>
        <w:t>承包人须基于现场条件、各</w:t>
      </w:r>
      <w:r>
        <w:rPr>
          <w:rFonts w:hint="eastAsia" w:ascii="宋体" w:hAnsi="Times New Roman" w:eastAsia="宋体" w:cs="宋体"/>
          <w:color w:val="auto"/>
          <w:kern w:val="0"/>
          <w:sz w:val="24"/>
          <w:highlight w:val="none"/>
          <w:u w:val="single"/>
          <w:lang w:eastAsia="zh-CN"/>
        </w:rPr>
        <w:t>包组</w:t>
      </w:r>
      <w:r>
        <w:rPr>
          <w:rFonts w:hint="eastAsia" w:ascii="宋体" w:hAnsi="Times New Roman" w:eastAsia="宋体" w:cs="宋体"/>
          <w:color w:val="auto"/>
          <w:kern w:val="0"/>
          <w:sz w:val="24"/>
          <w:highlight w:val="none"/>
          <w:u w:val="single"/>
        </w:rPr>
        <w:t>协调情况，深化编制勘察大纲，并应在报得发包人同意后分阶段分批次实施勘察工作。</w:t>
      </w:r>
    </w:p>
    <w:p>
      <w:pPr>
        <w:spacing w:line="360" w:lineRule="auto"/>
        <w:ind w:firstLine="480" w:firstLineChars="200"/>
        <w:rPr>
          <w:rFonts w:hint="eastAsia" w:ascii="宋体" w:hAnsi="Times New Roman" w:eastAsia="宋体" w:cs="宋体"/>
          <w:color w:val="auto"/>
          <w:kern w:val="0"/>
          <w:sz w:val="24"/>
          <w:highlight w:val="none"/>
        </w:rPr>
      </w:pPr>
      <w:r>
        <w:rPr>
          <w:rFonts w:hint="eastAsia" w:ascii="宋体" w:hAnsi="Times New Roman" w:eastAsia="宋体" w:cs="宋体"/>
          <w:color w:val="auto"/>
          <w:kern w:val="0"/>
          <w:sz w:val="24"/>
          <w:szCs w:val="24"/>
          <w:highlight w:val="none"/>
          <w:lang w:eastAsia="zh-CN"/>
        </w:rPr>
        <w:t>（</w:t>
      </w:r>
      <w:r>
        <w:rPr>
          <w:rFonts w:hint="eastAsia" w:ascii="宋体" w:hAnsi="Times New Roman" w:eastAsia="宋体" w:cs="宋体"/>
          <w:color w:val="auto"/>
          <w:kern w:val="0"/>
          <w:sz w:val="24"/>
          <w:szCs w:val="24"/>
          <w:highlight w:val="none"/>
          <w:lang w:val="en-US" w:eastAsia="zh-CN"/>
        </w:rPr>
        <w:t>8</w:t>
      </w:r>
      <w:r>
        <w:rPr>
          <w:rFonts w:hint="eastAsia" w:ascii="宋体" w:hAnsi="Times New Roman" w:eastAsia="宋体" w:cs="宋体"/>
          <w:color w:val="auto"/>
          <w:kern w:val="0"/>
          <w:sz w:val="24"/>
          <w:szCs w:val="24"/>
          <w:highlight w:val="none"/>
          <w:lang w:eastAsia="zh-CN"/>
        </w:rPr>
        <w:t>）</w:t>
      </w:r>
      <w:r>
        <w:rPr>
          <w:rFonts w:hint="eastAsia" w:ascii="宋体" w:hAnsi="Times New Roman" w:eastAsia="宋体" w:cs="宋体"/>
          <w:color w:val="auto"/>
          <w:kern w:val="0"/>
          <w:sz w:val="24"/>
          <w:highlight w:val="none"/>
          <w:u w:val="single"/>
        </w:rPr>
        <w:t>承包人必须协助发包人统筹协调</w:t>
      </w:r>
      <w:r>
        <w:rPr>
          <w:rFonts w:hint="eastAsia" w:ascii="宋体" w:hAnsi="Times New Roman" w:eastAsia="宋体" w:cs="宋体"/>
          <w:color w:val="auto"/>
          <w:kern w:val="0"/>
          <w:sz w:val="24"/>
          <w:highlight w:val="none"/>
          <w:u w:val="single"/>
          <w:lang w:eastAsia="zh-CN"/>
        </w:rPr>
        <w:t>本项目包组二、包组三、</w:t>
      </w:r>
      <w:r>
        <w:rPr>
          <w:rFonts w:hint="eastAsia" w:ascii="宋体" w:hAnsi="Times New Roman" w:eastAsia="宋体" w:cs="宋体"/>
          <w:color w:val="auto"/>
          <w:kern w:val="0"/>
          <w:sz w:val="24"/>
          <w:highlight w:val="none"/>
          <w:u w:val="single"/>
        </w:rPr>
        <w:t>珠三角枢纽（广州新）机场水文地质与沟塘专项</w:t>
      </w:r>
      <w:r>
        <w:rPr>
          <w:rFonts w:hint="eastAsia" w:ascii="宋体" w:hAnsi="Times New Roman" w:eastAsia="宋体" w:cs="宋体"/>
          <w:color w:val="auto"/>
          <w:kern w:val="0"/>
          <w:sz w:val="24"/>
          <w:highlight w:val="none"/>
          <w:u w:val="single"/>
          <w:lang w:eastAsia="zh-CN"/>
        </w:rPr>
        <w:t>研究</w:t>
      </w:r>
      <w:r>
        <w:rPr>
          <w:rFonts w:hint="eastAsia" w:ascii="宋体" w:hAnsi="Times New Roman" w:eastAsia="宋体" w:cs="宋体"/>
          <w:color w:val="auto"/>
          <w:kern w:val="0"/>
          <w:sz w:val="24"/>
          <w:highlight w:val="none"/>
          <w:u w:val="single"/>
        </w:rPr>
        <w:t>的相关勘察</w:t>
      </w:r>
      <w:r>
        <w:rPr>
          <w:rFonts w:hint="eastAsia" w:ascii="宋体" w:hAnsi="宋体" w:eastAsia="宋体" w:cs="仿宋_GB2312"/>
          <w:sz w:val="24"/>
          <w:szCs w:val="24"/>
          <w:highlight w:val="none"/>
          <w:u w:val="single"/>
        </w:rPr>
        <w:t>和研究</w:t>
      </w:r>
      <w:r>
        <w:rPr>
          <w:rFonts w:hint="eastAsia" w:ascii="宋体" w:hAnsi="Times New Roman" w:eastAsia="宋体" w:cs="宋体"/>
          <w:color w:val="auto"/>
          <w:kern w:val="0"/>
          <w:sz w:val="24"/>
          <w:highlight w:val="none"/>
          <w:u w:val="single"/>
        </w:rPr>
        <w:t>工作，审查并汇总所有</w:t>
      </w:r>
      <w:r>
        <w:rPr>
          <w:rFonts w:hint="eastAsia" w:ascii="宋体" w:hAnsi="Times New Roman" w:eastAsia="宋体" w:cs="宋体"/>
          <w:color w:val="auto"/>
          <w:kern w:val="0"/>
          <w:sz w:val="24"/>
          <w:highlight w:val="none"/>
          <w:u w:val="single"/>
          <w:lang w:eastAsia="zh-CN"/>
        </w:rPr>
        <w:t>包组</w:t>
      </w:r>
      <w:r>
        <w:rPr>
          <w:rFonts w:hint="eastAsia" w:ascii="宋体" w:hAnsi="Times New Roman" w:eastAsia="宋体" w:cs="宋体"/>
          <w:color w:val="auto"/>
          <w:kern w:val="0"/>
          <w:sz w:val="24"/>
          <w:highlight w:val="none"/>
          <w:u w:val="single"/>
        </w:rPr>
        <w:t>的勘察</w:t>
      </w:r>
      <w:r>
        <w:rPr>
          <w:rFonts w:hint="eastAsia" w:ascii="宋体" w:hAnsi="宋体" w:eastAsia="宋体" w:cs="仿宋_GB2312"/>
          <w:sz w:val="24"/>
          <w:szCs w:val="24"/>
          <w:highlight w:val="none"/>
          <w:u w:val="single"/>
        </w:rPr>
        <w:t>和研究</w:t>
      </w:r>
      <w:r>
        <w:rPr>
          <w:rFonts w:hint="eastAsia" w:ascii="宋体" w:hAnsi="Times New Roman" w:eastAsia="宋体" w:cs="宋体"/>
          <w:color w:val="auto"/>
          <w:kern w:val="0"/>
          <w:sz w:val="24"/>
          <w:highlight w:val="none"/>
          <w:u w:val="single"/>
        </w:rPr>
        <w:t>成果（包括三维数字化成果），完成汇总勘察报告并按时通过专家评审。</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3.3 承包人代表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bookmarkEnd w:id="427"/>
      <w:bookmarkEnd w:id="428"/>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_______ 职务：_________ 联系方式：__________________</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授权范围：处理与本</w:t>
      </w:r>
      <w:r>
        <w:rPr>
          <w:rFonts w:hint="eastAsia" w:ascii="宋体" w:hAnsi="宋体" w:eastAsia="宋体" w:cs="宋体"/>
          <w:color w:val="auto"/>
          <w:kern w:val="0"/>
          <w:sz w:val="24"/>
          <w:szCs w:val="24"/>
          <w:highlight w:val="none"/>
          <w:lang w:eastAsia="zh-CN"/>
        </w:rPr>
        <w:t>包组</w:t>
      </w:r>
      <w:r>
        <w:rPr>
          <w:rFonts w:hint="eastAsia" w:ascii="宋体" w:hAnsi="宋体" w:eastAsia="宋体" w:cs="宋体"/>
          <w:color w:val="auto"/>
          <w:kern w:val="0"/>
          <w:sz w:val="24"/>
          <w:szCs w:val="24"/>
          <w:highlight w:val="none"/>
        </w:rPr>
        <w:t>有关的一切事务</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29" w:name="_Toc457826221"/>
      <w:bookmarkStart w:id="430" w:name="_Toc406150490"/>
      <w:r>
        <w:rPr>
          <w:rFonts w:hint="eastAsia" w:ascii="宋体" w:hAnsi="宋体" w:eastAsia="宋体" w:cs="宋体"/>
          <w:b/>
          <w:bCs/>
          <w:color w:val="auto"/>
          <w:kern w:val="2"/>
          <w:sz w:val="24"/>
          <w:szCs w:val="24"/>
          <w:highlight w:val="none"/>
          <w:lang w:val="en-US" w:eastAsia="zh-CN" w:bidi="ar-SA"/>
        </w:rPr>
        <w:t>第4条 工期</w:t>
      </w:r>
      <w:bookmarkEnd w:id="429"/>
      <w:bookmarkEnd w:id="430"/>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31" w:name="_Toc457826222"/>
      <w:bookmarkStart w:id="432" w:name="_Toc406150491"/>
      <w:r>
        <w:rPr>
          <w:rFonts w:hint="eastAsia" w:ascii="宋体" w:hAnsi="宋体" w:eastAsia="宋体" w:cs="宋体"/>
          <w:b/>
          <w:bCs/>
          <w:color w:val="auto"/>
          <w:kern w:val="0"/>
          <w:sz w:val="24"/>
          <w:szCs w:val="24"/>
          <w:highlight w:val="none"/>
          <w:lang w:val="en-US" w:eastAsia="zh-CN" w:bidi="ar-SA"/>
        </w:rPr>
        <w:t>4.2成果提交日期</w:t>
      </w:r>
      <w:bookmarkEnd w:id="431"/>
      <w:bookmarkEnd w:id="432"/>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自发包人发出开工令之日起90日历天内提交最终勘察成果报告，包括：本包组勘察服务报告（含试验测试成果资料）、工程物探报告及其他专题勘察报告资料。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双方约定工期顺延的其他情况：</w:t>
      </w:r>
      <w:r>
        <w:rPr>
          <w:rFonts w:hint="eastAsia" w:ascii="宋体" w:hAnsi="宋体" w:eastAsia="宋体" w:cs="宋体"/>
          <w:color w:val="auto"/>
          <w:kern w:val="0"/>
          <w:sz w:val="24"/>
          <w:highlight w:val="none"/>
          <w:u w:val="single"/>
        </w:rPr>
        <w:t>勘察成果提交日期，最终以满足发包人要求的进度为准。</w:t>
      </w:r>
    </w:p>
    <w:p>
      <w:pPr>
        <w:keepNext w:val="0"/>
        <w:keepLines w:val="0"/>
        <w:widowControl w:val="0"/>
        <w:tabs>
          <w:tab w:val="left" w:pos="12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33" w:name="_Toc457826223"/>
      <w:r>
        <w:rPr>
          <w:rFonts w:hint="eastAsia" w:ascii="宋体" w:hAnsi="宋体" w:eastAsia="宋体" w:cs="宋体"/>
          <w:b/>
          <w:bCs/>
          <w:color w:val="auto"/>
          <w:kern w:val="0"/>
          <w:sz w:val="24"/>
          <w:szCs w:val="24"/>
          <w:highlight w:val="none"/>
          <w:lang w:val="en-US" w:eastAsia="zh-CN" w:bidi="ar-SA"/>
        </w:rPr>
        <w:t>4.3 发包人造成的工期延误</w:t>
      </w:r>
      <w:bookmarkEnd w:id="433"/>
    </w:p>
    <w:p>
      <w:pPr>
        <w:tabs>
          <w:tab w:val="left" w:pos="900"/>
        </w:tabs>
        <w:adjustRightInd w:val="0"/>
        <w:snapToGrid w:val="0"/>
        <w:spacing w:line="360" w:lineRule="auto"/>
        <w:ind w:firstLine="480" w:firstLineChars="200"/>
        <w:jc w:val="left"/>
        <w:rPr>
          <w:rFonts w:hint="eastAsia" w:ascii="宋体"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4.3.</w:t>
      </w:r>
      <w:r>
        <w:rPr>
          <w:rFonts w:hint="eastAsia" w:ascii="宋体" w:hAnsi="宋体" w:eastAsia="宋体" w:cs="宋体"/>
          <w:color w:val="auto"/>
          <w:kern w:val="0"/>
          <w:sz w:val="24"/>
          <w:szCs w:val="24"/>
          <w:highlight w:val="none"/>
          <w:lang w:val="en-US" w:eastAsia="zh-CN"/>
        </w:rPr>
        <w:t xml:space="preserve">1 </w:t>
      </w:r>
      <w:r>
        <w:rPr>
          <w:rFonts w:hint="eastAsia" w:ascii="宋体" w:hAnsi="宋体" w:eastAsia="宋体" w:cs="宋体"/>
          <w:color w:val="auto"/>
          <w:sz w:val="24"/>
          <w:szCs w:val="24"/>
          <w:highlight w:val="none"/>
        </w:rPr>
        <w:t>双方就工期顺延确定期限的约定：</w:t>
      </w:r>
      <w:r>
        <w:rPr>
          <w:rFonts w:hint="eastAsia" w:ascii="宋体" w:hAnsi="宋体" w:eastAsia="宋体" w:cs="Times New Roman"/>
          <w:color w:val="auto"/>
          <w:sz w:val="24"/>
          <w:highlight w:val="none"/>
          <w:u w:val="single"/>
        </w:rPr>
        <w:t>发包人造成的工期延误的，工期顺延，</w:t>
      </w:r>
      <w:r>
        <w:rPr>
          <w:rFonts w:hint="eastAsia" w:ascii="宋体" w:hAnsi="宋体" w:eastAsia="宋体" w:cs="Times New Roman"/>
          <w:color w:val="auto"/>
          <w:sz w:val="24"/>
          <w:highlight w:val="none"/>
          <w:u w:val="single"/>
          <w:lang w:eastAsia="zh-CN"/>
        </w:rPr>
        <w:t>发包人无需向承包人</w:t>
      </w:r>
      <w:r>
        <w:rPr>
          <w:rFonts w:hint="eastAsia" w:ascii="宋体" w:hAnsi="宋体" w:eastAsia="宋体" w:cs="Times New Roman"/>
          <w:color w:val="auto"/>
          <w:sz w:val="24"/>
          <w:highlight w:val="none"/>
          <w:u w:val="single"/>
        </w:rPr>
        <w:t>补偿费用。</w:t>
      </w:r>
    </w:p>
    <w:p>
      <w:pPr>
        <w:tabs>
          <w:tab w:val="left" w:pos="900"/>
        </w:tabs>
        <w:adjustRightInd w:val="0"/>
        <w:snapToGrid w:val="0"/>
        <w:spacing w:line="360" w:lineRule="auto"/>
        <w:ind w:firstLine="480" w:firstLineChars="200"/>
        <w:jc w:val="left"/>
        <w:rPr>
          <w:rFonts w:hint="default" w:ascii="Times New Roman" w:hAnsi="Times New Roman" w:eastAsia="宋体" w:cs="Times New Roman"/>
          <w:highlight w:val="none"/>
          <w:lang w:val="en-US" w:eastAsia="zh-CN"/>
        </w:rPr>
      </w:pPr>
      <w:r>
        <w:rPr>
          <w:rFonts w:hint="eastAsia" w:ascii="宋体" w:hAnsi="宋体" w:eastAsia="宋体" w:cs="Times New Roman"/>
          <w:color w:val="auto"/>
          <w:sz w:val="24"/>
          <w:highlight w:val="none"/>
          <w:u w:val="single"/>
          <w:lang w:val="en-US" w:eastAsia="zh-CN"/>
        </w:rPr>
        <w:t>4.3.2 承包人没有按照通用条款约定的期限（即通用条款第4.3.1款情形发生后7天内）向发包人提出报告的，</w:t>
      </w:r>
      <w:r>
        <w:rPr>
          <w:rFonts w:hint="eastAsia" w:ascii="宋体" w:hAnsi="宋体" w:eastAsia="宋体" w:cs="Times New Roman"/>
          <w:color w:val="auto"/>
          <w:sz w:val="24"/>
          <w:highlight w:val="none"/>
          <w:u w:val="single"/>
          <w:lang w:val="en-US" w:eastAsia="zh-Hans"/>
        </w:rPr>
        <w:t>视为工期没有延误，承包人仍应按照约定提交成果资料。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34" w:name="_Toc406150493"/>
      <w:bookmarkStart w:id="435" w:name="_Toc457826224"/>
      <w:r>
        <w:rPr>
          <w:rFonts w:hint="eastAsia" w:ascii="宋体" w:hAnsi="宋体" w:eastAsia="宋体" w:cs="宋体"/>
          <w:b/>
          <w:bCs/>
          <w:color w:val="auto"/>
          <w:kern w:val="2"/>
          <w:sz w:val="24"/>
          <w:szCs w:val="24"/>
          <w:highlight w:val="none"/>
          <w:lang w:val="en-US" w:eastAsia="zh-CN" w:bidi="ar-SA"/>
        </w:rPr>
        <w:t>第5条 成果资料</w:t>
      </w:r>
      <w:bookmarkEnd w:id="434"/>
      <w:bookmarkEnd w:id="435"/>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36" w:name="_Toc457826225"/>
      <w:bookmarkStart w:id="437" w:name="_Toc406150494"/>
      <w:r>
        <w:rPr>
          <w:rFonts w:hint="eastAsia" w:ascii="宋体" w:hAnsi="宋体" w:eastAsia="宋体" w:cs="宋体"/>
          <w:b/>
          <w:bCs/>
          <w:color w:val="auto"/>
          <w:kern w:val="0"/>
          <w:sz w:val="24"/>
          <w:szCs w:val="24"/>
          <w:highlight w:val="none"/>
          <w:lang w:val="en-US" w:eastAsia="zh-CN" w:bidi="ar-SA"/>
        </w:rPr>
        <w:t>5.2 成果份数</w:t>
      </w:r>
      <w:bookmarkEnd w:id="436"/>
      <w:bookmarkEnd w:id="437"/>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承包人应向发包人提交勘察报告审定稿一式</w:t>
      </w:r>
      <w:r>
        <w:rPr>
          <w:rFonts w:hint="eastAsia" w:ascii="宋体" w:hAnsi="宋体" w:eastAsia="宋体" w:cs="宋体"/>
          <w:color w:val="auto"/>
          <w:kern w:val="0"/>
          <w:sz w:val="24"/>
          <w:szCs w:val="24"/>
          <w:highlight w:val="none"/>
          <w:lang w:val="en-US" w:eastAsia="zh-CN"/>
        </w:rPr>
        <w:t>拾</w:t>
      </w:r>
      <w:r>
        <w:rPr>
          <w:rFonts w:hint="eastAsia" w:ascii="宋体" w:hAnsi="宋体" w:eastAsia="宋体" w:cs="宋体"/>
          <w:color w:val="auto"/>
          <w:kern w:val="0"/>
          <w:sz w:val="24"/>
          <w:szCs w:val="24"/>
          <w:highlight w:val="none"/>
          <w:lang w:eastAsia="zh-CN"/>
        </w:rPr>
        <w:t>份及全部成果的可编辑电子文件（*.dwg、*.doc、*.xls、*.jpg等格式）</w:t>
      </w:r>
      <w:r>
        <w:rPr>
          <w:rFonts w:hint="eastAsia" w:ascii="宋体" w:hAnsi="宋体" w:eastAsia="宋体" w:cs="宋体"/>
          <w:color w:val="auto"/>
          <w:kern w:val="0"/>
          <w:sz w:val="24"/>
          <w:szCs w:val="24"/>
          <w:highlight w:val="none"/>
        </w:rPr>
        <w:t>；承包人须按照发包人要求提供相关过程汇报和审查成果，不另行增加费用；发包人可按需要求</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增加份数，</w:t>
      </w:r>
      <w:r>
        <w:rPr>
          <w:rFonts w:hint="eastAsia" w:ascii="宋体" w:hAnsi="宋体" w:eastAsia="宋体" w:cs="宋体"/>
          <w:kern w:val="0"/>
          <w:sz w:val="24"/>
          <w:highlight w:val="none"/>
        </w:rPr>
        <w:t>承包人</w:t>
      </w:r>
      <w:r>
        <w:rPr>
          <w:rFonts w:ascii="宋体" w:hAnsi="宋体" w:eastAsia="宋体" w:cs="宋体"/>
          <w:kern w:val="0"/>
          <w:sz w:val="24"/>
          <w:highlight w:val="none"/>
        </w:rPr>
        <w:t>应无条件配合并不另行增加费用</w:t>
      </w:r>
      <w:r>
        <w:rPr>
          <w:rFonts w:hint="eastAsia" w:ascii="宋体" w:hAnsi="宋体" w:eastAsia="宋体" w:cs="宋体"/>
          <w:kern w:val="0"/>
          <w:sz w:val="24"/>
          <w:highlight w:val="none"/>
        </w:rPr>
        <w:t>；</w:t>
      </w:r>
      <w:r>
        <w:rPr>
          <w:rFonts w:hint="eastAsia" w:ascii="宋体" w:hAnsi="宋体" w:eastAsia="宋体" w:cs="宋体"/>
          <w:color w:val="auto"/>
          <w:kern w:val="0"/>
          <w:sz w:val="24"/>
          <w:szCs w:val="24"/>
          <w:highlight w:val="none"/>
        </w:rPr>
        <w:t>电子文件釆用光盘刻录，同时</w:t>
      </w:r>
      <w:r>
        <w:rPr>
          <w:rFonts w:hint="eastAsia" w:ascii="宋体" w:hAnsi="宋体" w:eastAsia="宋体" w:cs="宋体"/>
          <w:color w:val="auto"/>
          <w:kern w:val="0"/>
          <w:sz w:val="24"/>
          <w:szCs w:val="24"/>
          <w:highlight w:val="none"/>
          <w:lang w:eastAsia="zh-CN"/>
        </w:rPr>
        <w:t>按技术要求</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图件</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38" w:name="_Toc457826226"/>
      <w:r>
        <w:rPr>
          <w:rFonts w:hint="eastAsia" w:ascii="宋体" w:hAnsi="宋体" w:eastAsia="宋体" w:cs="宋体"/>
          <w:b/>
          <w:bCs/>
          <w:color w:val="auto"/>
          <w:kern w:val="0"/>
          <w:sz w:val="24"/>
          <w:szCs w:val="24"/>
          <w:highlight w:val="none"/>
          <w:lang w:val="en-US" w:eastAsia="zh-CN" w:bidi="ar-SA"/>
        </w:rPr>
        <w:t>5.4 成果验收</w:t>
      </w:r>
      <w:bookmarkEnd w:id="438"/>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双方就成果验收期限的约定：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39" w:name="_Toc457826227"/>
      <w:bookmarkStart w:id="440" w:name="_Toc406150495"/>
      <w:r>
        <w:rPr>
          <w:rFonts w:hint="eastAsia" w:ascii="宋体" w:hAnsi="宋体" w:eastAsia="宋体" w:cs="宋体"/>
          <w:b/>
          <w:bCs/>
          <w:color w:val="auto"/>
          <w:kern w:val="2"/>
          <w:sz w:val="24"/>
          <w:szCs w:val="24"/>
          <w:highlight w:val="none"/>
          <w:lang w:val="en-US" w:eastAsia="zh-CN" w:bidi="ar-SA"/>
        </w:rPr>
        <w:t>第6条 后期服务</w:t>
      </w:r>
      <w:bookmarkEnd w:id="439"/>
      <w:bookmarkEnd w:id="440"/>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41" w:name="_Toc457826228"/>
      <w:bookmarkStart w:id="442" w:name="_Toc406150496"/>
      <w:r>
        <w:rPr>
          <w:rFonts w:hint="eastAsia" w:ascii="宋体" w:hAnsi="宋体" w:eastAsia="宋体" w:cs="宋体"/>
          <w:b/>
          <w:bCs/>
          <w:color w:val="auto"/>
          <w:kern w:val="0"/>
          <w:sz w:val="24"/>
          <w:szCs w:val="24"/>
          <w:highlight w:val="none"/>
          <w:lang w:val="en-US" w:eastAsia="zh-CN" w:bidi="ar-SA"/>
        </w:rPr>
        <w:t>6.1 后续技术服务</w:t>
      </w:r>
      <w:bookmarkEnd w:id="441"/>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后续技术服务内容约定:</w:t>
      </w:r>
      <w:bookmarkEnd w:id="442"/>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lang w:eastAsia="zh-CN"/>
        </w:rPr>
        <w:t>承包人应积极配合发包人进行各项后续技术服务工作，并按发包人要求派遣合格的勘察代表参与做好勘察后续服务。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后续技术服务费用约定：</w:t>
      </w:r>
      <w:r>
        <w:rPr>
          <w:rFonts w:hint="eastAsia" w:ascii="宋体" w:hAnsi="宋体" w:eastAsia="宋体" w:cs="宋体"/>
          <w:color w:val="auto"/>
          <w:kern w:val="0"/>
          <w:sz w:val="24"/>
          <w:highlight w:val="none"/>
          <w:u w:val="single"/>
        </w:rPr>
        <w:t>不增加合同费用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后续技术服务时限约定：</w:t>
      </w:r>
      <w:r>
        <w:rPr>
          <w:rFonts w:hint="eastAsia" w:ascii="宋体" w:hAnsi="宋体" w:eastAsia="宋体" w:cs="宋体"/>
          <w:color w:val="auto"/>
          <w:kern w:val="0"/>
          <w:sz w:val="24"/>
          <w:highlight w:val="none"/>
          <w:u w:val="single"/>
        </w:rPr>
        <w:t>以满足项目初步设计审批要求为准。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43" w:name="_Toc406150497"/>
      <w:bookmarkStart w:id="444" w:name="_Toc457826229"/>
      <w:r>
        <w:rPr>
          <w:rFonts w:hint="eastAsia" w:ascii="宋体" w:hAnsi="宋体" w:eastAsia="宋体" w:cs="宋体"/>
          <w:b/>
          <w:bCs/>
          <w:color w:val="auto"/>
          <w:kern w:val="2"/>
          <w:sz w:val="24"/>
          <w:szCs w:val="24"/>
          <w:highlight w:val="none"/>
          <w:lang w:val="en-US" w:eastAsia="zh-CN" w:bidi="ar-SA"/>
        </w:rPr>
        <w:t>第7条 合同价款与支付</w:t>
      </w:r>
      <w:bookmarkEnd w:id="443"/>
      <w:bookmarkEnd w:id="444"/>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45" w:name="_Toc406150498"/>
      <w:bookmarkStart w:id="446" w:name="_Toc457826230"/>
      <w:r>
        <w:rPr>
          <w:rFonts w:hint="eastAsia" w:ascii="宋体" w:hAnsi="宋体" w:eastAsia="宋体" w:cs="宋体"/>
          <w:b/>
          <w:bCs/>
          <w:color w:val="auto"/>
          <w:kern w:val="0"/>
          <w:sz w:val="24"/>
          <w:szCs w:val="24"/>
          <w:highlight w:val="none"/>
          <w:lang w:val="en-US" w:eastAsia="zh-CN" w:bidi="ar-SA"/>
        </w:rPr>
        <w:t>7.1 合同价款与调整</w:t>
      </w:r>
      <w:bookmarkEnd w:id="445"/>
      <w:bookmarkEnd w:id="446"/>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双方约定的合同价款调整因素和方法：</w:t>
      </w:r>
      <w:r>
        <w:rPr>
          <w:rFonts w:hint="eastAsia" w:ascii="宋体" w:hAnsi="宋体" w:eastAsia="宋体" w:cs="仿宋_GB2312"/>
          <w:b w:val="0"/>
          <w:bCs w:val="0"/>
          <w:color w:val="auto"/>
          <w:sz w:val="24"/>
          <w:szCs w:val="24"/>
          <w:highlight w:val="none"/>
          <w:u w:val="single"/>
          <w:lang w:eastAsia="zh-CN"/>
        </w:rPr>
        <w:t>主体协调</w:t>
      </w:r>
      <w:r>
        <w:rPr>
          <w:rFonts w:hint="default" w:ascii="宋体" w:hAnsi="宋体" w:eastAsia="宋体" w:cs="宋体"/>
          <w:color w:val="auto"/>
          <w:kern w:val="0"/>
          <w:sz w:val="24"/>
          <w:highlight w:val="none"/>
          <w:u w:val="single"/>
          <w:lang w:val="en-US" w:eastAsia="zh-CN"/>
        </w:rPr>
        <w:t>工作部分采用固定总价包干；机场</w:t>
      </w:r>
      <w:r>
        <w:rPr>
          <w:rFonts w:hint="eastAsia" w:ascii="宋体" w:hAnsi="宋体" w:eastAsia="宋体" w:cs="宋体"/>
          <w:color w:val="auto"/>
          <w:kern w:val="0"/>
          <w:sz w:val="24"/>
          <w:highlight w:val="none"/>
          <w:u w:val="single"/>
          <w:lang w:val="en-US" w:eastAsia="zh-CN"/>
        </w:rPr>
        <w:t>料源区及填方区岩土</w:t>
      </w:r>
      <w:r>
        <w:rPr>
          <w:rFonts w:hint="default" w:ascii="宋体" w:hAnsi="宋体" w:eastAsia="宋体" w:cs="宋体"/>
          <w:color w:val="auto"/>
          <w:kern w:val="0"/>
          <w:sz w:val="24"/>
          <w:highlight w:val="none"/>
          <w:u w:val="single"/>
          <w:lang w:val="en-US" w:eastAsia="zh-CN"/>
        </w:rPr>
        <w:t>工程初步勘察工作部分采用固定单价包干，按实结算，但最终结算金额不得超出本</w:t>
      </w:r>
      <w:r>
        <w:rPr>
          <w:rFonts w:hint="eastAsia" w:ascii="宋体" w:hAnsi="宋体" w:eastAsia="宋体" w:cs="宋体"/>
          <w:color w:val="auto"/>
          <w:kern w:val="0"/>
          <w:sz w:val="24"/>
          <w:highlight w:val="none"/>
          <w:u w:val="single"/>
          <w:lang w:val="en-US" w:eastAsia="zh-CN"/>
        </w:rPr>
        <w:t>包组</w:t>
      </w:r>
      <w:r>
        <w:rPr>
          <w:rFonts w:hint="default" w:ascii="宋体" w:hAnsi="宋体" w:eastAsia="宋体" w:cs="宋体"/>
          <w:color w:val="auto"/>
          <w:kern w:val="0"/>
          <w:sz w:val="24"/>
          <w:highlight w:val="none"/>
          <w:u w:val="single"/>
          <w:lang w:val="en-US" w:eastAsia="zh-CN"/>
        </w:rPr>
        <w:t>签约合同价</w:t>
      </w:r>
      <w:r>
        <w:rPr>
          <w:rFonts w:hint="eastAsia" w:ascii="宋体" w:hAnsi="宋体" w:eastAsia="宋体" w:cs="宋体"/>
          <w:color w:val="auto"/>
          <w:kern w:val="0"/>
          <w:sz w:val="24"/>
          <w:highlight w:val="none"/>
          <w:u w:val="single"/>
          <w:lang w:eastAsia="zh-CN"/>
        </w:rPr>
        <w:t>。</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7.1.1.1</w:t>
      </w:r>
      <w:r>
        <w:rPr>
          <w:rFonts w:hint="eastAsia" w:ascii="宋体" w:hAnsi="宋体" w:eastAsia="宋体" w:cs="宋体"/>
          <w:color w:val="auto"/>
          <w:kern w:val="0"/>
          <w:sz w:val="24"/>
          <w:highlight w:val="none"/>
        </w:rPr>
        <w:t>暂列金额：本合同的岩溶勘察部分预留金（或称暂列金额）人民币（大写）</w:t>
      </w:r>
      <w:r>
        <w:rPr>
          <w:rFonts w:hint="eastAsia" w:ascii="宋体" w:hAnsi="宋体" w:eastAsia="宋体" w:cs="宋体"/>
          <w:color w:val="auto"/>
          <w:kern w:val="0"/>
          <w:sz w:val="24"/>
          <w:highlight w:val="none"/>
          <w:lang w:eastAsia="zh-CN"/>
        </w:rPr>
        <w:t>壹佰</w:t>
      </w:r>
      <w:r>
        <w:rPr>
          <w:rFonts w:hint="eastAsia" w:ascii="宋体" w:hAnsi="宋体" w:eastAsia="宋体" w:cs="宋体"/>
          <w:color w:val="auto"/>
          <w:kern w:val="0"/>
          <w:sz w:val="24"/>
          <w:highlight w:val="none"/>
        </w:rPr>
        <w:t>万元整（¥</w:t>
      </w:r>
      <w:r>
        <w:rPr>
          <w:rFonts w:hint="eastAsia" w:ascii="宋体" w:hAnsi="宋体" w:eastAsia="宋体" w:cs="宋体"/>
          <w:color w:val="auto"/>
          <w:kern w:val="0"/>
          <w:sz w:val="24"/>
          <w:highlight w:val="none"/>
          <w:lang w:eastAsia="zh-CN"/>
        </w:rPr>
        <w:t>1,000,000.00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该</w:t>
      </w:r>
      <w:r>
        <w:rPr>
          <w:rFonts w:hint="eastAsia" w:ascii="宋体" w:hAnsi="宋体" w:eastAsia="宋体" w:cs="宋体"/>
          <w:color w:val="auto"/>
          <w:kern w:val="0"/>
          <w:sz w:val="24"/>
          <w:highlight w:val="none"/>
        </w:rPr>
        <w:t>项金额应按甲方的书面指示全部或部分地使用，或不予使用。</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7.1.1.2</w:t>
      </w:r>
      <w:r>
        <w:rPr>
          <w:rFonts w:hint="eastAsia" w:ascii="宋体" w:hAnsi="宋体" w:eastAsia="宋体" w:cs="宋体"/>
          <w:color w:val="auto"/>
          <w:kern w:val="0"/>
          <w:sz w:val="24"/>
          <w:highlight w:val="none"/>
        </w:rPr>
        <w:t>当甲方委托乙方承担岩溶勘察的工作服务需使用暂列金额时，须经发包人</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监理工程师确认现场签证并按实际发生</w:t>
      </w:r>
      <w:r>
        <w:rPr>
          <w:rFonts w:hint="eastAsia" w:ascii="宋体" w:hAnsi="宋体" w:eastAsia="宋体" w:cs="宋体"/>
          <w:color w:val="auto"/>
          <w:kern w:val="0"/>
          <w:sz w:val="24"/>
          <w:highlight w:val="none"/>
          <w:lang w:eastAsia="zh-CN"/>
        </w:rPr>
        <w:t>量进行</w:t>
      </w:r>
      <w:r>
        <w:rPr>
          <w:rFonts w:hint="eastAsia" w:ascii="宋体" w:hAnsi="宋体" w:eastAsia="宋体" w:cs="宋体"/>
          <w:color w:val="auto"/>
          <w:kern w:val="0"/>
          <w:sz w:val="24"/>
          <w:highlight w:val="none"/>
        </w:rPr>
        <w:t>结算，如未发生上述的情况，结算时需扣减该费用。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w:t>
      </w:r>
      <w:r>
        <w:rPr>
          <w:rFonts w:hint="eastAsia" w:ascii="宋体" w:hAnsi="宋体" w:eastAsia="宋体" w:cs="宋体"/>
          <w:color w:val="auto"/>
          <w:kern w:val="0"/>
          <w:sz w:val="24"/>
          <w:szCs w:val="24"/>
          <w:highlight w:val="none"/>
          <w:lang w:val="en-US" w:eastAsia="zh-CN"/>
        </w:rPr>
        <w:t xml:space="preserve"> 合同价格形式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（1）采用总价合同，合同价款中包括的风险范围：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风险费用的计算方法：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风险范围以外合同价款调整因素和方法：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（2）采用单价合同，合同价款中包括的风险范围：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风险范围以外合同单价调整因素和方法：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（3）采用的其他合同价款形式及调整因素和方法：</w:t>
      </w:r>
      <w:r>
        <w:rPr>
          <w:rFonts w:hint="eastAsia" w:ascii="宋体" w:hAnsi="宋体" w:eastAsia="宋体" w:cs="宋体"/>
          <w:color w:val="auto"/>
          <w:kern w:val="0"/>
          <w:sz w:val="24"/>
          <w:szCs w:val="24"/>
          <w:highlight w:val="none"/>
          <w:u w:val="single"/>
          <w:lang w:val="en-US" w:eastAsia="zh-CN"/>
        </w:rPr>
        <w:t>另行商定</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7.1.3双方</w:t>
      </w:r>
      <w:r>
        <w:rPr>
          <w:rFonts w:hint="eastAsia" w:ascii="宋体" w:hAnsi="宋体" w:eastAsia="宋体" w:cs="宋体"/>
          <w:color w:val="auto"/>
          <w:sz w:val="24"/>
          <w:szCs w:val="24"/>
          <w:highlight w:val="none"/>
        </w:rPr>
        <w:t>就合同价款调整确认期限的约定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47" w:name="_Toc406150499"/>
      <w:bookmarkStart w:id="448" w:name="_Toc457826231"/>
      <w:r>
        <w:rPr>
          <w:rFonts w:hint="eastAsia" w:ascii="宋体" w:hAnsi="宋体" w:eastAsia="宋体" w:cs="宋体"/>
          <w:b/>
          <w:bCs/>
          <w:color w:val="auto"/>
          <w:kern w:val="0"/>
          <w:sz w:val="24"/>
          <w:szCs w:val="24"/>
          <w:highlight w:val="none"/>
          <w:lang w:val="en-US" w:eastAsia="zh-CN" w:bidi="ar-SA"/>
        </w:rPr>
        <w:t xml:space="preserve">7.2 </w:t>
      </w:r>
      <w:r>
        <w:rPr>
          <w:rFonts w:hint="eastAsia" w:ascii="宋体" w:hAnsi="Times New Roman" w:eastAsia="宋体" w:cs="宋体"/>
          <w:b/>
          <w:bCs/>
          <w:color w:val="auto"/>
          <w:kern w:val="0"/>
          <w:sz w:val="24"/>
          <w:szCs w:val="24"/>
          <w:highlight w:val="none"/>
          <w:lang w:val="en-US" w:eastAsia="zh-CN" w:bidi="ar-SA"/>
        </w:rPr>
        <w:t>履约担保、</w:t>
      </w:r>
      <w:r>
        <w:rPr>
          <w:rFonts w:hint="eastAsia" w:ascii="宋体" w:hAnsi="宋体" w:eastAsia="宋体" w:cs="宋体"/>
          <w:b/>
          <w:bCs/>
          <w:color w:val="auto"/>
          <w:kern w:val="0"/>
          <w:sz w:val="24"/>
          <w:szCs w:val="24"/>
          <w:highlight w:val="none"/>
          <w:lang w:val="en-US" w:eastAsia="zh-CN" w:bidi="ar-SA"/>
        </w:rPr>
        <w:t>定金或预付款</w:t>
      </w:r>
      <w:bookmarkEnd w:id="447"/>
      <w:bookmarkEnd w:id="448"/>
    </w:p>
    <w:p>
      <w:pPr>
        <w:tabs>
          <w:tab w:val="left" w:pos="900"/>
        </w:tabs>
        <w:adjustRightInd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7.2.1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eastAsia="zh-CN"/>
        </w:rPr>
        <w:t>履约担保的比例：签约合同价的10%（在签订服务合同后10天内递交）。</w:t>
      </w:r>
    </w:p>
    <w:p>
      <w:pPr>
        <w:tabs>
          <w:tab w:val="left" w:pos="900"/>
        </w:tabs>
        <w:adjustRightInd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eastAsia="zh-CN"/>
        </w:rPr>
        <w:t>履约保证金形式：不可撤销银行保函或专业担保公司保函。</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出具银行保函的银行级别：国有商业银行或股份制商业银行的支行或以上级别银行。</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履约保证金的有效期：承包人应保证其履约保证金在约定退回之日前一直有效。</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履约保证金退回时间：于完成所有服务内容后</w:t>
      </w:r>
      <w:r>
        <w:rPr>
          <w:rFonts w:hint="eastAsia" w:ascii="宋体" w:hAnsi="Times New Roman" w:eastAsia="宋体" w:cs="宋体"/>
          <w:color w:val="auto"/>
          <w:kern w:val="0"/>
          <w:sz w:val="24"/>
          <w:szCs w:val="24"/>
          <w:highlight w:val="none"/>
          <w:u w:val="single"/>
          <w:lang w:val="en-US" w:eastAsia="zh-CN"/>
        </w:rPr>
        <w:t>10天内</w:t>
      </w:r>
      <w:r>
        <w:rPr>
          <w:rFonts w:hint="eastAsia" w:ascii="宋体" w:hAnsi="Times New Roman" w:eastAsia="宋体" w:cs="宋体"/>
          <w:color w:val="auto"/>
          <w:kern w:val="0"/>
          <w:sz w:val="24"/>
          <w:szCs w:val="24"/>
          <w:highlight w:val="none"/>
          <w:u w:val="single"/>
          <w:lang w:eastAsia="zh-CN"/>
        </w:rPr>
        <w:t>退还给承包人。</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履约保证金用于补偿发包人因承包人的过失导致未能达到合同约定的服务和质量等要求而蒙受的损失或承包人违反合同应承担的违约金。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在本包组合同执行期间，如因承包人的过失或工作不配合的原因造成发包人经济损失的，发包人有权根据损失的数额直接在履约保证金中扣除并书面通知承包人。承包人在收到发包人的通知后，应在3个工作日内补足被扣除的履约保证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val="en-US" w:eastAsia="zh-CN"/>
        </w:rPr>
        <w:t>承包人在合同履行期间不按合同约定履行义务的，发包人有权单方终止合同并没收全额履约保证金，由此产生的一切经济损失由承包人自行承担</w:t>
      </w:r>
      <w:r>
        <w:rPr>
          <w:rFonts w:hint="eastAsia" w:ascii="宋体" w:hAnsi="Times New Roman" w:eastAsia="宋体" w:cs="宋体"/>
          <w:color w:val="auto"/>
          <w:kern w:val="0"/>
          <w:sz w:val="24"/>
          <w:szCs w:val="24"/>
          <w:highlight w:val="none"/>
          <w:u w:val="single"/>
          <w:lang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7.2.1.2</w:t>
      </w:r>
      <w:r>
        <w:rPr>
          <w:rFonts w:hint="eastAsia" w:ascii="宋体" w:hAnsi="Times New Roman" w:eastAsia="宋体" w:cs="宋体"/>
          <w:color w:val="auto"/>
          <w:kern w:val="0"/>
          <w:sz w:val="24"/>
          <w:szCs w:val="24"/>
          <w:highlight w:val="none"/>
          <w:lang w:eastAsia="zh-CN"/>
        </w:rPr>
        <w:t>定金的比例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7.2.1.3</w:t>
      </w:r>
      <w:r>
        <w:rPr>
          <w:rFonts w:hint="eastAsia" w:ascii="宋体" w:hAnsi="宋体" w:eastAsia="宋体" w:cs="宋体"/>
          <w:color w:val="auto"/>
          <w:kern w:val="0"/>
          <w:sz w:val="24"/>
          <w:szCs w:val="24"/>
          <w:highlight w:val="none"/>
        </w:rPr>
        <w:t>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支付预付款的金额：</w:t>
      </w:r>
      <w:r>
        <w:rPr>
          <w:rFonts w:hint="eastAsia" w:ascii="宋体" w:hAnsi="宋体" w:eastAsia="宋体" w:cs="宋体"/>
          <w:color w:val="auto"/>
          <w:kern w:val="0"/>
          <w:sz w:val="24"/>
          <w:szCs w:val="24"/>
          <w:highlight w:val="none"/>
          <w:u w:val="single"/>
          <w:lang w:val="en-US" w:eastAsia="zh-CN"/>
        </w:rPr>
        <w:t>工程勘察费签约合同价扣除暂列金额后的金额的10%</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7.2.2预付款在进度款中的抵扣办法：</w:t>
      </w:r>
      <w:r>
        <w:rPr>
          <w:rFonts w:hint="eastAsia" w:ascii="宋体" w:hAnsi="宋体" w:eastAsia="宋体" w:cs="宋体"/>
          <w:color w:val="auto"/>
          <w:kern w:val="0"/>
          <w:sz w:val="24"/>
          <w:szCs w:val="24"/>
          <w:highlight w:val="none"/>
          <w:u w:val="single"/>
          <w:lang w:val="en-US" w:eastAsia="zh-CN"/>
        </w:rPr>
        <w:t>发包人向承包人支付的预付款自动转为进度款，并在承包人第一次申请进度款时进行全额抵扣</w:t>
      </w:r>
      <w:r>
        <w:rPr>
          <w:rFonts w:hint="eastAsia" w:ascii="宋体" w:hAnsi="宋体" w:eastAsia="宋体" w:cs="宋体"/>
          <w:color w:val="auto"/>
          <w:kern w:val="0"/>
          <w:sz w:val="24"/>
          <w:szCs w:val="24"/>
          <w:highlight w:val="none"/>
          <w:u w:val="none"/>
          <w:lang w:val="en-US"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49" w:name="_Toc406150500"/>
      <w:bookmarkStart w:id="450" w:name="_Toc457826232"/>
      <w:r>
        <w:rPr>
          <w:rFonts w:hint="eastAsia" w:ascii="宋体" w:hAnsi="宋体" w:eastAsia="宋体" w:cs="宋体"/>
          <w:b/>
          <w:bCs/>
          <w:color w:val="auto"/>
          <w:kern w:val="0"/>
          <w:sz w:val="24"/>
          <w:szCs w:val="24"/>
          <w:highlight w:val="none"/>
          <w:lang w:val="en-US" w:eastAsia="zh-CN" w:bidi="ar-SA"/>
        </w:rPr>
        <w:t>7.3 进度款支付</w:t>
      </w:r>
      <w:bookmarkEnd w:id="449"/>
      <w:bookmarkEnd w:id="450"/>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7.3.1双方约定的进度款支付方式、支付条件和支付时间：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single"/>
          <w:lang w:val="en-US" w:eastAsia="zh-CN"/>
        </w:rPr>
      </w:pPr>
      <w:bookmarkStart w:id="451" w:name="bookmark210"/>
      <w:bookmarkEnd w:id="451"/>
      <w:r>
        <w:rPr>
          <w:rFonts w:hint="eastAsia" w:ascii="宋体" w:hAnsi="宋体" w:eastAsia="宋体" w:cs="宋体"/>
          <w:color w:val="auto"/>
          <w:spacing w:val="0"/>
          <w:w w:val="100"/>
          <w:positio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合同正式签署，承包人向发包人提出支付申请并获得同意起15个工作日内，发包人向承包人支付工程勘察费签约合同价扣除暂列金额后的金额的10%作为预付款。发包人向承包人支付的预付款自动转为进度款，并在承包人第一次申请进度款时进行全额抵扣。</w:t>
      </w:r>
    </w:p>
    <w:p>
      <w:pPr>
        <w:pStyle w:val="50"/>
        <w:keepNext w:val="0"/>
        <w:keepLines w:val="0"/>
        <w:pageBreakBefore w:val="0"/>
        <w:widowControl w:val="0"/>
        <w:numPr>
          <w:ilvl w:val="0"/>
          <w:numId w:val="0"/>
        </w:numPr>
        <w:shd w:val="clear" w:color="auto" w:fill="auto"/>
        <w:tabs>
          <w:tab w:val="left" w:pos="1045"/>
        </w:tabs>
        <w:kinsoku/>
        <w:wordWrap/>
        <w:overflowPunct/>
        <w:topLinePunct w:val="0"/>
        <w:autoSpaceDE/>
        <w:autoSpaceDN/>
        <w:bidi w:val="0"/>
        <w:spacing w:after="0" w:afterLines="0" w:line="360" w:lineRule="auto"/>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val="en-US" w:eastAsia="zh-CN"/>
        </w:rPr>
        <w:t>2）根据勘察进度，承包人根据实际勘察进度向监理人书面上报已完成的并经确认的工程量及工程进度款（监理人在7日内审批并报发包人），发包人在收到监理人提交的工程量及工程进度款的确认材料并经审批确认后，在15</w:t>
      </w:r>
      <w:r>
        <w:rPr>
          <w:rFonts w:hint="eastAsia" w:cs="宋体"/>
          <w:color w:val="auto"/>
          <w:spacing w:val="0"/>
          <w:w w:val="100"/>
          <w:position w:val="0"/>
          <w:sz w:val="24"/>
          <w:szCs w:val="24"/>
          <w:highlight w:val="none"/>
          <w:u w:val="single"/>
          <w:lang w:val="en-US" w:eastAsia="zh-CN"/>
        </w:rPr>
        <w:t>个工作</w:t>
      </w:r>
      <w:r>
        <w:rPr>
          <w:rFonts w:hint="eastAsia" w:ascii="宋体" w:hAnsi="宋体" w:eastAsia="宋体" w:cs="宋体"/>
          <w:color w:val="auto"/>
          <w:spacing w:val="0"/>
          <w:w w:val="100"/>
          <w:position w:val="0"/>
          <w:sz w:val="24"/>
          <w:szCs w:val="24"/>
          <w:highlight w:val="none"/>
          <w:u w:val="single"/>
          <w:lang w:val="en-US" w:eastAsia="zh-CN"/>
        </w:rPr>
        <w:t>日内支付实际完成工程款（含经监理人审核、发包人审批确认的暂列金额费用）的80%，当承包人累计申请支付的进度款（含预付款）达到合同</w:t>
      </w:r>
      <w:r>
        <w:rPr>
          <w:rFonts w:hint="eastAsia" w:ascii="宋体" w:hAnsi="宋体" w:eastAsia="宋体" w:cs="宋体"/>
          <w:color w:val="auto"/>
          <w:kern w:val="0"/>
          <w:sz w:val="24"/>
          <w:szCs w:val="24"/>
          <w:highlight w:val="none"/>
          <w:u w:val="single"/>
          <w:lang w:eastAsia="zh-CN"/>
        </w:rPr>
        <w:t>金额</w:t>
      </w:r>
      <w:r>
        <w:rPr>
          <w:rFonts w:hint="eastAsia" w:ascii="宋体" w:hAnsi="宋体" w:eastAsia="宋体" w:cs="宋体"/>
          <w:color w:val="auto"/>
          <w:spacing w:val="0"/>
          <w:w w:val="100"/>
          <w:position w:val="0"/>
          <w:sz w:val="24"/>
          <w:szCs w:val="24"/>
          <w:highlight w:val="none"/>
          <w:u w:val="single"/>
          <w:lang w:val="en-US" w:eastAsia="zh-CN"/>
        </w:rPr>
        <w:t>的</w:t>
      </w:r>
      <w:r>
        <w:rPr>
          <w:rFonts w:hint="eastAsia" w:cs="宋体"/>
          <w:color w:val="auto"/>
          <w:spacing w:val="0"/>
          <w:w w:val="100"/>
          <w:position w:val="0"/>
          <w:sz w:val="24"/>
          <w:szCs w:val="24"/>
          <w:highlight w:val="none"/>
          <w:u w:val="single"/>
          <w:lang w:val="en-US" w:eastAsia="zh-CN"/>
        </w:rPr>
        <w:t>7</w:t>
      </w:r>
      <w:r>
        <w:rPr>
          <w:rFonts w:hint="eastAsia" w:ascii="宋体" w:hAnsi="宋体" w:eastAsia="宋体" w:cs="宋体"/>
          <w:color w:val="auto"/>
          <w:spacing w:val="0"/>
          <w:w w:val="100"/>
          <w:position w:val="0"/>
          <w:sz w:val="24"/>
          <w:szCs w:val="24"/>
          <w:highlight w:val="none"/>
          <w:u w:val="single"/>
          <w:lang w:val="en-US" w:eastAsia="zh-CN"/>
        </w:rPr>
        <w:t>0%后不</w:t>
      </w:r>
      <w:r>
        <w:rPr>
          <w:rFonts w:hint="eastAsia" w:cs="宋体"/>
          <w:color w:val="auto"/>
          <w:spacing w:val="0"/>
          <w:w w:val="100"/>
          <w:position w:val="0"/>
          <w:sz w:val="24"/>
          <w:szCs w:val="24"/>
          <w:highlight w:val="none"/>
          <w:u w:val="single"/>
          <w:lang w:val="en-US" w:eastAsia="zh-CN"/>
        </w:rPr>
        <w:t>予</w:t>
      </w:r>
      <w:r>
        <w:rPr>
          <w:rFonts w:hint="eastAsia" w:ascii="宋体" w:hAnsi="宋体" w:eastAsia="宋体" w:cs="宋体"/>
          <w:color w:val="auto"/>
          <w:spacing w:val="0"/>
          <w:w w:val="100"/>
          <w:position w:val="0"/>
          <w:sz w:val="24"/>
          <w:szCs w:val="24"/>
          <w:highlight w:val="none"/>
          <w:u w:val="single"/>
          <w:lang w:val="en-US" w:eastAsia="zh-CN"/>
        </w:rPr>
        <w:t>支付进度款。</w:t>
      </w:r>
    </w:p>
    <w:p>
      <w:pPr>
        <w:pStyle w:val="50"/>
        <w:keepNext w:val="0"/>
        <w:keepLines w:val="0"/>
        <w:pageBreakBefore w:val="0"/>
        <w:widowControl w:val="0"/>
        <w:numPr>
          <w:ilvl w:val="0"/>
          <w:numId w:val="0"/>
        </w:numPr>
        <w:shd w:val="clear" w:color="auto" w:fill="auto"/>
        <w:tabs>
          <w:tab w:val="left" w:pos="1045"/>
        </w:tabs>
        <w:kinsoku/>
        <w:wordWrap/>
        <w:overflowPunct/>
        <w:topLinePunct w:val="0"/>
        <w:autoSpaceDE/>
        <w:autoSpaceDN/>
        <w:bidi w:val="0"/>
        <w:spacing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single"/>
        </w:rPr>
      </w:pPr>
      <w:r>
        <w:rPr>
          <w:rFonts w:hint="eastAsia" w:cs="宋体"/>
          <w:color w:val="auto"/>
          <w:spacing w:val="0"/>
          <w:w w:val="100"/>
          <w:position w:val="0"/>
          <w:sz w:val="24"/>
          <w:szCs w:val="24"/>
          <w:highlight w:val="none"/>
          <w:u w:val="single"/>
          <w:lang w:val="en-US" w:eastAsia="zh-CN"/>
        </w:rPr>
        <w:t>（3）承</w:t>
      </w:r>
      <w:r>
        <w:rPr>
          <w:rFonts w:hint="eastAsia" w:cs="宋体"/>
          <w:color w:val="auto"/>
          <w:spacing w:val="0"/>
          <w:w w:val="100"/>
          <w:position w:val="0"/>
          <w:sz w:val="24"/>
          <w:szCs w:val="24"/>
          <w:highlight w:val="none"/>
          <w:u w:val="single"/>
          <w:lang w:eastAsia="zh-CN"/>
        </w:rPr>
        <w:t>包人按要求完成全部勘察和测量工作，且提交的勘察报告和测量报告送审并通过</w:t>
      </w:r>
      <w:r>
        <w:rPr>
          <w:rFonts w:hint="eastAsia" w:cs="宋体"/>
          <w:color w:val="auto"/>
          <w:spacing w:val="0"/>
          <w:w w:val="100"/>
          <w:position w:val="0"/>
          <w:sz w:val="24"/>
          <w:szCs w:val="24"/>
          <w:highlight w:val="none"/>
          <w:u w:val="single"/>
          <w:lang w:val="en-US" w:eastAsia="zh-CN"/>
        </w:rPr>
        <w:t>专家</w:t>
      </w:r>
      <w:r>
        <w:rPr>
          <w:rFonts w:hint="eastAsia" w:cs="宋体"/>
          <w:color w:val="auto"/>
          <w:spacing w:val="0"/>
          <w:w w:val="100"/>
          <w:position w:val="0"/>
          <w:sz w:val="24"/>
          <w:szCs w:val="24"/>
          <w:highlight w:val="none"/>
          <w:u w:val="single"/>
          <w:lang w:eastAsia="zh-CN"/>
        </w:rPr>
        <w:t>审查合格后，承包人将所有勘察和测量成果提交给发包人，承包人向发包人提出支付申请并获得同意起15个工作日内，发包人向承包人支付至工程</w:t>
      </w:r>
      <w:r>
        <w:rPr>
          <w:rFonts w:hint="eastAsia" w:cs="宋体"/>
          <w:color w:val="auto"/>
          <w:spacing w:val="0"/>
          <w:w w:val="100"/>
          <w:position w:val="0"/>
          <w:sz w:val="24"/>
          <w:szCs w:val="24"/>
          <w:highlight w:val="none"/>
          <w:u w:val="single"/>
          <w:lang w:val="en-US" w:eastAsia="zh-CN"/>
        </w:rPr>
        <w:t>结算</w:t>
      </w:r>
      <w:r>
        <w:rPr>
          <w:rFonts w:hint="eastAsia" w:cs="宋体"/>
          <w:color w:val="auto"/>
          <w:spacing w:val="0"/>
          <w:w w:val="100"/>
          <w:position w:val="0"/>
          <w:sz w:val="24"/>
          <w:szCs w:val="24"/>
          <w:highlight w:val="none"/>
          <w:u w:val="single"/>
          <w:lang w:eastAsia="zh-CN"/>
        </w:rPr>
        <w:t>金额的</w:t>
      </w:r>
      <w:r>
        <w:rPr>
          <w:rFonts w:hint="eastAsia" w:cs="宋体"/>
          <w:color w:val="auto"/>
          <w:spacing w:val="0"/>
          <w:w w:val="100"/>
          <w:position w:val="0"/>
          <w:sz w:val="24"/>
          <w:szCs w:val="24"/>
          <w:highlight w:val="none"/>
          <w:u w:val="single"/>
          <w:lang w:val="en-US" w:eastAsia="zh-CN"/>
        </w:rPr>
        <w:t>90</w:t>
      </w:r>
      <w:r>
        <w:rPr>
          <w:rFonts w:hint="eastAsia"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pacing w:val="0"/>
          <w:w w:val="100"/>
          <w:position w:val="0"/>
          <w:sz w:val="24"/>
          <w:szCs w:val="24"/>
          <w:highlight w:val="none"/>
          <w:u w:val="single"/>
          <w:lang w:val="en-US" w:eastAsia="zh-CN"/>
        </w:rPr>
        <w:t>（4）</w:t>
      </w:r>
      <w:r>
        <w:rPr>
          <w:rFonts w:hint="eastAsia" w:ascii="宋体" w:hAnsi="宋体" w:eastAsia="宋体" w:cs="宋体"/>
          <w:color w:val="auto"/>
          <w:sz w:val="24"/>
          <w:highlight w:val="none"/>
          <w:u w:val="single"/>
          <w:lang w:eastAsia="zh-CN"/>
        </w:rPr>
        <w:t>承包人</w:t>
      </w:r>
      <w:r>
        <w:rPr>
          <w:rFonts w:hint="eastAsia" w:ascii="宋体" w:hAnsi="宋体" w:eastAsia="宋体" w:cs="宋体"/>
          <w:color w:val="auto"/>
          <w:sz w:val="24"/>
          <w:highlight w:val="none"/>
          <w:u w:val="single"/>
        </w:rPr>
        <w:t>完成了合同规定的全部</w:t>
      </w:r>
      <w:r>
        <w:rPr>
          <w:rFonts w:hint="eastAsia" w:ascii="宋体" w:hAnsi="宋体" w:eastAsia="宋体" w:cs="宋体"/>
          <w:color w:val="auto"/>
          <w:sz w:val="24"/>
          <w:highlight w:val="none"/>
          <w:u w:val="single"/>
          <w:lang w:eastAsia="zh-CN"/>
        </w:rPr>
        <w:t>勘察</w:t>
      </w:r>
      <w:r>
        <w:rPr>
          <w:rFonts w:hint="eastAsia" w:ascii="宋体" w:hAnsi="宋体" w:eastAsia="宋体" w:cs="宋体"/>
          <w:color w:val="auto"/>
          <w:sz w:val="24"/>
          <w:highlight w:val="none"/>
          <w:u w:val="single"/>
        </w:rPr>
        <w:t>工作任务并提交了</w:t>
      </w:r>
      <w:r>
        <w:rPr>
          <w:rFonts w:hint="eastAsia" w:ascii="宋体" w:hAnsi="宋体" w:eastAsia="宋体" w:cs="宋体"/>
          <w:color w:val="auto"/>
          <w:sz w:val="24"/>
          <w:highlight w:val="none"/>
          <w:u w:val="single"/>
          <w:lang w:eastAsia="zh-CN"/>
        </w:rPr>
        <w:t>最终勘察</w:t>
      </w:r>
      <w:r>
        <w:rPr>
          <w:rFonts w:hint="eastAsia" w:ascii="宋体" w:hAnsi="宋体" w:eastAsia="宋体" w:cs="宋体"/>
          <w:color w:val="auto"/>
          <w:sz w:val="24"/>
          <w:highlight w:val="none"/>
          <w:u w:val="single"/>
        </w:rPr>
        <w:t>报告，并按合同约定向</w:t>
      </w:r>
      <w:r>
        <w:rPr>
          <w:rFonts w:hint="eastAsia" w:ascii="宋体" w:hAnsi="宋体" w:eastAsia="宋体" w:cs="宋体"/>
          <w:color w:val="auto"/>
          <w:sz w:val="24"/>
          <w:highlight w:val="none"/>
          <w:u w:val="single"/>
          <w:lang w:eastAsia="zh-CN"/>
        </w:rPr>
        <w:t>发包</w:t>
      </w:r>
      <w:r>
        <w:rPr>
          <w:rFonts w:hint="eastAsia" w:ascii="宋体" w:hAnsi="宋体" w:eastAsia="宋体" w:cs="宋体"/>
          <w:color w:val="auto"/>
          <w:sz w:val="24"/>
          <w:highlight w:val="none"/>
          <w:u w:val="single"/>
        </w:rPr>
        <w:t>人移交全部技术成果，且</w:t>
      </w:r>
      <w:r>
        <w:rPr>
          <w:rFonts w:hint="eastAsia" w:ascii="宋体" w:hAnsi="宋体" w:eastAsia="宋体" w:cs="宋体"/>
          <w:color w:val="auto"/>
          <w:sz w:val="24"/>
          <w:highlight w:val="none"/>
          <w:u w:val="single"/>
          <w:lang w:eastAsia="zh-CN"/>
        </w:rPr>
        <w:t>经发包人考核并完成勘察</w:t>
      </w:r>
      <w:r>
        <w:rPr>
          <w:rFonts w:hint="eastAsia" w:ascii="宋体" w:hAnsi="宋体" w:eastAsia="宋体" w:cs="宋体"/>
          <w:color w:val="auto"/>
          <w:sz w:val="24"/>
          <w:highlight w:val="none"/>
          <w:u w:val="single"/>
        </w:rPr>
        <w:t>服务费结算，并配合发包人完成机场可行性研究和</w:t>
      </w:r>
      <w:r>
        <w:rPr>
          <w:rFonts w:hint="eastAsia" w:ascii="宋体" w:hAnsi="宋体" w:eastAsia="宋体" w:cs="宋体"/>
          <w:color w:val="auto"/>
          <w:sz w:val="24"/>
          <w:highlight w:val="none"/>
          <w:u w:val="single"/>
          <w:lang w:eastAsia="zh-CN"/>
        </w:rPr>
        <w:t>取得</w:t>
      </w:r>
      <w:r>
        <w:rPr>
          <w:rFonts w:hint="eastAsia" w:ascii="宋体" w:hAnsi="宋体" w:eastAsia="宋体" w:cs="宋体"/>
          <w:color w:val="auto"/>
          <w:sz w:val="24"/>
          <w:highlight w:val="none"/>
          <w:u w:val="single"/>
        </w:rPr>
        <w:t>岩土工程专业初步设计批复后</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承包人向发包人提出支付申请并获得</w:t>
      </w:r>
      <w:r>
        <w:rPr>
          <w:rFonts w:hint="eastAsia" w:ascii="宋体" w:hAnsi="宋体" w:eastAsia="宋体" w:cs="宋体"/>
          <w:color w:val="auto"/>
          <w:sz w:val="24"/>
          <w:highlight w:val="none"/>
          <w:u w:val="single"/>
          <w:lang w:eastAsia="zh-CN"/>
        </w:rPr>
        <w:t>发包人</w:t>
      </w:r>
      <w:r>
        <w:rPr>
          <w:rFonts w:hint="eastAsia" w:ascii="宋体" w:hAnsi="宋体" w:eastAsia="宋体" w:cs="宋体"/>
          <w:color w:val="auto"/>
          <w:sz w:val="24"/>
          <w:highlight w:val="none"/>
          <w:u w:val="single"/>
        </w:rPr>
        <w:t>同意</w:t>
      </w:r>
      <w:r>
        <w:rPr>
          <w:rFonts w:hint="eastAsia" w:ascii="宋体" w:hAnsi="宋体" w:eastAsia="宋体" w:cs="宋体"/>
          <w:color w:val="auto"/>
          <w:sz w:val="24"/>
          <w:highlight w:val="none"/>
          <w:u w:val="single"/>
          <w:lang w:eastAsia="zh-CN"/>
        </w:rPr>
        <w:t>之日</w:t>
      </w:r>
      <w:r>
        <w:rPr>
          <w:rFonts w:hint="eastAsia" w:ascii="宋体" w:hAnsi="宋体" w:eastAsia="宋体" w:cs="宋体"/>
          <w:color w:val="auto"/>
          <w:sz w:val="24"/>
          <w:highlight w:val="none"/>
          <w:u w:val="single"/>
        </w:rPr>
        <w:t>起15</w:t>
      </w:r>
      <w:r>
        <w:rPr>
          <w:rFonts w:hint="eastAsia" w:ascii="宋体" w:hAnsi="宋体" w:eastAsia="宋体" w:cs="宋体"/>
          <w:color w:val="auto"/>
          <w:sz w:val="24"/>
          <w:highlight w:val="none"/>
          <w:u w:val="single"/>
          <w:lang w:eastAsia="zh-CN"/>
        </w:rPr>
        <w:t>个工作</w:t>
      </w:r>
      <w:r>
        <w:rPr>
          <w:rFonts w:hint="eastAsia" w:ascii="宋体" w:hAnsi="宋体" w:eastAsia="宋体" w:cs="宋体"/>
          <w:color w:val="auto"/>
          <w:sz w:val="24"/>
          <w:highlight w:val="none"/>
          <w:u w:val="single"/>
        </w:rPr>
        <w:t>日内</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支付至实际结算</w:t>
      </w:r>
      <w:r>
        <w:rPr>
          <w:rFonts w:hint="eastAsia" w:ascii="宋体" w:hAnsi="宋体" w:eastAsia="宋体" w:cs="宋体"/>
          <w:color w:val="auto"/>
          <w:sz w:val="24"/>
          <w:highlight w:val="none"/>
          <w:u w:val="single"/>
          <w:lang w:eastAsia="zh-CN"/>
        </w:rPr>
        <w:t>勘察</w:t>
      </w:r>
      <w:r>
        <w:rPr>
          <w:rFonts w:hint="eastAsia" w:ascii="宋体" w:hAnsi="宋体" w:eastAsia="宋体" w:cs="宋体"/>
          <w:color w:val="auto"/>
          <w:sz w:val="24"/>
          <w:highlight w:val="none"/>
          <w:u w:val="single"/>
        </w:rPr>
        <w:t>费用的100%。</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lang w:eastAsia="zh-CN"/>
        </w:rPr>
      </w:pPr>
      <w:r>
        <w:rPr>
          <w:rFonts w:hint="eastAsia" w:ascii="宋体" w:hAnsi="宋体" w:eastAsia="宋体" w:cs="Times New Roman"/>
          <w:b w:val="0"/>
          <w:color w:val="auto"/>
          <w:sz w:val="24"/>
          <w:szCs w:val="20"/>
          <w:highlight w:val="none"/>
          <w:lang w:eastAsia="zh-CN"/>
        </w:rPr>
        <w:t>注：</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rPr>
      </w:pPr>
      <w:r>
        <w:rPr>
          <w:rFonts w:hint="eastAsia" w:ascii="宋体" w:hAnsi="宋体" w:eastAsia="宋体" w:cs="Times New Roman"/>
          <w:b w:val="0"/>
          <w:color w:val="auto"/>
          <w:sz w:val="24"/>
          <w:szCs w:val="20"/>
          <w:highlight w:val="none"/>
        </w:rPr>
        <w:t>1、所有款项的支付应提出申请，并附证明材料，经</w:t>
      </w:r>
      <w:r>
        <w:rPr>
          <w:rFonts w:hint="eastAsia" w:ascii="宋体" w:hAnsi="宋体" w:eastAsia="宋体" w:cs="Times New Roman"/>
          <w:b w:val="0"/>
          <w:color w:val="auto"/>
          <w:sz w:val="24"/>
          <w:szCs w:val="20"/>
          <w:highlight w:val="none"/>
          <w:lang w:eastAsia="zh-CN"/>
        </w:rPr>
        <w:t>发包</w:t>
      </w:r>
      <w:r>
        <w:rPr>
          <w:rFonts w:hint="eastAsia" w:ascii="宋体" w:hAnsi="宋体" w:eastAsia="宋体" w:cs="Times New Roman"/>
          <w:b w:val="0"/>
          <w:color w:val="auto"/>
          <w:sz w:val="24"/>
          <w:szCs w:val="20"/>
          <w:highlight w:val="none"/>
        </w:rPr>
        <w:t>人审核后才办理支付手续。</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color w:val="auto"/>
          <w:sz w:val="24"/>
          <w:szCs w:val="20"/>
          <w:highlight w:val="none"/>
        </w:rPr>
      </w:pPr>
      <w:r>
        <w:rPr>
          <w:rFonts w:hint="eastAsia" w:ascii="宋体" w:hAnsi="宋体" w:eastAsia="宋体" w:cs="Times New Roman"/>
          <w:b w:val="0"/>
          <w:color w:val="auto"/>
          <w:sz w:val="24"/>
          <w:szCs w:val="20"/>
          <w:highlight w:val="none"/>
        </w:rPr>
        <w:t>2、</w:t>
      </w:r>
      <w:r>
        <w:rPr>
          <w:rFonts w:hint="eastAsia" w:ascii="宋体" w:hAnsi="宋体" w:eastAsia="宋体" w:cs="Times New Roman"/>
          <w:b w:val="0"/>
          <w:color w:val="auto"/>
          <w:sz w:val="24"/>
          <w:szCs w:val="20"/>
          <w:highlight w:val="none"/>
          <w:lang w:eastAsia="zh-CN"/>
        </w:rPr>
        <w:t>承包人收取款项时应提供等额有效的增值税普通发票。承包人提供等额合法有效发票是发包人付款的前提条件。否则，因付款期限未届至，发包人有权拒绝付款且不承担任何违约责任，承包人仍应履行合同义务</w:t>
      </w:r>
      <w:r>
        <w:rPr>
          <w:rFonts w:hint="eastAsia" w:ascii="宋体" w:hAnsi="宋体" w:eastAsia="宋体" w:cs="Times New Roman"/>
          <w:b w:val="0"/>
          <w:color w:val="auto"/>
          <w:sz w:val="24"/>
          <w:szCs w:val="20"/>
          <w:highlight w:val="none"/>
        </w:rPr>
        <w:t>。</w:t>
      </w:r>
    </w:p>
    <w:p>
      <w:pPr>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bookmarkStart w:id="452" w:name="bookmark213"/>
      <w:bookmarkEnd w:id="452"/>
      <w:bookmarkStart w:id="453" w:name="bookmark212"/>
      <w:bookmarkEnd w:id="453"/>
      <w:bookmarkStart w:id="454" w:name="bookmark214"/>
      <w:bookmarkEnd w:id="454"/>
      <w:bookmarkStart w:id="455" w:name="_Toc457826233"/>
      <w:r>
        <w:rPr>
          <w:rFonts w:hint="eastAsia" w:ascii="宋体" w:hAnsi="宋体" w:eastAsia="宋体" w:cs="宋体"/>
          <w:b/>
          <w:bCs/>
          <w:color w:val="auto"/>
          <w:kern w:val="0"/>
          <w:sz w:val="24"/>
          <w:szCs w:val="24"/>
          <w:highlight w:val="none"/>
        </w:rPr>
        <w:t>7.4 合同价款结算</w:t>
      </w:r>
      <w:bookmarkEnd w:id="455"/>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仿宋_GB2312"/>
          <w:b w:val="0"/>
          <w:bCs w:val="0"/>
          <w:color w:val="auto"/>
          <w:sz w:val="24"/>
          <w:szCs w:val="24"/>
          <w:highlight w:val="none"/>
          <w:lang w:eastAsia="zh-CN"/>
        </w:rPr>
        <w:t>主体协调</w:t>
      </w:r>
      <w:r>
        <w:rPr>
          <w:rFonts w:hint="eastAsia" w:ascii="宋体" w:hAnsi="宋体" w:eastAsia="宋体" w:cs="Times New Roman"/>
          <w:color w:val="auto"/>
          <w:sz w:val="24"/>
          <w:highlight w:val="none"/>
          <w:lang w:eastAsia="zh-CN"/>
        </w:rPr>
        <w:t>工作部分采用总价包干计算费用。</w:t>
      </w:r>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实际进尺量以</w:t>
      </w:r>
      <w:r>
        <w:rPr>
          <w:rFonts w:hint="default"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lang w:val="en-US" w:eastAsia="zh-CN"/>
        </w:rPr>
        <w:t>甲方</w:t>
      </w:r>
      <w:r>
        <w:rPr>
          <w:rFonts w:hint="eastAsia" w:ascii="Times New Roman" w:hAnsi="Times New Roman" w:eastAsia="宋体" w:cs="宋体"/>
          <w:color w:val="auto"/>
          <w:kern w:val="0"/>
          <w:sz w:val="24"/>
          <w:highlight w:val="none"/>
          <w:lang w:val="en-US" w:eastAsia="zh-CN"/>
        </w:rPr>
        <w:t>及监理人</w:t>
      </w:r>
      <w:r>
        <w:rPr>
          <w:rFonts w:hint="default" w:ascii="宋体" w:hAnsi="宋体" w:eastAsia="宋体" w:cs="宋体"/>
          <w:color w:val="auto"/>
          <w:kern w:val="0"/>
          <w:sz w:val="24"/>
          <w:highlight w:val="none"/>
          <w:lang w:val="en-US" w:eastAsia="zh-CN"/>
        </w:rPr>
        <w:t>确认的</w:t>
      </w:r>
      <w:r>
        <w:rPr>
          <w:rFonts w:hint="eastAsia" w:ascii="宋体" w:hAnsi="宋体" w:eastAsia="宋体" w:cs="宋体"/>
          <w:color w:val="auto"/>
          <w:kern w:val="0"/>
          <w:sz w:val="24"/>
          <w:highlight w:val="none"/>
          <w:lang w:val="en-US" w:eastAsia="zh-CN"/>
        </w:rPr>
        <w:t>为准</w:t>
      </w:r>
      <w:r>
        <w:rPr>
          <w:rFonts w:hint="eastAsia" w:ascii="宋体" w:hAnsi="宋体" w:eastAsia="宋体" w:cs="Times New Roman"/>
          <w:color w:val="auto"/>
          <w:sz w:val="24"/>
          <w:highlight w:val="none"/>
          <w:lang w:eastAsia="zh-CN"/>
        </w:rPr>
        <w:t>。</w:t>
      </w:r>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u w:val="none"/>
        </w:rPr>
      </w:pPr>
      <w:r>
        <w:rPr>
          <w:rFonts w:hint="eastAsia" w:ascii="宋体" w:hAnsi="宋体" w:eastAsia="宋体" w:cs="宋体"/>
          <w:color w:val="auto"/>
          <w:kern w:val="0"/>
          <w:sz w:val="24"/>
          <w:szCs w:val="24"/>
          <w:highlight w:val="none"/>
          <w:lang w:eastAsia="zh-CN"/>
        </w:rPr>
        <w:t>机</w:t>
      </w:r>
      <w:r>
        <w:rPr>
          <w:rFonts w:hint="eastAsia" w:ascii="宋体" w:hAnsi="宋体" w:eastAsia="宋体" w:cs="宋体"/>
          <w:color w:val="auto"/>
          <w:kern w:val="0"/>
          <w:sz w:val="24"/>
          <w:szCs w:val="24"/>
          <w:highlight w:val="none"/>
          <w:u w:val="none"/>
          <w:lang w:eastAsia="zh-CN"/>
        </w:rPr>
        <w:t>场</w:t>
      </w:r>
      <w:r>
        <w:rPr>
          <w:rFonts w:hint="eastAsia" w:ascii="宋体" w:hAnsi="宋体" w:eastAsia="宋体" w:cs="宋体"/>
          <w:color w:val="auto"/>
          <w:kern w:val="0"/>
          <w:sz w:val="24"/>
          <w:highlight w:val="none"/>
          <w:u w:val="none"/>
          <w:lang w:val="en-US" w:eastAsia="zh-CN"/>
        </w:rPr>
        <w:t>料源区及填方区</w:t>
      </w:r>
      <w:r>
        <w:rPr>
          <w:rFonts w:hint="eastAsia" w:ascii="宋体" w:hAnsi="宋体" w:eastAsia="宋体" w:cs="宋体"/>
          <w:color w:val="auto"/>
          <w:kern w:val="0"/>
          <w:sz w:val="24"/>
          <w:szCs w:val="24"/>
          <w:highlight w:val="none"/>
          <w:u w:val="none"/>
          <w:lang w:eastAsia="zh-CN"/>
        </w:rPr>
        <w:t>岩土工程初步勘察工作</w:t>
      </w:r>
      <w:r>
        <w:rPr>
          <w:rFonts w:hint="eastAsia" w:ascii="宋体" w:hAnsi="宋体" w:eastAsia="宋体" w:cs="Times New Roman"/>
          <w:color w:val="auto"/>
          <w:sz w:val="24"/>
          <w:highlight w:val="none"/>
          <w:u w:val="none"/>
          <w:lang w:eastAsia="zh-CN"/>
        </w:rPr>
        <w:t>结算价=</w:t>
      </w:r>
      <w:r>
        <w:rPr>
          <w:rFonts w:hint="eastAsia" w:ascii="宋体" w:hAnsi="宋体" w:eastAsia="宋体" w:cs="仿宋_GB2312"/>
          <w:b w:val="0"/>
          <w:bCs w:val="0"/>
          <w:color w:val="auto"/>
          <w:sz w:val="24"/>
          <w:szCs w:val="24"/>
          <w:highlight w:val="none"/>
          <w:u w:val="none"/>
          <w:lang w:eastAsia="zh-CN"/>
        </w:rPr>
        <w:t>机场料源区及填方区岩土工程初步勘察工作部分</w:t>
      </w:r>
      <w:r>
        <w:rPr>
          <w:rFonts w:hint="eastAsia" w:ascii="宋体" w:hAnsi="宋体" w:eastAsia="宋体" w:cs="宋体"/>
          <w:color w:val="auto"/>
          <w:kern w:val="0"/>
          <w:sz w:val="24"/>
          <w:szCs w:val="24"/>
          <w:highlight w:val="none"/>
          <w:u w:val="none"/>
          <w:lang w:val="en-US" w:eastAsia="zh-CN" w:bidi="ar"/>
        </w:rPr>
        <w:t>钻孔</w:t>
      </w:r>
      <w:r>
        <w:rPr>
          <w:rFonts w:hint="eastAsia" w:ascii="宋体" w:hAnsi="宋体" w:eastAsia="宋体" w:cs="Times New Roman"/>
          <w:color w:val="auto"/>
          <w:sz w:val="24"/>
          <w:highlight w:val="none"/>
          <w:u w:val="none"/>
          <w:lang w:eastAsia="zh-CN"/>
        </w:rPr>
        <w:t>中标综合单价×实际进尺量（需经过甲方及监理人确认）</w:t>
      </w:r>
      <w:r>
        <w:rPr>
          <w:rFonts w:hint="eastAsia" w:ascii="宋体" w:hAnsi="宋体" w:eastAsia="宋体" w:cs="Times New Roman"/>
          <w:color w:val="auto"/>
          <w:sz w:val="24"/>
          <w:highlight w:val="none"/>
          <w:u w:val="none"/>
        </w:rPr>
        <w:t>；</w:t>
      </w:r>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eastAsia="zh-CN"/>
        </w:rPr>
        <w:t>机场</w:t>
      </w:r>
      <w:r>
        <w:rPr>
          <w:rFonts w:hint="eastAsia" w:ascii="宋体" w:hAnsi="宋体" w:eastAsia="宋体" w:cs="宋体"/>
          <w:color w:val="auto"/>
          <w:kern w:val="0"/>
          <w:sz w:val="24"/>
          <w:highlight w:val="none"/>
          <w:u w:val="none"/>
          <w:lang w:val="en-US" w:eastAsia="zh-CN"/>
        </w:rPr>
        <w:t>料源区及填方区</w:t>
      </w:r>
      <w:r>
        <w:rPr>
          <w:rFonts w:hint="eastAsia" w:ascii="宋体" w:hAnsi="宋体" w:eastAsia="宋体" w:cs="宋体"/>
          <w:color w:val="auto"/>
          <w:kern w:val="0"/>
          <w:sz w:val="24"/>
          <w:szCs w:val="24"/>
          <w:highlight w:val="none"/>
          <w:u w:val="none"/>
          <w:lang w:eastAsia="zh-CN"/>
        </w:rPr>
        <w:t>岩土工程初步勘察工作</w:t>
      </w:r>
      <w:r>
        <w:rPr>
          <w:rFonts w:hint="eastAsia" w:ascii="宋体" w:hAnsi="宋体" w:eastAsia="宋体" w:cs="Times New Roman"/>
          <w:color w:val="auto"/>
          <w:sz w:val="24"/>
          <w:highlight w:val="none"/>
          <w:u w:val="none"/>
          <w:lang w:eastAsia="zh-CN"/>
        </w:rPr>
        <w:t>综合单价包括但不限于人工、勘察材料以及加工、技术工作收费以及办理工程勘察相关许可、购买有关资料、工程测量、水中作业平台、水上作业用船及水监、机械设备进退场和搬运费、施工操作平台搭设、技术报告费（包含但不限于专家交通费、住宿费、场地租用费、会议餐费、专家评审费等）、试验、安全技术、青苗补偿等勘察及管理费用、税金等全部费用。</w:t>
      </w:r>
      <w:r>
        <w:rPr>
          <w:rFonts w:hint="eastAsia" w:ascii="宋体" w:hAnsi="宋体" w:eastAsia="宋体" w:cs="仿宋_GB2312"/>
          <w:b w:val="0"/>
          <w:bCs w:val="0"/>
          <w:color w:val="auto"/>
          <w:sz w:val="24"/>
          <w:szCs w:val="24"/>
          <w:highlight w:val="none"/>
          <w:u w:val="none"/>
          <w:lang w:eastAsia="zh-CN"/>
        </w:rPr>
        <w:t>机场料源区及填方区岩土工程初步勘察工作部分</w:t>
      </w:r>
      <w:r>
        <w:rPr>
          <w:rFonts w:hint="eastAsia" w:ascii="宋体" w:hAnsi="宋体" w:eastAsia="宋体" w:cs="宋体"/>
          <w:color w:val="auto"/>
          <w:kern w:val="0"/>
          <w:sz w:val="24"/>
          <w:szCs w:val="24"/>
          <w:highlight w:val="none"/>
          <w:u w:val="none"/>
          <w:lang w:val="en-US" w:eastAsia="zh-CN" w:bidi="ar"/>
        </w:rPr>
        <w:t>钻孔</w:t>
      </w:r>
      <w:r>
        <w:rPr>
          <w:rFonts w:hint="eastAsia" w:ascii="宋体" w:hAnsi="宋体" w:eastAsia="宋体" w:cs="Times New Roman"/>
          <w:color w:val="auto"/>
          <w:sz w:val="24"/>
          <w:highlight w:val="none"/>
          <w:u w:val="none"/>
          <w:lang w:eastAsia="zh-CN"/>
        </w:rPr>
        <w:t>综合单价不因项目规模调整、国家政策调整、服务周期变化或法规、标准、土层岩层变化及市场因素等任何变化而进行调整。</w:t>
      </w:r>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highlight w:val="none"/>
        </w:rPr>
        <w:t>暂列金额以经发包人和监理工程师</w:t>
      </w:r>
      <w:r>
        <w:rPr>
          <w:rFonts w:hint="eastAsia" w:ascii="宋体" w:hAnsi="宋体" w:eastAsia="宋体" w:cs="宋体"/>
          <w:color w:val="auto"/>
          <w:kern w:val="0"/>
          <w:sz w:val="24"/>
          <w:highlight w:val="none"/>
          <w:lang w:eastAsia="zh-CN"/>
        </w:rPr>
        <w:t>双方</w:t>
      </w:r>
      <w:r>
        <w:rPr>
          <w:rFonts w:hint="eastAsia" w:ascii="宋体" w:hAnsi="宋体" w:eastAsia="宋体" w:cs="宋体"/>
          <w:color w:val="auto"/>
          <w:kern w:val="0"/>
          <w:sz w:val="24"/>
          <w:highlight w:val="none"/>
        </w:rPr>
        <w:t>确认现场签证</w:t>
      </w:r>
      <w:r>
        <w:rPr>
          <w:rFonts w:hint="eastAsia" w:ascii="宋体" w:hAnsi="宋体" w:eastAsia="宋体" w:cs="宋体"/>
          <w:color w:val="auto"/>
          <w:kern w:val="0"/>
          <w:sz w:val="24"/>
          <w:highlight w:val="none"/>
          <w:lang w:eastAsia="zh-CN"/>
        </w:rPr>
        <w:t>并按实际发生</w:t>
      </w:r>
      <w:r>
        <w:rPr>
          <w:rFonts w:hint="eastAsia" w:ascii="宋体" w:hAnsi="宋体" w:eastAsia="宋体" w:cs="宋体"/>
          <w:color w:val="auto"/>
          <w:kern w:val="0"/>
          <w:sz w:val="24"/>
          <w:highlight w:val="none"/>
        </w:rPr>
        <w:t>量进行结算</w:t>
      </w:r>
      <w:r>
        <w:rPr>
          <w:rFonts w:hint="eastAsia" w:ascii="宋体" w:hAnsi="宋体" w:eastAsia="宋体" w:cs="宋体"/>
          <w:color w:val="auto"/>
          <w:kern w:val="0"/>
          <w:sz w:val="24"/>
          <w:highlight w:val="none"/>
          <w:lang w:eastAsia="zh-CN"/>
        </w:rPr>
        <w:t>。</w:t>
      </w:r>
    </w:p>
    <w:p>
      <w:pPr>
        <w:keepNext w:val="0"/>
        <w:keepLines w:val="0"/>
        <w:pageBreakBefore w:val="0"/>
        <w:widowControl/>
        <w:numPr>
          <w:ilvl w:val="0"/>
          <w:numId w:val="155"/>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Times New Roman"/>
          <w:color w:val="auto"/>
          <w:sz w:val="24"/>
          <w:highlight w:val="none"/>
          <w:u w:val="none"/>
        </w:rPr>
        <w:t>最终结算金额不得超出合同金额</w:t>
      </w:r>
      <w:r>
        <w:rPr>
          <w:rFonts w:ascii="宋体" w:hAnsi="宋体" w:eastAsia="宋体" w:cs="Times New Roman"/>
          <w:color w:val="auto"/>
          <w:sz w:val="24"/>
          <w:highlight w:val="none"/>
          <w:u w:val="non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56" w:name="_Toc457826234"/>
      <w:bookmarkStart w:id="457" w:name="_Toc406150501"/>
      <w:r>
        <w:rPr>
          <w:rFonts w:hint="eastAsia" w:ascii="宋体" w:hAnsi="宋体" w:eastAsia="宋体" w:cs="宋体"/>
          <w:b/>
          <w:bCs/>
          <w:color w:val="auto"/>
          <w:kern w:val="2"/>
          <w:sz w:val="24"/>
          <w:szCs w:val="24"/>
          <w:highlight w:val="none"/>
          <w:lang w:val="en-US" w:eastAsia="zh-CN" w:bidi="ar-SA"/>
        </w:rPr>
        <w:t>第8条 变更与调整</w:t>
      </w:r>
      <w:bookmarkEnd w:id="456"/>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sz w:val="24"/>
          <w:szCs w:val="24"/>
          <w:highlight w:val="none"/>
        </w:rPr>
      </w:pPr>
      <w:bookmarkStart w:id="458" w:name="_Toc457826235"/>
      <w:r>
        <w:rPr>
          <w:rFonts w:hint="eastAsia" w:ascii="宋体" w:hAnsi="宋体" w:eastAsia="宋体" w:cs="宋体"/>
          <w:b/>
          <w:bCs/>
          <w:color w:val="auto"/>
          <w:kern w:val="0"/>
          <w:sz w:val="24"/>
          <w:szCs w:val="24"/>
          <w:highlight w:val="none"/>
        </w:rPr>
        <w:t>8.1  变更范围与确认</w:t>
      </w:r>
      <w:bookmarkEnd w:id="458"/>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变更范围的其他约定：</w:t>
      </w:r>
      <w:r>
        <w:rPr>
          <w:rFonts w:hint="eastAsia" w:ascii="宋体" w:hAnsi="宋体" w:eastAsia="宋体" w:cs="宋体"/>
          <w:color w:val="auto"/>
          <w:kern w:val="0"/>
          <w:sz w:val="24"/>
          <w:highlight w:val="none"/>
          <w:u w:val="single"/>
          <w:lang w:eastAsia="zh-CN"/>
        </w:rPr>
        <w:t>勘察过程中，承包人根据项目的工程条件（或工作现场地形地貌、地质和水文地质条件）、技术规范要求、设计方案及勘察范围，可向发包人提出增减工作量或修改勘察工作的意见，经发包人同意后办理正式变更手续。</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变更提出和确认期限的约定：</w:t>
      </w:r>
      <w:r>
        <w:rPr>
          <w:rFonts w:hint="eastAsia" w:ascii="宋体" w:hAnsi="宋体" w:eastAsia="宋体" w:cs="Times New Roman"/>
          <w:color w:val="auto"/>
          <w:sz w:val="24"/>
          <w:highlight w:val="none"/>
          <w:u w:val="single"/>
          <w:lang w:eastAsia="zh-CN"/>
        </w:rPr>
        <w:t>双方协商确认</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both"/>
        <w:textAlignment w:val="auto"/>
        <w:outlineLvl w:val="2"/>
        <w:rPr>
          <w:rFonts w:hint="eastAsia" w:ascii="宋体" w:hAnsi="宋体" w:eastAsia="宋体" w:cs="宋体"/>
          <w:b/>
          <w:bCs/>
          <w:color w:val="auto"/>
          <w:kern w:val="0"/>
          <w:sz w:val="24"/>
          <w:szCs w:val="24"/>
          <w:highlight w:val="none"/>
        </w:rPr>
      </w:pPr>
      <w:bookmarkStart w:id="459" w:name="_Toc457826236"/>
      <w:r>
        <w:rPr>
          <w:rFonts w:hint="eastAsia" w:ascii="宋体" w:hAnsi="宋体" w:eastAsia="宋体" w:cs="宋体"/>
          <w:b/>
          <w:bCs/>
          <w:color w:val="auto"/>
          <w:kern w:val="0"/>
          <w:sz w:val="24"/>
          <w:szCs w:val="24"/>
          <w:highlight w:val="none"/>
        </w:rPr>
        <w:t>8.2  变更合同价款确定</w:t>
      </w:r>
      <w:bookmarkEnd w:id="459"/>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提出变更合同价款报告期限的约定：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8.2.3 确认变更合同价款报告时限的约定：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460" w:name="_Toc457826237"/>
      <w:r>
        <w:rPr>
          <w:rFonts w:hint="eastAsia" w:ascii="宋体" w:hAnsi="宋体" w:eastAsia="宋体" w:cs="宋体"/>
          <w:b/>
          <w:bCs/>
          <w:color w:val="auto"/>
          <w:kern w:val="0"/>
          <w:sz w:val="24"/>
          <w:szCs w:val="24"/>
          <w:highlight w:val="none"/>
        </w:rPr>
        <w:t>第9条 知识产权</w:t>
      </w:r>
      <w:bookmarkEnd w:id="457"/>
      <w:bookmarkEnd w:id="460"/>
    </w:p>
    <w:p>
      <w:pPr>
        <w:tabs>
          <w:tab w:val="left" w:pos="1260"/>
        </w:tabs>
        <w:snapToGrid w:val="0"/>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9.1关于发包人提供给</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的图纸、发包人为实施工程自行编制或委托编制的反映发包人要求或其他类似性质的文件的著作权的归属：</w:t>
      </w:r>
      <w:r>
        <w:rPr>
          <w:rFonts w:hint="eastAsia" w:ascii="宋体" w:hAnsi="宋体" w:eastAsia="宋体" w:cs="宋体"/>
          <w:b w:val="0"/>
          <w:bCs w:val="0"/>
          <w:color w:val="auto"/>
          <w:sz w:val="24"/>
          <w:szCs w:val="24"/>
          <w:highlight w:val="none"/>
          <w:u w:val="single"/>
        </w:rPr>
        <w:t>归发包人所有，</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未经发包人同意不得引用、发表和向第三者提供，合同终止后，</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应无条件归还发包人。</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9.2</w:t>
      </w:r>
      <w:r>
        <w:rPr>
          <w:rFonts w:hint="eastAsia" w:ascii="宋体" w:hAnsi="宋体" w:eastAsia="宋体" w:cs="宋体"/>
          <w:b w:val="0"/>
          <w:bCs w:val="0"/>
          <w:color w:val="auto"/>
          <w:sz w:val="24"/>
          <w:szCs w:val="24"/>
          <w:highlight w:val="none"/>
        </w:rPr>
        <w:t>关于发包人提供的上述文件的使用限制的要求：</w:t>
      </w:r>
      <w:r>
        <w:rPr>
          <w:rFonts w:hint="eastAsia" w:ascii="宋体" w:hAnsi="宋体" w:eastAsia="宋体" w:cs="宋体"/>
          <w:b w:val="0"/>
          <w:bCs w:val="0"/>
          <w:color w:val="auto"/>
          <w:sz w:val="24"/>
          <w:szCs w:val="24"/>
          <w:highlight w:val="none"/>
          <w:u w:val="single"/>
        </w:rPr>
        <w:t>原则上仅限于本合同的</w:t>
      </w:r>
      <w:r>
        <w:rPr>
          <w:rFonts w:hint="eastAsia" w:ascii="宋体" w:hAnsi="宋体" w:eastAsia="宋体" w:cs="宋体"/>
          <w:b w:val="0"/>
          <w:bCs w:val="0"/>
          <w:color w:val="auto"/>
          <w:sz w:val="24"/>
          <w:szCs w:val="24"/>
          <w:highlight w:val="none"/>
          <w:u w:val="single"/>
          <w:lang w:eastAsia="zh-CN"/>
        </w:rPr>
        <w:t>勘察</w:t>
      </w:r>
      <w:r>
        <w:rPr>
          <w:rFonts w:hint="eastAsia" w:ascii="宋体" w:hAnsi="宋体" w:eastAsia="宋体" w:cs="宋体"/>
          <w:b w:val="0"/>
          <w:bCs w:val="0"/>
          <w:color w:val="auto"/>
          <w:sz w:val="24"/>
          <w:szCs w:val="24"/>
          <w:highlight w:val="none"/>
          <w:u w:val="single"/>
        </w:rPr>
        <w:t>工作，如特殊情况，</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应书面向发包人提出申请，经发包人同意后，按发包人要求执行。</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9.</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为实施工程所编制文件的著作权的归属：</w:t>
      </w:r>
      <w:r>
        <w:rPr>
          <w:rFonts w:hint="eastAsia" w:ascii="宋体" w:hAnsi="宋体" w:eastAsia="宋体" w:cs="宋体"/>
          <w:b w:val="0"/>
          <w:bCs w:val="0"/>
          <w:color w:val="auto"/>
          <w:sz w:val="24"/>
          <w:szCs w:val="24"/>
          <w:highlight w:val="none"/>
          <w:u w:val="single"/>
        </w:rPr>
        <w:t>归发包人所有，发包人引用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。无论发生何种情形（包括但不限于合同提前终止或解除），发包人均有权利用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的阶段性工作成果，并且发包人引用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9.4</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sz w:val="24"/>
          <w:szCs w:val="24"/>
          <w:highlight w:val="none"/>
          <w:lang w:eastAsia="zh-CN"/>
        </w:rPr>
        <w:t>承包人</w:t>
      </w:r>
      <w:r>
        <w:rPr>
          <w:rFonts w:hint="eastAsia" w:ascii="宋体" w:hAnsi="宋体" w:eastAsia="宋体" w:cs="宋体"/>
          <w:b w:val="0"/>
          <w:bCs w:val="0"/>
          <w:color w:val="auto"/>
          <w:sz w:val="24"/>
          <w:szCs w:val="24"/>
          <w:highlight w:val="none"/>
        </w:rPr>
        <w:t>提供的上述文件的使用限制的要求：</w:t>
      </w:r>
      <w:bookmarkStart w:id="461" w:name="_Toc406150503"/>
      <w:r>
        <w:rPr>
          <w:rFonts w:hint="eastAsia" w:ascii="宋体" w:hAnsi="宋体" w:eastAsia="宋体" w:cs="宋体"/>
          <w:b w:val="0"/>
          <w:bCs w:val="0"/>
          <w:color w:val="auto"/>
          <w:sz w:val="24"/>
          <w:szCs w:val="24"/>
          <w:highlight w:val="none"/>
          <w:u w:val="single"/>
        </w:rPr>
        <w:t>需征得发包人同意。</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9.5  </w:t>
      </w:r>
      <w:bookmarkEnd w:id="461"/>
      <w:r>
        <w:rPr>
          <w:rFonts w:hint="eastAsia" w:ascii="宋体" w:hAnsi="宋体" w:eastAsia="宋体" w:cs="宋体"/>
          <w:b/>
          <w:bCs/>
          <w:color w:val="auto"/>
          <w:kern w:val="2"/>
          <w:sz w:val="24"/>
          <w:szCs w:val="24"/>
          <w:highlight w:val="none"/>
          <w:lang w:val="en-US" w:eastAsia="zh-CN" w:bidi="ar-SA"/>
        </w:rPr>
        <w:t>承包人在工作过程中所采用的专利、专有技术、技术秘密的使用费的承担方式：</w:t>
      </w:r>
      <w:bookmarkStart w:id="462" w:name="_Toc457826238"/>
      <w:bookmarkStart w:id="463" w:name="_Toc406150504"/>
      <w:r>
        <w:rPr>
          <w:rFonts w:hint="eastAsia" w:ascii="宋体" w:hAnsi="宋体" w:eastAsia="宋体" w:cs="宋体"/>
          <w:b w:val="0"/>
          <w:bCs/>
          <w:color w:val="auto"/>
          <w:kern w:val="2"/>
          <w:sz w:val="24"/>
          <w:szCs w:val="24"/>
          <w:highlight w:val="none"/>
          <w:u w:val="single"/>
          <w:lang w:val="en-US" w:eastAsia="zh-CN" w:bidi="ar-SA"/>
        </w:rPr>
        <w:t>按通用条款。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第10条 不可抗力</w:t>
      </w:r>
      <w:bookmarkEnd w:id="462"/>
      <w:bookmarkEnd w:id="463"/>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bookmarkStart w:id="464" w:name="_Toc406150505"/>
      <w:bookmarkStart w:id="465" w:name="_Toc457826239"/>
      <w:r>
        <w:rPr>
          <w:rFonts w:hint="eastAsia" w:ascii="宋体" w:hAnsi="宋体" w:eastAsia="宋体" w:cs="宋体"/>
          <w:b/>
          <w:color w:val="auto"/>
          <w:kern w:val="0"/>
          <w:sz w:val="24"/>
          <w:szCs w:val="24"/>
          <w:highlight w:val="none"/>
        </w:rPr>
        <w:t>10.1 不可抗力的确认</w:t>
      </w:r>
      <w:bookmarkEnd w:id="464"/>
      <w:bookmarkEnd w:id="465"/>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双方关于不可抗力的其他约定（如政府临时禁令）：</w:t>
      </w:r>
      <w:bookmarkStart w:id="466" w:name="_Toc457826240"/>
      <w:r>
        <w:rPr>
          <w:rFonts w:hint="eastAsia" w:ascii="宋体" w:hAnsi="宋体" w:eastAsia="宋体" w:cs="宋体"/>
          <w:color w:val="auto"/>
          <w:kern w:val="0"/>
          <w:sz w:val="24"/>
          <w:szCs w:val="24"/>
          <w:highlight w:val="none"/>
          <w:u w:val="single"/>
        </w:rPr>
        <w:t>如果发生了双方都无法控制的意外情况（如战争、自然灾荒等），致使本合同不能如期履行时，本合同应自动顺延履行，且双方不被视为违约，但双方应尽一切努力终止或减少上述因素的影响。上述因素一旦消失，双方应立即采取措施继续履行本合同，否则作违约论。</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10.2 不可抗力的通知</w:t>
      </w:r>
      <w:bookmarkEnd w:id="466"/>
    </w:p>
    <w:p>
      <w:pPr>
        <w:adjustRightInd w:val="0"/>
        <w:snapToGrid w:val="0"/>
        <w:spacing w:line="360" w:lineRule="auto"/>
        <w:ind w:left="479" w:leftChars="22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报告受害损失期限的约定：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向发包人通报受害损失情况及费用期限的约定：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67" w:name="_Toc457826241"/>
      <w:bookmarkStart w:id="468" w:name="_Toc406150506"/>
      <w:r>
        <w:rPr>
          <w:rFonts w:hint="eastAsia" w:ascii="宋体" w:hAnsi="宋体" w:eastAsia="宋体" w:cs="宋体"/>
          <w:b/>
          <w:bCs/>
          <w:color w:val="auto"/>
          <w:kern w:val="2"/>
          <w:sz w:val="24"/>
          <w:szCs w:val="24"/>
          <w:highlight w:val="none"/>
          <w:lang w:val="en-US" w:eastAsia="zh-CN" w:bidi="ar-SA"/>
        </w:rPr>
        <w:t>第13条 责任与保险</w:t>
      </w:r>
      <w:bookmarkEnd w:id="467"/>
      <w:bookmarkEnd w:id="468"/>
    </w:p>
    <w:p>
      <w:pPr>
        <w:tabs>
          <w:tab w:val="left" w:pos="1260"/>
        </w:tabs>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13.2 </w:t>
      </w:r>
      <w:r>
        <w:rPr>
          <w:rFonts w:hint="eastAsia" w:ascii="宋体" w:hAnsi="宋体" w:eastAsia="宋体" w:cs="宋体"/>
          <w:bCs/>
          <w:color w:val="auto"/>
          <w:kern w:val="0"/>
          <w:sz w:val="24"/>
          <w:szCs w:val="24"/>
          <w:highlight w:val="none"/>
        </w:rPr>
        <w:t>工程勘察责任保险的约定：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69" w:name="_Toc457826242"/>
      <w:bookmarkStart w:id="470" w:name="_Toc406150507"/>
      <w:r>
        <w:rPr>
          <w:rFonts w:hint="eastAsia" w:ascii="宋体" w:hAnsi="宋体" w:eastAsia="宋体" w:cs="宋体"/>
          <w:b/>
          <w:bCs/>
          <w:color w:val="auto"/>
          <w:kern w:val="2"/>
          <w:sz w:val="24"/>
          <w:szCs w:val="24"/>
          <w:highlight w:val="none"/>
          <w:lang w:val="en-US" w:eastAsia="zh-CN" w:bidi="ar-SA"/>
        </w:rPr>
        <w:t>第14条 违约</w:t>
      </w:r>
      <w:bookmarkEnd w:id="469"/>
      <w:bookmarkEnd w:id="470"/>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bookmarkStart w:id="471" w:name="_Toc406150508"/>
      <w:bookmarkStart w:id="472" w:name="_Toc457826243"/>
      <w:r>
        <w:rPr>
          <w:rFonts w:hint="eastAsia" w:ascii="宋体" w:hAnsi="宋体" w:eastAsia="宋体" w:cs="宋体"/>
          <w:b/>
          <w:bCs/>
          <w:color w:val="auto"/>
          <w:kern w:val="0"/>
          <w:sz w:val="24"/>
          <w:szCs w:val="24"/>
          <w:highlight w:val="none"/>
          <w:lang w:val="en-US" w:eastAsia="zh-CN" w:bidi="ar-SA"/>
        </w:rPr>
        <w:t>14.1 发包人违约</w:t>
      </w:r>
      <w:bookmarkEnd w:id="471"/>
      <w:bookmarkEnd w:id="472"/>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（1）发包人支付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的违约金：</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（2）发包人发生其他违约情形应承担的违约责任：</w:t>
      </w:r>
      <w:bookmarkStart w:id="473" w:name="_Toc457826244"/>
      <w:bookmarkStart w:id="474" w:name="_Toc406150509"/>
      <w:r>
        <w:rPr>
          <w:rFonts w:hint="eastAsia" w:ascii="宋体" w:hAnsi="宋体" w:eastAsia="宋体" w:cs="宋体"/>
          <w:color w:val="auto"/>
          <w:kern w:val="0"/>
          <w:sz w:val="24"/>
          <w:szCs w:val="24"/>
          <w:highlight w:val="none"/>
          <w:u w:val="single"/>
          <w:lang w:eastAsia="zh-CN"/>
        </w:rPr>
        <w:t>在合同履行期间，发包人要求终止或解除合同，承包人未开始勘察工作的，不退还发包人已付的预付款；已开始勘察工作的，发包人应根据承包人已进行的实际工作量协商结算费用。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14.2 承包人违约</w:t>
      </w:r>
      <w:bookmarkEnd w:id="473"/>
      <w:bookmarkEnd w:id="474"/>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numPr>
          <w:ilvl w:val="0"/>
          <w:numId w:val="0"/>
        </w:num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支付发包人的违约金：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bookmarkStart w:id="475" w:name="bookmark222"/>
      <w:r>
        <w:rPr>
          <w:rFonts w:hint="eastAsia" w:ascii="宋体" w:hAnsi="宋体" w:eastAsia="宋体" w:cs="宋体"/>
          <w:color w:val="auto"/>
          <w:spacing w:val="0"/>
          <w:w w:val="100"/>
          <w:kern w:val="0"/>
          <w:position w:val="0"/>
          <w:sz w:val="24"/>
          <w:szCs w:val="24"/>
          <w:highlight w:val="none"/>
          <w:u w:val="none"/>
          <w:lang w:val="en-US" w:eastAsia="zh-CN" w:bidi="ar-SA"/>
        </w:rPr>
        <w:t>（</w:t>
      </w:r>
      <w:bookmarkEnd w:id="475"/>
      <w:r>
        <w:rPr>
          <w:rFonts w:hint="eastAsia" w:ascii="宋体" w:hAnsi="宋体" w:eastAsia="宋体" w:cs="宋体"/>
          <w:color w:val="auto"/>
          <w:spacing w:val="0"/>
          <w:w w:val="100"/>
          <w:kern w:val="0"/>
          <w:position w:val="0"/>
          <w:sz w:val="24"/>
          <w:szCs w:val="24"/>
          <w:highlight w:val="none"/>
          <w:u w:val="none"/>
          <w:lang w:val="en-US" w:eastAsia="zh-CN" w:bidi="ar-SA"/>
        </w:rPr>
        <w:t>1）勘察</w:t>
      </w:r>
      <w:r>
        <w:rPr>
          <w:rFonts w:hint="eastAsia" w:cs="宋体"/>
          <w:color w:val="auto"/>
          <w:spacing w:val="0"/>
          <w:w w:val="100"/>
          <w:kern w:val="0"/>
          <w:position w:val="0"/>
          <w:sz w:val="24"/>
          <w:szCs w:val="24"/>
          <w:highlight w:val="none"/>
          <w:u w:val="none"/>
          <w:lang w:val="en-US" w:eastAsia="zh-CN" w:bidi="ar-SA"/>
        </w:rPr>
        <w:t>人</w:t>
      </w:r>
      <w:r>
        <w:rPr>
          <w:rFonts w:hint="eastAsia" w:ascii="宋体" w:hAnsi="宋体" w:eastAsia="宋体" w:cs="宋体"/>
          <w:color w:val="auto"/>
          <w:spacing w:val="0"/>
          <w:w w:val="100"/>
          <w:kern w:val="0"/>
          <w:position w:val="0"/>
          <w:sz w:val="24"/>
          <w:szCs w:val="24"/>
          <w:highlight w:val="none"/>
          <w:u w:val="none"/>
          <w:lang w:val="en-US" w:eastAsia="zh-CN" w:bidi="ar-SA"/>
        </w:rPr>
        <w:t>将勘察任务转包，或者未经发包人书面同意私自分包的，发包人将有权选择解除合同或合同继续履行，合同继续履行的，发包人有权要求承包人按签约合同价5%支付违约金。合同解除的，承包人按签约合同价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bookmarkStart w:id="476" w:name="bookmark223"/>
      <w:r>
        <w:rPr>
          <w:rFonts w:hint="eastAsia" w:ascii="宋体" w:hAnsi="宋体" w:eastAsia="宋体" w:cs="宋体"/>
          <w:color w:val="auto"/>
          <w:spacing w:val="0"/>
          <w:w w:val="100"/>
          <w:kern w:val="0"/>
          <w:position w:val="0"/>
          <w:sz w:val="24"/>
          <w:szCs w:val="24"/>
          <w:highlight w:val="none"/>
          <w:u w:val="none"/>
          <w:lang w:val="en-US" w:eastAsia="zh-CN" w:bidi="ar-SA"/>
        </w:rPr>
        <w:t>（</w:t>
      </w:r>
      <w:bookmarkEnd w:id="476"/>
      <w:r>
        <w:rPr>
          <w:rFonts w:hint="eastAsia" w:ascii="宋体" w:hAnsi="宋体" w:eastAsia="宋体" w:cs="宋体"/>
          <w:color w:val="auto"/>
          <w:spacing w:val="0"/>
          <w:w w:val="100"/>
          <w:kern w:val="0"/>
          <w:position w:val="0"/>
          <w:sz w:val="24"/>
          <w:szCs w:val="24"/>
          <w:highlight w:val="none"/>
          <w:u w:val="none"/>
          <w:lang w:val="en-US" w:eastAsia="zh-CN" w:bidi="ar-SA"/>
        </w:rPr>
        <w:t>2）承包人未按照国家、建设部及交通部等部门现行的强制性技术标准、规范和规程进行勘察,发包人有权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bookmarkStart w:id="477" w:name="bookmark224"/>
      <w:r>
        <w:rPr>
          <w:rFonts w:hint="eastAsia" w:ascii="宋体" w:hAnsi="宋体" w:eastAsia="宋体" w:cs="宋体"/>
          <w:color w:val="auto"/>
          <w:spacing w:val="0"/>
          <w:w w:val="100"/>
          <w:kern w:val="0"/>
          <w:position w:val="0"/>
          <w:sz w:val="24"/>
          <w:szCs w:val="24"/>
          <w:highlight w:val="none"/>
          <w:u w:val="none"/>
          <w:lang w:val="en-US" w:eastAsia="zh-CN" w:bidi="ar-SA"/>
        </w:rPr>
        <w:t>（</w:t>
      </w:r>
      <w:bookmarkEnd w:id="477"/>
      <w:r>
        <w:rPr>
          <w:rFonts w:hint="eastAsia" w:ascii="宋体" w:hAnsi="宋体" w:eastAsia="宋体" w:cs="宋体"/>
          <w:color w:val="auto"/>
          <w:spacing w:val="0"/>
          <w:w w:val="100"/>
          <w:kern w:val="0"/>
          <w:position w:val="0"/>
          <w:sz w:val="24"/>
          <w:szCs w:val="24"/>
          <w:highlight w:val="none"/>
          <w:u w:val="none"/>
          <w:lang w:val="en-US" w:eastAsia="zh-CN" w:bidi="ar-SA"/>
        </w:rPr>
        <w:t>3）承包人未能按约定提交勘察成果的（发包人同意延长期限或非承包人原因造成逾期的除外），则每延误工期一天，扣罚承包人勘察费5000元违约金。延期超过30天时，发包人有权解除合同，合同解除的，承包人按签约合同价10%支付违约金，如违约金不足以弥补发包人损失的，承包人仍应赔偿发包人损失</w:t>
      </w:r>
      <w:bookmarkStart w:id="478" w:name="bookmark225"/>
      <w:r>
        <w:rPr>
          <w:rFonts w:hint="eastAsia" w:ascii="宋体" w:hAnsi="宋体" w:eastAsia="宋体" w:cs="宋体"/>
          <w:color w:val="auto"/>
          <w:kern w:val="0"/>
          <w:sz w:val="24"/>
          <w:szCs w:val="24"/>
          <w:highlight w:val="none"/>
          <w:u w:val="none"/>
          <w:lang w:val="en-US" w:eastAsia="zh-CN" w:bidi="ar-SA"/>
        </w:rPr>
        <w:t>。</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w:t>
      </w:r>
      <w:bookmarkEnd w:id="478"/>
      <w:r>
        <w:rPr>
          <w:rFonts w:hint="eastAsia" w:ascii="宋体" w:hAnsi="宋体" w:eastAsia="宋体" w:cs="宋体"/>
          <w:color w:val="auto"/>
          <w:spacing w:val="0"/>
          <w:w w:val="100"/>
          <w:kern w:val="0"/>
          <w:position w:val="0"/>
          <w:sz w:val="24"/>
          <w:szCs w:val="24"/>
          <w:highlight w:val="none"/>
          <w:u w:val="none"/>
          <w:lang w:val="en-US" w:eastAsia="zh-CN" w:bidi="ar-SA"/>
        </w:rPr>
        <w:t>4）因勘察深度不够、资料不足以及勘察质量低劣而被要求返工从而造成质量问题的，除由承包人负责继续完善勘察外，发包人还可视造成的时间延误和费用损失，发包人有权要求承包人按签约合同价5%-10%支付违约金，如违约金不足以弥补发包人损失的，承包人仍应赔偿发包人损失。如经三次返工，承包人仍未能提供符合本合同约定的勘察成果，发包人有权解除合同并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bookmarkStart w:id="479" w:name="bookmark226"/>
      <w:r>
        <w:rPr>
          <w:rFonts w:hint="eastAsia" w:ascii="宋体" w:hAnsi="宋体" w:eastAsia="宋体" w:cs="宋体"/>
          <w:color w:val="auto"/>
          <w:spacing w:val="0"/>
          <w:w w:val="100"/>
          <w:kern w:val="0"/>
          <w:position w:val="0"/>
          <w:sz w:val="24"/>
          <w:szCs w:val="24"/>
          <w:highlight w:val="none"/>
          <w:u w:val="none"/>
          <w:lang w:val="en-US" w:eastAsia="zh-CN" w:bidi="ar-SA"/>
        </w:rPr>
        <w:t>（</w:t>
      </w:r>
      <w:bookmarkEnd w:id="479"/>
      <w:r>
        <w:rPr>
          <w:rFonts w:hint="eastAsia" w:ascii="宋体" w:hAnsi="宋体" w:eastAsia="宋体" w:cs="宋体"/>
          <w:color w:val="auto"/>
          <w:spacing w:val="0"/>
          <w:w w:val="100"/>
          <w:kern w:val="0"/>
          <w:position w:val="0"/>
          <w:sz w:val="24"/>
          <w:szCs w:val="24"/>
          <w:highlight w:val="none"/>
          <w:u w:val="none"/>
          <w:lang w:val="en-US" w:eastAsia="zh-CN" w:bidi="ar-SA"/>
        </w:rPr>
        <w:t>5）承包人若未及时选派合格的勘察代表参与现场勘察服务的，每延期15天（不足15天按15天计），发包人将按签约合同价总金额的5%计扣承包人的违约金。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bookmarkStart w:id="480" w:name="bookmark227"/>
      <w:r>
        <w:rPr>
          <w:rFonts w:hint="eastAsia" w:ascii="宋体" w:hAnsi="宋体" w:eastAsia="宋体" w:cs="宋体"/>
          <w:color w:val="auto"/>
          <w:spacing w:val="0"/>
          <w:w w:val="100"/>
          <w:kern w:val="0"/>
          <w:position w:val="0"/>
          <w:sz w:val="24"/>
          <w:szCs w:val="24"/>
          <w:highlight w:val="none"/>
          <w:u w:val="none"/>
          <w:lang w:val="en-US" w:eastAsia="zh-CN" w:bidi="ar-SA"/>
        </w:rPr>
        <w:t>（</w:t>
      </w:r>
      <w:bookmarkEnd w:id="480"/>
      <w:r>
        <w:rPr>
          <w:rFonts w:hint="eastAsia" w:ascii="宋体" w:hAnsi="宋体" w:eastAsia="宋体" w:cs="宋体"/>
          <w:color w:val="auto"/>
          <w:spacing w:val="0"/>
          <w:w w:val="100"/>
          <w:kern w:val="0"/>
          <w:position w:val="0"/>
          <w:sz w:val="24"/>
          <w:szCs w:val="24"/>
          <w:highlight w:val="none"/>
          <w:u w:val="none"/>
          <w:lang w:val="en-US" w:eastAsia="zh-CN" w:bidi="ar-SA"/>
        </w:rPr>
        <w:t>6）因勘察错误而造成一般质量事故的，承包人除应免收受损失部分的勘察费外，承包人还应无偿继续完善勘察工作，并承担相当于直接损失部分的赔偿金。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bookmarkStart w:id="481" w:name="bookmark228"/>
      <w:r>
        <w:rPr>
          <w:rFonts w:hint="eastAsia" w:ascii="宋体" w:hAnsi="宋体" w:eastAsia="宋体" w:cs="宋体"/>
          <w:color w:val="auto"/>
          <w:spacing w:val="0"/>
          <w:w w:val="100"/>
          <w:kern w:val="0"/>
          <w:position w:val="0"/>
          <w:sz w:val="24"/>
          <w:szCs w:val="24"/>
          <w:highlight w:val="none"/>
          <w:u w:val="none"/>
          <w:lang w:val="en-US" w:eastAsia="zh-CN" w:bidi="ar-SA"/>
        </w:rPr>
        <w:t>（</w:t>
      </w:r>
      <w:bookmarkEnd w:id="481"/>
      <w:r>
        <w:rPr>
          <w:rFonts w:hint="eastAsia" w:ascii="宋体" w:hAnsi="宋体" w:eastAsia="宋体" w:cs="宋体"/>
          <w:color w:val="auto"/>
          <w:spacing w:val="0"/>
          <w:w w:val="100"/>
          <w:kern w:val="0"/>
          <w:position w:val="0"/>
          <w:sz w:val="24"/>
          <w:szCs w:val="24"/>
          <w:highlight w:val="none"/>
          <w:u w:val="none"/>
          <w:lang w:val="en-US" w:eastAsia="zh-CN" w:bidi="ar-SA"/>
        </w:rPr>
        <w:t>7）因勘察错误而造成重大质量事故的，除执行14.2.2（6）的规定外，还应赔</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偿由此造成的直接和间接损失，同时发包人有权报请有关主管部门视事故造成的损失情况给予其他处罚。</w:t>
      </w:r>
    </w:p>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17"/>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数据做假，导致</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结果不真实，</w:t>
      </w:r>
      <w:r>
        <w:rPr>
          <w:rFonts w:hint="eastAsia" w:ascii="宋体" w:hAnsi="宋体" w:eastAsia="宋体" w:cs="宋体"/>
          <w:color w:val="auto"/>
          <w:sz w:val="24"/>
          <w:highlight w:val="none"/>
          <w:lang w:val="en-US" w:eastAsia="zh-CN"/>
        </w:rPr>
        <w:t>发包人将上报主管单位，并</w:t>
      </w:r>
      <w:r>
        <w:rPr>
          <w:rFonts w:hint="eastAsia" w:ascii="宋体" w:hAnsi="宋体" w:eastAsia="宋体" w:cs="宋体"/>
          <w:color w:val="auto"/>
          <w:sz w:val="24"/>
          <w:highlight w:val="none"/>
        </w:rPr>
        <w:t>处</w:t>
      </w:r>
      <w:r>
        <w:rPr>
          <w:rFonts w:hint="eastAsia" w:ascii="宋体" w:hAnsi="宋体" w:eastAsia="宋体" w:cs="宋体"/>
          <w:color w:val="auto"/>
          <w:sz w:val="24"/>
          <w:highlight w:val="none"/>
          <w:lang w:eastAsia="zh-CN"/>
        </w:rPr>
        <w:t>签约合同价</w:t>
      </w:r>
      <w:r>
        <w:rPr>
          <w:rFonts w:hint="eastAsia" w:ascii="宋体" w:hAnsi="宋体" w:eastAsia="宋体" w:cs="宋体"/>
          <w:color w:val="auto"/>
          <w:sz w:val="24"/>
          <w:highlight w:val="none"/>
        </w:rPr>
        <w:t>的10%的违约金，</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终止或解除合同，清退并通报检测单位。</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z w:val="24"/>
          <w:szCs w:val="24"/>
          <w:highlight w:val="none"/>
        </w:rPr>
      </w:pPr>
      <w:bookmarkStart w:id="482" w:name="bookmark229"/>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w:t>
      </w:r>
      <w:bookmarkEnd w:id="482"/>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9）所有违约金、赔偿金在承包人勘察费中扣除，无法扣除或无法足额扣除的，发包人有权随时要求承包人进行赔偿。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事故或其他事故时的赔偿金上限：</w:t>
      </w:r>
      <w:r>
        <w:rPr>
          <w:rFonts w:hint="eastAsia" w:ascii="宋体" w:hAnsi="宋体" w:eastAsia="宋体" w:cs="宋体"/>
          <w:color w:val="auto"/>
          <w:kern w:val="0"/>
          <w:sz w:val="24"/>
          <w:szCs w:val="24"/>
          <w:highlight w:val="none"/>
          <w:u w:val="single"/>
          <w:lang w:eastAsia="zh-CN"/>
        </w:rPr>
        <w:t>签约合同价的</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发生其他违约情形应承担的违约责任：</w:t>
      </w:r>
      <w:r>
        <w:rPr>
          <w:rFonts w:hint="eastAsia" w:ascii="宋体" w:hAnsi="宋体" w:eastAsia="宋体" w:cs="宋体"/>
          <w:color w:val="auto"/>
          <w:kern w:val="0"/>
          <w:sz w:val="24"/>
          <w:szCs w:val="24"/>
          <w:highlight w:val="none"/>
          <w:lang w:eastAsia="zh-CN"/>
        </w:rPr>
        <w:t>承包人发生其他违约情形应承担的违约责任:按通用合同条款及工程所在地的地方性法规、自治条例、单行条例和地方政府规章等执行。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未按合同约定提供组织保证方面服务，影响履行职责的，发包人有权要求</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履行职责，或给予批评、警告、扣除</w:t>
      </w:r>
      <w:r>
        <w:rPr>
          <w:rFonts w:hint="eastAsia" w:ascii="宋体" w:hAnsi="宋体" w:eastAsia="宋体" w:cs="宋体"/>
          <w:snapToGrid w:val="0"/>
          <w:color w:val="auto"/>
          <w:sz w:val="24"/>
          <w:szCs w:val="24"/>
          <w:highlight w:val="none"/>
          <w:lang w:eastAsia="zh-CN"/>
        </w:rPr>
        <w:t>承包人勘察费</w:t>
      </w:r>
      <w:r>
        <w:rPr>
          <w:rFonts w:hint="eastAsia" w:ascii="宋体" w:hAnsi="宋体" w:eastAsia="宋体" w:cs="宋体"/>
          <w:snapToGrid w:val="0"/>
          <w:color w:val="auto"/>
          <w:sz w:val="24"/>
          <w:szCs w:val="24"/>
          <w:highlight w:val="none"/>
        </w:rPr>
        <w:t>、撤换人员的处罚，直至解除与责任单位的合同关系。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483" w:name="_Toc457826245"/>
      <w:bookmarkStart w:id="484" w:name="_Toc406150510"/>
      <w:r>
        <w:rPr>
          <w:rFonts w:hint="eastAsia" w:ascii="宋体" w:hAnsi="宋体" w:eastAsia="宋体" w:cs="宋体"/>
          <w:b/>
          <w:bCs/>
          <w:color w:val="auto"/>
          <w:kern w:val="2"/>
          <w:sz w:val="24"/>
          <w:szCs w:val="24"/>
          <w:highlight w:val="none"/>
          <w:lang w:val="en-US" w:eastAsia="zh-CN" w:bidi="ar-SA"/>
        </w:rPr>
        <w:t>第15条 索赔</w:t>
      </w:r>
      <w:bookmarkEnd w:id="48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bookmarkStart w:id="485" w:name="_Toc457826246"/>
      <w:r>
        <w:rPr>
          <w:rFonts w:hint="eastAsia" w:ascii="宋体" w:hAnsi="宋体" w:eastAsia="宋体" w:cs="宋体"/>
          <w:b/>
          <w:bCs/>
          <w:color w:val="auto"/>
          <w:kern w:val="0"/>
          <w:sz w:val="24"/>
          <w:szCs w:val="24"/>
          <w:highlight w:val="none"/>
          <w:lang w:val="en-US" w:eastAsia="zh-CN" w:bidi="ar-SA"/>
        </w:rPr>
        <w:t>15.1 发包人索赔</w:t>
      </w:r>
      <w:bookmarkEnd w:id="485"/>
    </w:p>
    <w:p>
      <w:pPr>
        <w:keepNext w:val="0"/>
        <w:keepLines w:val="0"/>
        <w:pageBreakBefore w:val="0"/>
        <w:widowControl w:val="0"/>
        <w:tabs>
          <w:tab w:val="left" w:pos="1260"/>
        </w:tabs>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bookmarkStart w:id="486" w:name="_Toc457826247"/>
      <w:r>
        <w:rPr>
          <w:rFonts w:hint="eastAsia" w:ascii="宋体" w:hAnsi="宋体" w:eastAsia="宋体" w:cs="宋体"/>
          <w:b/>
          <w:bCs/>
          <w:color w:val="auto"/>
          <w:kern w:val="0"/>
          <w:sz w:val="24"/>
          <w:szCs w:val="24"/>
          <w:highlight w:val="none"/>
          <w:lang w:val="en-US" w:eastAsia="zh-CN" w:bidi="ar-SA"/>
        </w:rPr>
        <w:t xml:space="preserve">15.2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索赔</w:t>
      </w:r>
      <w:bookmarkEnd w:id="486"/>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487" w:name="_Toc457826248"/>
      <w:r>
        <w:rPr>
          <w:rFonts w:hint="eastAsia" w:ascii="宋体" w:hAnsi="宋体" w:eastAsia="宋体" w:cs="宋体"/>
          <w:b/>
          <w:bCs/>
          <w:color w:val="auto"/>
          <w:kern w:val="2"/>
          <w:sz w:val="24"/>
          <w:szCs w:val="24"/>
          <w:highlight w:val="none"/>
          <w:lang w:val="en-US" w:eastAsia="zh-CN" w:bidi="ar-SA"/>
        </w:rPr>
        <w:t>第16条 争议解决</w:t>
      </w:r>
      <w:bookmarkEnd w:id="484"/>
      <w:bookmarkEnd w:id="487"/>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bookmarkStart w:id="488" w:name="_Toc406150511"/>
      <w:bookmarkStart w:id="489" w:name="_Toc457826249"/>
      <w:r>
        <w:rPr>
          <w:rFonts w:hint="eastAsia" w:ascii="宋体" w:hAnsi="宋体" w:eastAsia="宋体" w:cs="宋体"/>
          <w:b/>
          <w:bCs/>
          <w:color w:val="auto"/>
          <w:kern w:val="0"/>
          <w:sz w:val="24"/>
          <w:szCs w:val="24"/>
          <w:highlight w:val="none"/>
          <w:lang w:val="en-US" w:eastAsia="zh-CN" w:bidi="ar-SA"/>
        </w:rPr>
        <w:t>16.3 仲裁或诉讼</w:t>
      </w:r>
      <w:bookmarkEnd w:id="488"/>
      <w:bookmarkEnd w:id="489"/>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双方约定在履行合同过程中产生争议时，采取下列第</w:t>
      </w:r>
      <w:r>
        <w:rPr>
          <w:rFonts w:hint="eastAsia" w:ascii="宋体" w:hAnsi="宋体" w:eastAsia="宋体" w:cs="Times New Roman"/>
          <w:color w:val="auto"/>
          <w:sz w:val="24"/>
          <w:szCs w:val="24"/>
          <w:highlight w:val="none"/>
          <w:u w:val="single"/>
        </w:rPr>
        <w:t>（2）</w:t>
      </w:r>
      <w:r>
        <w:rPr>
          <w:rFonts w:hint="eastAsia" w:ascii="宋体" w:hAnsi="宋体" w:eastAsia="宋体" w:cs="宋体"/>
          <w:color w:val="auto"/>
          <w:kern w:val="0"/>
          <w:sz w:val="24"/>
          <w:szCs w:val="24"/>
          <w:highlight w:val="none"/>
        </w:rPr>
        <w:t>种方式解决：</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人民法院提起诉讼。</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bookmarkStart w:id="490" w:name="_Toc406150512"/>
      <w:bookmarkStart w:id="491" w:name="_Toc457826250"/>
      <w:r>
        <w:rPr>
          <w:rFonts w:hint="eastAsia" w:ascii="宋体" w:hAnsi="宋体" w:eastAsia="宋体" w:cs="宋体"/>
          <w:b/>
          <w:bCs/>
          <w:color w:val="auto"/>
          <w:kern w:val="2"/>
          <w:sz w:val="24"/>
          <w:szCs w:val="24"/>
          <w:highlight w:val="none"/>
          <w:lang w:val="en-US" w:eastAsia="zh-CN" w:bidi="ar-SA"/>
        </w:rPr>
        <w:t>第17条 补充条款</w:t>
      </w:r>
      <w:bookmarkEnd w:id="490"/>
      <w:bookmarkEnd w:id="491"/>
    </w:p>
    <w:p>
      <w:pPr>
        <w:tabs>
          <w:tab w:val="left" w:pos="126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双方根据有关法律法规规定，结合实际经协商一致，补充约定如下：</w:t>
      </w:r>
    </w:p>
    <w:p>
      <w:pPr>
        <w:adjustRightInd w:val="0"/>
        <w:snapToGrid w:val="0"/>
        <w:spacing w:line="360" w:lineRule="auto"/>
        <w:ind w:firstLine="420" w:firstLineChars="175"/>
        <w:rPr>
          <w:rFonts w:ascii="宋体" w:hAnsi="Times New Roman" w:eastAsia="宋体" w:cs="宋体"/>
          <w:color w:val="auto"/>
          <w:kern w:val="0"/>
          <w:sz w:val="24"/>
          <w:szCs w:val="24"/>
          <w:highlight w:val="none"/>
        </w:rPr>
      </w:pPr>
      <w:r>
        <w:rPr>
          <w:rFonts w:ascii="宋体" w:hAnsi="Times New Roman" w:eastAsia="宋体" w:cs="宋体"/>
          <w:color w:val="auto"/>
          <w:kern w:val="0"/>
          <w:sz w:val="24"/>
          <w:szCs w:val="24"/>
          <w:highlight w:val="none"/>
        </w:rPr>
        <w:t>1</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对本合同未尽事宜，本着以工程利益为重的原则，友好协商解决，由当事人及时协</w:t>
      </w:r>
      <w:r>
        <w:rPr>
          <w:rFonts w:hint="eastAsia" w:ascii="宋体" w:hAnsi="Times New Roman" w:eastAsia="宋体" w:cs="宋体"/>
          <w:color w:val="auto"/>
          <w:kern w:val="0"/>
          <w:sz w:val="24"/>
          <w:szCs w:val="24"/>
          <w:highlight w:val="none"/>
        </w:rPr>
        <w:t>商签署补充协议。合同双方签署的有关协议、技术讨论纪要等文件均为本合同的组成部分，与本合同具有同等效力。</w:t>
      </w:r>
    </w:p>
    <w:p>
      <w:pPr>
        <w:adjustRightInd w:val="0"/>
        <w:snapToGrid w:val="0"/>
        <w:spacing w:line="360" w:lineRule="auto"/>
        <w:ind w:firstLine="420" w:firstLineChars="175"/>
        <w:rPr>
          <w:rFonts w:ascii="宋体" w:hAnsi="Times New Roman" w:eastAsia="宋体" w:cs="宋体"/>
          <w:color w:val="auto"/>
          <w:kern w:val="0"/>
          <w:sz w:val="30"/>
          <w:szCs w:val="30"/>
          <w:highlight w:val="none"/>
        </w:rPr>
      </w:pPr>
      <w:r>
        <w:rPr>
          <w:rFonts w:hint="eastAsia"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lang w:eastAsia="zh-CN"/>
        </w:rPr>
        <w:t>、</w:t>
      </w:r>
      <w:r>
        <w:rPr>
          <w:rFonts w:ascii="宋体" w:hAnsi="Times New Roman" w:eastAsia="宋体" w:cs="宋体"/>
          <w:color w:val="auto"/>
          <w:kern w:val="0"/>
          <w:sz w:val="24"/>
          <w:szCs w:val="24"/>
          <w:highlight w:val="none"/>
        </w:rPr>
        <w:t>在本合同执行过程中若发生分歧或争议，按合同约定及《中华人民共和国</w:t>
      </w:r>
      <w:r>
        <w:rPr>
          <w:rFonts w:hint="eastAsia" w:ascii="宋体" w:hAnsi="Times New Roman" w:eastAsia="宋体" w:cs="宋体"/>
          <w:color w:val="auto"/>
          <w:kern w:val="0"/>
          <w:sz w:val="24"/>
          <w:szCs w:val="24"/>
          <w:highlight w:val="none"/>
          <w:lang w:eastAsia="zh-CN"/>
        </w:rPr>
        <w:t>民法典</w:t>
      </w:r>
      <w:r>
        <w:rPr>
          <w:rFonts w:ascii="宋体" w:hAnsi="Times New Roman" w:eastAsia="宋体" w:cs="宋体"/>
          <w:color w:val="auto"/>
          <w:kern w:val="0"/>
          <w:sz w:val="24"/>
          <w:szCs w:val="24"/>
          <w:highlight w:val="none"/>
        </w:rPr>
        <w:t>》、《建设工程勘察设计合同条例》的有关规定通过协商及时解决；如果协商不成，可以向</w:t>
      </w:r>
      <w:r>
        <w:rPr>
          <w:rFonts w:hint="eastAsia" w:ascii="宋体" w:hAnsi="Times New Roman" w:eastAsia="宋体" w:cs="宋体"/>
          <w:color w:val="auto"/>
          <w:kern w:val="0"/>
          <w:sz w:val="24"/>
          <w:szCs w:val="24"/>
          <w:highlight w:val="none"/>
          <w:lang w:eastAsia="zh-CN"/>
        </w:rPr>
        <w:t>工程</w:t>
      </w:r>
      <w:r>
        <w:rPr>
          <w:rFonts w:ascii="宋体" w:hAnsi="Times New Roman" w:eastAsia="宋体" w:cs="宋体"/>
          <w:color w:val="auto"/>
          <w:kern w:val="0"/>
          <w:sz w:val="24"/>
          <w:szCs w:val="24"/>
          <w:highlight w:val="none"/>
        </w:rPr>
        <w:t>所在地法院起诉</w:t>
      </w:r>
      <w:r>
        <w:rPr>
          <w:rFonts w:hint="eastAsia" w:ascii="宋体" w:hAnsi="Times New Roman"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kern w:val="0"/>
          <w:sz w:val="28"/>
          <w:szCs w:val="28"/>
          <w:highlight w:val="none"/>
        </w:rPr>
        <w:sectPr>
          <w:pgSz w:w="11906" w:h="16838"/>
          <w:pgMar w:top="1440" w:right="1797" w:bottom="1440" w:left="1797" w:header="851" w:footer="992" w:gutter="0"/>
          <w:cols w:space="720" w:num="1"/>
          <w:titlePg/>
          <w:docGrid w:type="lines" w:linePitch="312" w:charSpace="0"/>
        </w:sectPr>
      </w:pPr>
    </w:p>
    <w:p>
      <w:pPr>
        <w:spacing w:before="100" w:beforeLines="0" w:beforeAutospacing="1" w:after="100" w:afterLines="0" w:afterAutospacing="1" w:line="280" w:lineRule="atLeast"/>
        <w:jc w:val="left"/>
        <w:rPr>
          <w:rFonts w:hint="default" w:ascii="Times New Roman" w:hAnsi="Times New Roman" w:eastAsia="宋体" w:cs="Times New Roman"/>
          <w:color w:val="auto"/>
          <w:kern w:val="0"/>
          <w:sz w:val="30"/>
          <w:szCs w:val="28"/>
          <w:highlight w:val="none"/>
        </w:rPr>
      </w:pPr>
      <w:r>
        <w:rPr>
          <w:rFonts w:hint="default" w:ascii="Times New Roman" w:hAnsi="Times New Roman" w:eastAsia="宋体" w:cs="Times New Roman"/>
          <w:color w:val="auto"/>
          <w:kern w:val="0"/>
          <w:sz w:val="32"/>
          <w:szCs w:val="28"/>
          <w:highlight w:val="none"/>
        </w:rPr>
        <w:t>GF—2016—</w:t>
      </w:r>
      <w:r>
        <w:rPr>
          <w:rFonts w:hint="default" w:ascii="Times New Roman" w:hAnsi="Times New Roman" w:eastAsia="宋体" w:cs="Times New Roman"/>
          <w:color w:val="auto"/>
          <w:kern w:val="0"/>
          <w:sz w:val="32"/>
          <w:szCs w:val="28"/>
          <w:highlight w:val="none"/>
          <w:lang w:val="en-US" w:eastAsia="zh-CN"/>
        </w:rPr>
        <w:t>0203</w:t>
      </w:r>
    </w:p>
    <w:p>
      <w:pPr>
        <w:spacing w:before="100" w:beforeLines="0" w:beforeAutospacing="1" w:after="100" w:afterLines="0" w:afterAutospacing="1" w:line="280" w:lineRule="atLeast"/>
        <w:jc w:val="right"/>
        <w:rPr>
          <w:rFonts w:ascii="宋体" w:hAnsi="Times New Roman" w:eastAsia="宋体" w:cs="宋体"/>
          <w:b/>
          <w:bCs/>
          <w:color w:val="auto"/>
          <w:kern w:val="0"/>
          <w:sz w:val="28"/>
          <w:szCs w:val="28"/>
          <w:highlight w:val="none"/>
          <w:u w:val="single"/>
        </w:rPr>
      </w:pPr>
      <w:r>
        <w:rPr>
          <w:rFonts w:hint="eastAsia" w:ascii="宋体" w:hAnsi="宋体" w:eastAsia="宋体" w:cs="宋体"/>
          <w:b/>
          <w:bCs/>
          <w:color w:val="auto"/>
          <w:kern w:val="0"/>
          <w:sz w:val="32"/>
          <w:szCs w:val="28"/>
          <w:highlight w:val="none"/>
          <w:lang w:val="en-US" w:eastAsia="zh-CN"/>
        </w:rPr>
        <w:t xml:space="preserve">                 </w:t>
      </w:r>
      <w:r>
        <w:rPr>
          <w:rFonts w:hint="eastAsia" w:ascii="宋体" w:hAnsi="宋体" w:eastAsia="宋体" w:cs="宋体"/>
          <w:b/>
          <w:bCs/>
          <w:color w:val="auto"/>
          <w:kern w:val="0"/>
          <w:sz w:val="32"/>
          <w:szCs w:val="28"/>
          <w:highlight w:val="none"/>
        </w:rPr>
        <w:t>合同编号：</w:t>
      </w:r>
      <w:r>
        <w:rPr>
          <w:rFonts w:hint="eastAsia" w:ascii="宋体" w:hAnsi="宋体" w:eastAsia="宋体" w:cs="宋体"/>
          <w:b/>
          <w:bCs/>
          <w:color w:val="auto"/>
          <w:kern w:val="0"/>
          <w:sz w:val="32"/>
          <w:szCs w:val="28"/>
          <w:highlight w:val="none"/>
          <w:lang w:val="en-US" w:eastAsia="zh-CN"/>
        </w:rPr>
        <w:t>佛机场建kc-2022-</w:t>
      </w:r>
    </w:p>
    <w:p>
      <w:pPr>
        <w:spacing w:before="100" w:beforeLines="0" w:beforeAutospacing="1" w:after="100" w:afterLines="0" w:afterAutospacing="1" w:line="280" w:lineRule="atLeast"/>
        <w:jc w:val="both"/>
        <w:rPr>
          <w:rFonts w:ascii="宋体" w:hAnsi="Times New Roman" w:eastAsia="宋体" w:cs="宋体"/>
          <w:b/>
          <w:bCs/>
          <w:color w:val="auto"/>
          <w:spacing w:val="30"/>
          <w:kern w:val="0"/>
          <w:sz w:val="44"/>
          <w:szCs w:val="44"/>
          <w:highlight w:val="none"/>
        </w:rPr>
      </w:pPr>
    </w:p>
    <w:p>
      <w:pPr>
        <w:adjustRightInd w:val="0"/>
        <w:snapToGrid w:val="0"/>
        <w:spacing w:before="100" w:beforeLines="0" w:beforeAutospacing="1" w:after="100" w:afterLines="0" w:afterAutospacing="1"/>
        <w:jc w:val="center"/>
        <w:rPr>
          <w:rFonts w:ascii="方正小标宋简体" w:hAnsi="方正小标宋简体" w:eastAsia="方正小标宋简体" w:cs="宋体"/>
          <w:color w:val="auto"/>
          <w:kern w:val="0"/>
          <w:sz w:val="72"/>
          <w:szCs w:val="44"/>
          <w:highlight w:val="none"/>
        </w:rPr>
      </w:pPr>
      <w:r>
        <w:rPr>
          <w:rFonts w:hint="eastAsia" w:ascii="方正小标宋简体" w:hAnsi="方正小标宋简体" w:eastAsia="方正小标宋简体" w:cs="宋体"/>
          <w:color w:val="auto"/>
          <w:kern w:val="0"/>
          <w:sz w:val="72"/>
          <w:szCs w:val="44"/>
          <w:highlight w:val="none"/>
        </w:rPr>
        <w:t>建设工程勘察合同</w:t>
      </w:r>
    </w:p>
    <w:p>
      <w:pPr>
        <w:spacing w:line="600" w:lineRule="exact"/>
        <w:rPr>
          <w:rFonts w:hint="eastAsia" w:ascii="新宋体" w:hAnsi="新宋体" w:eastAsia="新宋体" w:cs="Times New Roman"/>
          <w:color w:val="auto"/>
          <w:sz w:val="28"/>
          <w:szCs w:val="28"/>
          <w:highlight w:val="none"/>
        </w:rPr>
      </w:pPr>
    </w:p>
    <w:p>
      <w:pPr>
        <w:widowControl w:val="0"/>
        <w:spacing w:after="120" w:afterLines="0"/>
        <w:ind w:firstLine="210" w:firstLineChars="100"/>
        <w:jc w:val="both"/>
        <w:rPr>
          <w:rFonts w:hint="eastAsia" w:ascii="Times New Roman" w:hAnsi="Times New Roman" w:eastAsia="宋体" w:cs="Times New Roman"/>
          <w:kern w:val="2"/>
          <w:sz w:val="21"/>
          <w:szCs w:val="24"/>
          <w:highlight w:val="none"/>
          <w:lang w:val="en-US" w:eastAsia="zh-CN" w:bidi="ar-SA"/>
        </w:rPr>
      </w:pPr>
    </w:p>
    <w:p>
      <w:pPr>
        <w:widowControl w:val="0"/>
        <w:spacing w:after="120" w:afterLines="0"/>
        <w:ind w:firstLine="210" w:firstLineChars="100"/>
        <w:jc w:val="both"/>
        <w:rPr>
          <w:rFonts w:hint="eastAsia" w:ascii="Times New Roman" w:hAnsi="Times New Roman" w:eastAsia="宋体" w:cs="Times New Roman"/>
          <w:kern w:val="2"/>
          <w:sz w:val="21"/>
          <w:szCs w:val="24"/>
          <w:highlight w:val="none"/>
          <w:lang w:val="en-US" w:eastAsia="zh-CN" w:bidi="ar-SA"/>
        </w:rPr>
      </w:pPr>
    </w:p>
    <w:p>
      <w:pPr>
        <w:spacing w:line="600" w:lineRule="exact"/>
        <w:ind w:left="1680" w:leftChars="0" w:hanging="1680" w:hangingChars="600"/>
        <w:rPr>
          <w:rFonts w:hint="eastAsia" w:ascii="新宋体" w:hAnsi="新宋体" w:eastAsia="新宋体" w:cs="Times New Roman"/>
          <w:color w:val="auto"/>
          <w:sz w:val="28"/>
          <w:szCs w:val="28"/>
          <w:highlight w:val="none"/>
          <w:u w:val="single"/>
          <w:lang w:val="en-US" w:eastAsia="zh-CN"/>
        </w:rPr>
      </w:pPr>
      <w:r>
        <w:rPr>
          <w:rFonts w:hint="eastAsia" w:ascii="新宋体" w:hAnsi="新宋体" w:eastAsia="新宋体" w:cs="Times New Roman"/>
          <w:color w:val="auto"/>
          <w:sz w:val="28"/>
          <w:szCs w:val="28"/>
          <w:highlight w:val="none"/>
          <w:lang w:val="en-US" w:eastAsia="zh-CN"/>
        </w:rPr>
        <w:t xml:space="preserve">   </w:t>
      </w:r>
      <w:r>
        <w:rPr>
          <w:rFonts w:hint="eastAsia" w:ascii="新宋体" w:hAnsi="新宋体" w:eastAsia="新宋体" w:cs="Times New Roman"/>
          <w:color w:val="auto"/>
          <w:sz w:val="28"/>
          <w:szCs w:val="28"/>
          <w:highlight w:val="none"/>
        </w:rPr>
        <w:t>工程名称：</w:t>
      </w:r>
      <w:r>
        <w:rPr>
          <w:rFonts w:hint="eastAsia" w:ascii="新宋体" w:hAnsi="新宋体" w:eastAsia="新宋体" w:cs="Times New Roman"/>
          <w:color w:val="auto"/>
          <w:sz w:val="28"/>
          <w:szCs w:val="28"/>
          <w:highlight w:val="none"/>
          <w:u w:val="single"/>
          <w:lang w:val="en-US" w:eastAsia="zh-CN"/>
        </w:rPr>
        <w:t>珠三角枢纽（广州新）机场可行性研究阶段勘察服务项目</w:t>
      </w:r>
    </w:p>
    <w:p>
      <w:pPr>
        <w:widowControl/>
        <w:ind w:firstLine="560" w:firstLineChars="200"/>
        <w:rPr>
          <w:rFonts w:hint="eastAsia" w:ascii="新宋体" w:hAnsi="新宋体" w:eastAsia="新宋体"/>
          <w:color w:val="auto"/>
          <w:sz w:val="28"/>
          <w:szCs w:val="28"/>
          <w:highlight w:val="none"/>
          <w:lang w:eastAsia="zh-CN"/>
        </w:rPr>
      </w:pPr>
      <w:r>
        <w:rPr>
          <w:rFonts w:hint="eastAsia" w:ascii="新宋体" w:hAnsi="新宋体" w:eastAsia="新宋体"/>
          <w:color w:val="auto"/>
          <w:sz w:val="28"/>
          <w:szCs w:val="28"/>
          <w:highlight w:val="none"/>
          <w:lang w:eastAsia="zh-CN"/>
        </w:rPr>
        <w:t>包组号：</w:t>
      </w:r>
      <w:r>
        <w:rPr>
          <w:rFonts w:hint="eastAsia" w:ascii="新宋体" w:hAnsi="新宋体" w:eastAsia="新宋体"/>
          <w:color w:val="auto"/>
          <w:sz w:val="28"/>
          <w:szCs w:val="28"/>
          <w:highlight w:val="none"/>
          <w:u w:val="single"/>
          <w:lang w:val="en-US" w:eastAsia="zh-CN"/>
        </w:rPr>
        <w:t>包组二</w:t>
      </w:r>
    </w:p>
    <w:p>
      <w:pPr>
        <w:widowControl/>
        <w:ind w:firstLine="560" w:firstLineChars="200"/>
        <w:rPr>
          <w:rFonts w:hint="eastAsia" w:ascii="新宋体" w:hAnsi="新宋体" w:eastAsia="新宋体" w:cs="Times New Roman"/>
          <w:color w:val="auto"/>
          <w:sz w:val="28"/>
          <w:szCs w:val="28"/>
          <w:highlight w:val="none"/>
          <w:lang w:eastAsia="zh-CN"/>
        </w:rPr>
      </w:pPr>
      <w:r>
        <w:rPr>
          <w:rFonts w:hint="eastAsia" w:ascii="新宋体" w:hAnsi="新宋体" w:eastAsia="新宋体" w:cs="Times New Roman"/>
          <w:color w:val="auto"/>
          <w:sz w:val="28"/>
          <w:szCs w:val="28"/>
          <w:highlight w:val="none"/>
        </w:rPr>
        <w:t>发包人：</w:t>
      </w:r>
      <w:r>
        <w:rPr>
          <w:rFonts w:hint="eastAsia" w:ascii="新宋体" w:hAnsi="新宋体" w:eastAsia="新宋体" w:cs="Times New Roman"/>
          <w:color w:val="auto"/>
          <w:sz w:val="28"/>
          <w:szCs w:val="28"/>
          <w:highlight w:val="none"/>
          <w:u w:val="single"/>
          <w:lang w:eastAsia="zh-CN"/>
        </w:rPr>
        <w:t>佛山市机场建设开发有限公司</w:t>
      </w:r>
    </w:p>
    <w:p>
      <w:pPr>
        <w:widowControl/>
        <w:ind w:firstLine="560" w:firstLineChars="200"/>
        <w:rPr>
          <w:rFonts w:hint="eastAsia"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highlight w:val="none"/>
          <w:u w:val="none"/>
          <w:lang w:eastAsia="zh-CN"/>
        </w:rPr>
        <w:t>承包人：</w:t>
      </w:r>
      <w:r>
        <w:rPr>
          <w:rFonts w:hint="eastAsia" w:ascii="新宋体" w:hAnsi="新宋体" w:eastAsia="新宋体" w:cs="Times New Roman"/>
          <w:color w:val="auto"/>
          <w:sz w:val="28"/>
          <w:szCs w:val="28"/>
          <w:highlight w:val="none"/>
          <w:u w:val="single"/>
        </w:rPr>
        <w:t xml:space="preserve">                            </w:t>
      </w:r>
    </w:p>
    <w:p>
      <w:pPr>
        <w:widowControl/>
        <w:spacing w:before="0" w:beforeLines="0" w:beforeAutospacing="0" w:after="0" w:afterLines="0" w:afterAutospacing="0" w:line="240" w:lineRule="auto"/>
        <w:ind w:firstLine="560" w:firstLineChars="200"/>
        <w:jc w:val="left"/>
        <w:rPr>
          <w:rFonts w:hint="eastAsia" w:ascii="新宋体" w:hAnsi="新宋体" w:eastAsia="新宋体" w:cs="Times New Roman"/>
          <w:color w:val="auto"/>
          <w:sz w:val="28"/>
          <w:szCs w:val="28"/>
          <w:highlight w:val="none"/>
          <w:u w:val="single"/>
        </w:rPr>
      </w:pPr>
      <w:r>
        <w:rPr>
          <w:rFonts w:hint="eastAsia" w:ascii="新宋体" w:hAnsi="新宋体" w:eastAsia="新宋体" w:cs="Times New Roman"/>
          <w:color w:val="auto"/>
          <w:sz w:val="28"/>
          <w:szCs w:val="28"/>
          <w:highlight w:val="none"/>
        </w:rPr>
        <w:t>签订日期：</w:t>
      </w:r>
      <w:r>
        <w:rPr>
          <w:rFonts w:hint="eastAsia" w:ascii="新宋体" w:hAnsi="新宋体" w:eastAsia="新宋体" w:cs="Times New Roman"/>
          <w:color w:val="auto"/>
          <w:sz w:val="28"/>
          <w:szCs w:val="28"/>
          <w:highlight w:val="none"/>
          <w:u w:val="single"/>
        </w:rPr>
        <w:t xml:space="preserve">                           </w:t>
      </w: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firstLine="280" w:firstLineChars="100"/>
        <w:jc w:val="both"/>
        <w:rPr>
          <w:rFonts w:hint="eastAsia" w:ascii="新宋体" w:hAnsi="新宋体" w:eastAsia="新宋体" w:cs="Times New Roman"/>
          <w:color w:val="auto"/>
          <w:kern w:val="2"/>
          <w:sz w:val="28"/>
          <w:szCs w:val="28"/>
          <w:highlight w:val="none"/>
          <w:u w:val="single"/>
          <w:lang w:val="en-US" w:eastAsia="zh-CN" w:bidi="ar-SA"/>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5"/>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hAnsi="Times New Roman" w:eastAsia="宋体" w:cs="宋体"/>
                <w:b/>
                <w:color w:val="auto"/>
                <w:spacing w:val="40"/>
                <w:sz w:val="32"/>
                <w:szCs w:val="30"/>
                <w:highlight w:val="none"/>
              </w:rPr>
            </w:pPr>
            <w:r>
              <w:rPr>
                <w:rFonts w:hint="eastAsia" w:ascii="宋体" w:hAnsi="宋体" w:eastAsia="宋体" w:cs="宋体"/>
                <w:b/>
                <w:color w:val="auto"/>
                <w:spacing w:val="40"/>
                <w:sz w:val="32"/>
                <w:szCs w:val="30"/>
                <w:highlight w:val="none"/>
              </w:rPr>
              <w:t>住房和城乡建设部</w:t>
            </w:r>
          </w:p>
        </w:tc>
        <w:tc>
          <w:tcPr>
            <w:tcW w:w="977" w:type="dxa"/>
            <w:vMerge w:val="restart"/>
            <w:noWrap w:val="0"/>
            <w:vAlign w:val="center"/>
          </w:tcPr>
          <w:p>
            <w:pPr>
              <w:spacing w:before="100" w:beforeLines="0" w:beforeAutospacing="1" w:after="100" w:afterLines="0" w:afterAutospacing="1" w:line="280" w:lineRule="atLeast"/>
              <w:rPr>
                <w:rFonts w:ascii="宋体" w:hAnsi="Times New Roman" w:eastAsia="宋体" w:cs="宋体"/>
                <w:b/>
                <w:color w:val="auto"/>
                <w:sz w:val="32"/>
                <w:szCs w:val="30"/>
                <w:highlight w:val="none"/>
              </w:rPr>
            </w:pPr>
            <w:r>
              <w:rPr>
                <w:rFonts w:hint="eastAsia" w:ascii="宋体" w:hAnsi="宋体" w:eastAsia="宋体" w:cs="宋体"/>
                <w:b/>
                <w:color w:val="auto"/>
                <w:sz w:val="32"/>
                <w:szCs w:val="30"/>
                <w:highlight w:val="none"/>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hAnsi="Times New Roman" w:eastAsia="宋体" w:cs="宋体"/>
                <w:b/>
                <w:color w:val="auto"/>
                <w:sz w:val="32"/>
                <w:szCs w:val="30"/>
                <w:highlight w:val="none"/>
              </w:rPr>
            </w:pPr>
            <w:r>
              <w:rPr>
                <w:rFonts w:hint="eastAsia" w:ascii="宋体" w:hAnsi="宋体" w:eastAsia="宋体" w:cs="宋体"/>
                <w:b/>
                <w:color w:val="auto"/>
                <w:sz w:val="32"/>
                <w:szCs w:val="30"/>
                <w:highlight w:val="none"/>
              </w:rPr>
              <w:t>国家工商行政管理总局</w:t>
            </w:r>
          </w:p>
        </w:tc>
        <w:tc>
          <w:tcPr>
            <w:tcW w:w="977" w:type="dxa"/>
            <w:vMerge w:val="continue"/>
            <w:noWrap w:val="0"/>
            <w:vAlign w:val="center"/>
          </w:tcPr>
          <w:p>
            <w:pPr>
              <w:spacing w:before="100" w:beforeLines="0" w:beforeAutospacing="1" w:after="100" w:afterLines="0" w:afterAutospacing="1" w:line="280" w:lineRule="atLeast"/>
              <w:rPr>
                <w:rFonts w:ascii="宋体" w:hAnsi="Times New Roman" w:eastAsia="宋体" w:cs="宋体"/>
                <w:bCs/>
                <w:color w:val="auto"/>
                <w:kern w:val="0"/>
                <w:sz w:val="32"/>
                <w:szCs w:val="28"/>
                <w:highlight w:val="none"/>
              </w:rPr>
            </w:pPr>
          </w:p>
        </w:tc>
      </w:tr>
    </w:tbl>
    <w:p>
      <w:pPr>
        <w:widowControl w:val="0"/>
        <w:spacing w:after="120" w:afterLines="0"/>
        <w:ind w:firstLine="260" w:firstLineChars="100"/>
        <w:jc w:val="both"/>
        <w:rPr>
          <w:rFonts w:ascii="宋体" w:hAnsi="Times New Roman" w:eastAsia="宋体" w:cs="宋体"/>
          <w:bCs/>
          <w:color w:val="auto"/>
          <w:kern w:val="0"/>
          <w:sz w:val="26"/>
          <w:szCs w:val="28"/>
          <w:highlight w:val="none"/>
          <w:lang w:val="en-US" w:eastAsia="zh-CN" w:bidi="ar-SA"/>
        </w:rPr>
      </w:pPr>
    </w:p>
    <w:p>
      <w:pPr>
        <w:tabs>
          <w:tab w:val="left" w:pos="2580"/>
          <w:tab w:val="center" w:pos="5121"/>
        </w:tabs>
        <w:snapToGrid w:val="0"/>
        <w:spacing w:line="360" w:lineRule="auto"/>
        <w:jc w:val="center"/>
        <w:outlineLvl w:val="0"/>
        <w:rPr>
          <w:rFonts w:hint="eastAsia" w:ascii="宋体" w:hAnsi="宋体" w:eastAsia="宋体" w:cs="宋体"/>
          <w:b/>
          <w:bCs/>
          <w:color w:val="auto"/>
          <w:kern w:val="0"/>
          <w:sz w:val="32"/>
          <w:szCs w:val="32"/>
          <w:highlight w:val="none"/>
        </w:rPr>
      </w:pPr>
      <w:bookmarkStart w:id="492" w:name="_Toc27750"/>
      <w:r>
        <w:rPr>
          <w:rFonts w:hint="eastAsia" w:ascii="宋体" w:hAnsi="宋体" w:eastAsia="宋体" w:cs="宋体"/>
          <w:b/>
          <w:bCs/>
          <w:color w:val="auto"/>
          <w:kern w:val="0"/>
          <w:sz w:val="32"/>
          <w:szCs w:val="32"/>
          <w:highlight w:val="none"/>
        </w:rPr>
        <w:t>第一部分　合同协议书</w:t>
      </w:r>
      <w:bookmarkEnd w:id="492"/>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lang w:eastAsia="zh-CN"/>
        </w:rPr>
        <w:t>佛山市机场建设开发有限公司</w:t>
      </w:r>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承包人</w:t>
      </w:r>
      <w:r>
        <w:rPr>
          <w:rFonts w:hint="eastAsia" w:ascii="宋体" w:hAnsi="宋体" w:eastAsia="宋体" w:cs="宋体"/>
          <w:b/>
          <w:color w:val="auto"/>
          <w:kern w:val="0"/>
          <w:sz w:val="24"/>
          <w:szCs w:val="24"/>
          <w:highlight w:val="none"/>
        </w:rPr>
        <w:t>（全称）：_____________________________</w:t>
      </w:r>
    </w:p>
    <w:p>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highlight w:val="none"/>
          <w:u w:val="single"/>
          <w:lang w:eastAsia="zh-CN"/>
        </w:rPr>
        <w:t>佛山市机场建设开发有限公司</w:t>
      </w:r>
      <w:r>
        <w:rPr>
          <w:rFonts w:hint="eastAsia" w:ascii="宋体" w:hAnsi="宋体" w:eastAsia="宋体" w:cs="Times New Roman"/>
          <w:color w:val="auto"/>
          <w:sz w:val="24"/>
          <w:highlight w:val="none"/>
        </w:rPr>
        <w:t>（以下简称发包人）通过公开招标，确定</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承包人</w:t>
      </w:r>
      <w:r>
        <w:rPr>
          <w:rFonts w:hint="eastAsia" w:ascii="宋体" w:hAnsi="宋体" w:eastAsia="宋体" w:cs="Times New Roman"/>
          <w:color w:val="auto"/>
          <w:sz w:val="24"/>
          <w:highlight w:val="none"/>
        </w:rPr>
        <w:t>）为</w:t>
      </w:r>
      <w:r>
        <w:rPr>
          <w:rFonts w:hint="eastAsia" w:ascii="宋体" w:hAnsi="宋体" w:eastAsia="宋体" w:cs="Times New Roman"/>
          <w:color w:val="auto"/>
          <w:sz w:val="24"/>
          <w:highlight w:val="none"/>
          <w:lang w:eastAsia="zh-CN"/>
        </w:rPr>
        <w:t>珠</w:t>
      </w:r>
      <w:r>
        <w:rPr>
          <w:rFonts w:hint="eastAsia" w:ascii="宋体" w:hAnsi="宋体" w:eastAsia="宋体" w:cs="Times New Roman"/>
          <w:color w:val="auto"/>
          <w:sz w:val="24"/>
          <w:highlight w:val="none"/>
          <w:u w:val="single"/>
          <w:lang w:eastAsia="zh-CN"/>
        </w:rPr>
        <w:t>三角枢纽（广州新）机场可行性研究阶段勘察服务项目（包组二）</w:t>
      </w:r>
      <w:r>
        <w:rPr>
          <w:rFonts w:hint="eastAsia" w:ascii="宋体" w:hAnsi="宋体" w:eastAsia="宋体" w:cs="宋体"/>
          <w:color w:val="auto"/>
          <w:sz w:val="24"/>
          <w:highlight w:val="none"/>
        </w:rPr>
        <w:t>的实施单位。</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民法典</w:t>
      </w:r>
      <w:r>
        <w:rPr>
          <w:rFonts w:hint="eastAsia" w:ascii="宋体" w:hAnsi="宋体" w:eastAsia="宋体" w:cs="宋体"/>
          <w:color w:val="auto"/>
          <w:kern w:val="0"/>
          <w:sz w:val="24"/>
          <w:szCs w:val="24"/>
          <w:highlight w:val="none"/>
        </w:rPr>
        <w:t>》、《中华人民共和国建筑法》、</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kern w:val="0"/>
          <w:sz w:val="24"/>
          <w:szCs w:val="24"/>
          <w:highlight w:val="none"/>
        </w:rPr>
        <w:t>等相关法律法规的规定，遵循平等、自愿、公平和诚实信用的原则，双方就</w:t>
      </w:r>
      <w:r>
        <w:rPr>
          <w:rFonts w:hint="eastAsia" w:ascii="宋体" w:hAnsi="宋体" w:eastAsia="宋体" w:cs="宋体"/>
          <w:color w:val="auto"/>
          <w:kern w:val="0"/>
          <w:sz w:val="24"/>
          <w:szCs w:val="24"/>
          <w:highlight w:val="none"/>
          <w:u w:val="single"/>
          <w:lang w:eastAsia="zh-CN"/>
        </w:rPr>
        <w:t>本项目包组二</w:t>
      </w:r>
      <w:r>
        <w:rPr>
          <w:rFonts w:hint="eastAsia" w:ascii="宋体" w:hAnsi="宋体" w:eastAsia="宋体" w:cs="宋体"/>
          <w:color w:val="auto"/>
          <w:kern w:val="0"/>
          <w:sz w:val="24"/>
          <w:szCs w:val="24"/>
          <w:highlight w:val="none"/>
        </w:rPr>
        <w:t>有关事项协商一致，达成如下协议。</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1.工程名称：</w:t>
      </w:r>
      <w:r>
        <w:rPr>
          <w:rFonts w:hint="eastAsia" w:ascii="宋体" w:hAnsi="宋体" w:eastAsia="宋体" w:cs="宋体"/>
          <w:color w:val="auto"/>
          <w:kern w:val="0"/>
          <w:sz w:val="24"/>
          <w:szCs w:val="24"/>
          <w:highlight w:val="none"/>
          <w:u w:val="single"/>
          <w:lang w:val="en-US" w:eastAsia="zh-CN"/>
        </w:rPr>
        <w:t>珠三角枢纽（广州新）机场可行性研究阶段勘察服务项目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2.工程地点：</w:t>
      </w:r>
      <w:r>
        <w:rPr>
          <w:rFonts w:hint="eastAsia" w:ascii="Times New Roman" w:hAnsi="宋体" w:eastAsia="宋体" w:cs="仿宋_GB2312"/>
          <w:color w:val="auto"/>
          <w:sz w:val="24"/>
          <w:szCs w:val="24"/>
          <w:highlight w:val="none"/>
          <w:u w:val="single"/>
          <w:lang w:eastAsia="zh-CN"/>
        </w:rPr>
        <w:t>佛山更合镇东北部、肇庆市蛟塘镇西侧</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3.工程规模、特征：</w:t>
      </w:r>
      <w:r>
        <w:rPr>
          <w:rFonts w:hint="eastAsia" w:ascii="宋体" w:hAnsi="宋体" w:eastAsia="宋体" w:cs="宋体"/>
          <w:color w:val="auto"/>
          <w:kern w:val="0"/>
          <w:sz w:val="24"/>
          <w:szCs w:val="24"/>
          <w:highlight w:val="none"/>
          <w:u w:val="single"/>
          <w:lang w:eastAsia="zh-CN"/>
        </w:rPr>
        <w:t>详见“</w:t>
      </w:r>
      <w:r>
        <w:rPr>
          <w:rFonts w:hint="eastAsia" w:ascii="宋体" w:hAnsi="宋体" w:eastAsia="宋体" w:cs="宋体"/>
          <w:color w:val="auto"/>
          <w:kern w:val="0"/>
          <w:sz w:val="24"/>
          <w:szCs w:val="24"/>
          <w:highlight w:val="none"/>
          <w:u w:val="single"/>
          <w:lang w:val="en-US" w:eastAsia="zh-CN"/>
        </w:rPr>
        <w:t>珠三角枢纽（广州新）机场可行性研究阶段勘察服务项目</w:t>
      </w:r>
      <w:r>
        <w:rPr>
          <w:rFonts w:hint="eastAsia" w:ascii="宋体" w:hAnsi="宋体" w:eastAsia="宋体" w:cs="宋体"/>
          <w:color w:val="auto"/>
          <w:kern w:val="0"/>
          <w:sz w:val="24"/>
          <w:szCs w:val="24"/>
          <w:highlight w:val="none"/>
          <w:u w:val="single"/>
          <w:lang w:eastAsia="zh-CN"/>
        </w:rPr>
        <w:t>包组二技术条款”</w:t>
      </w:r>
      <w:r>
        <w:rPr>
          <w:rFonts w:hint="eastAsia" w:ascii="宋体" w:hAnsi="宋体" w:eastAsia="宋体" w:cs="宋体"/>
          <w:color w:val="auto"/>
          <w:kern w:val="0"/>
          <w:sz w:val="24"/>
          <w:szCs w:val="24"/>
          <w:highlight w:val="none"/>
          <w:u w:val="single"/>
          <w:lang w:val="en-US" w:eastAsia="zh-CN"/>
        </w:rPr>
        <w:t>（以下简称“技术要求”）</w:t>
      </w:r>
      <w:r>
        <w:rPr>
          <w:rFonts w:hint="eastAsia" w:ascii="Times New Roman" w:hAnsi="宋体" w:eastAsia="宋体" w:cs="仿宋_GB2312"/>
          <w:color w:val="auto"/>
          <w:sz w:val="24"/>
          <w:szCs w:val="24"/>
          <w:highlight w:val="none"/>
          <w:u w:val="single"/>
          <w:lang w:eastAsia="zh-CN"/>
        </w:rPr>
        <w:t>。</w:t>
      </w:r>
      <w:r>
        <w:rPr>
          <w:rFonts w:hint="eastAsia" w:ascii="宋体" w:hAnsi="宋体" w:eastAsia="宋体" w:cs="宋体"/>
          <w:color w:val="auto"/>
          <w:kern w:val="0"/>
          <w:sz w:val="24"/>
          <w:szCs w:val="24"/>
          <w:highlight w:val="none"/>
        </w:rPr>
        <w:t xml:space="preserve">  </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二、勘察</w:t>
      </w:r>
      <w:r>
        <w:rPr>
          <w:rFonts w:hint="eastAsia" w:ascii="宋体" w:hAnsi="宋体" w:eastAsia="宋体" w:cs="宋体"/>
          <w:b/>
          <w:color w:val="auto"/>
          <w:kern w:val="0"/>
          <w:sz w:val="24"/>
          <w:szCs w:val="24"/>
          <w:highlight w:val="none"/>
          <w:lang w:eastAsia="zh-CN"/>
        </w:rPr>
        <w:t>内容</w:t>
      </w:r>
      <w:r>
        <w:rPr>
          <w:rFonts w:hint="eastAsia" w:ascii="宋体" w:hAnsi="宋体" w:eastAsia="宋体" w:cs="宋体"/>
          <w:b/>
          <w:color w:val="auto"/>
          <w:kern w:val="0"/>
          <w:sz w:val="24"/>
          <w:szCs w:val="24"/>
          <w:highlight w:val="none"/>
        </w:rPr>
        <w:t>、技术要求及工作量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1.勘察</w:t>
      </w:r>
      <w:r>
        <w:rPr>
          <w:rFonts w:hint="eastAsia" w:ascii="宋体" w:hAnsi="宋体"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技术要求：</w:t>
      </w:r>
      <w:r>
        <w:rPr>
          <w:rFonts w:hint="eastAsia" w:ascii="宋体" w:hAnsi="宋体" w:eastAsia="宋体" w:cs="宋体"/>
          <w:color w:val="auto"/>
          <w:kern w:val="0"/>
          <w:sz w:val="24"/>
          <w:szCs w:val="24"/>
          <w:highlight w:val="none"/>
          <w:u w:val="single"/>
          <w:lang w:eastAsia="zh-CN"/>
        </w:rPr>
        <w:t>详见技术要求</w:t>
      </w:r>
      <w:r>
        <w:rPr>
          <w:rFonts w:hint="eastAsia" w:ascii="Times New Roman" w:hAnsi="宋体" w:eastAsia="宋体" w:cs="宋体"/>
          <w:color w:val="auto"/>
          <w:sz w:val="24"/>
          <w:highlight w:val="none"/>
        </w:rPr>
        <w:t>。</w:t>
      </w:r>
    </w:p>
    <w:p>
      <w:pPr>
        <w:adjustRightInd w:val="0"/>
        <w:snapToGrid w:val="0"/>
        <w:spacing w:line="360" w:lineRule="auto"/>
        <w:ind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eastAsia="宋体" w:cs="宋体"/>
          <w:color w:val="auto"/>
          <w:kern w:val="0"/>
          <w:sz w:val="24"/>
          <w:szCs w:val="24"/>
          <w:highlight w:val="none"/>
        </w:rPr>
        <w:t>3.工作量：</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eastAsia="宋体" w:cs="Times New Roman"/>
          <w:color w:val="auto"/>
          <w:sz w:val="24"/>
          <w:highlight w:val="none"/>
          <w:u w:val="single"/>
          <w:lang w:val="en-US" w:eastAsia="zh-CN"/>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三、合同工期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1.开工日期：_______</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日，具体以甲方发出开工令之日为准。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2.成果提交日期：</w:t>
      </w:r>
      <w:r>
        <w:rPr>
          <w:rFonts w:hint="eastAsia" w:ascii="宋体" w:hAnsi="宋体" w:eastAsia="宋体" w:cs="宋体"/>
          <w:color w:val="auto"/>
          <w:kern w:val="0"/>
          <w:sz w:val="24"/>
          <w:szCs w:val="24"/>
          <w:highlight w:val="none"/>
          <w:u w:val="single"/>
          <w:lang w:val="en-US" w:eastAsia="zh-CN"/>
        </w:rPr>
        <w:t>自发包人发出开工令之日起60日历天内提交最终勘察成果报告，包括：本包组勘察服务报告（含试验测试成果资料）、工程物探报告及其他专题勘察报告资料。</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3.合同工期（总日历天数）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60天。</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四、质量标准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质量标准： </w:t>
      </w:r>
      <w:r>
        <w:rPr>
          <w:rFonts w:hint="eastAsia" w:ascii="宋体" w:hAnsi="宋体" w:eastAsia="宋体" w:cs="宋体"/>
          <w:color w:val="auto"/>
          <w:kern w:val="0"/>
          <w:sz w:val="24"/>
          <w:szCs w:val="24"/>
          <w:highlight w:val="none"/>
          <w:u w:val="single"/>
          <w:lang w:val="en-US" w:eastAsia="zh-CN"/>
        </w:rPr>
        <w:t>本工程的勘察过程和成果均必须符合中华人民共和国国家标准</w:t>
      </w:r>
      <w:r>
        <w:rPr>
          <w:rFonts w:hint="eastAsia" w:ascii="宋体" w:hAnsi="宋体" w:eastAsia="宋体" w:cs="宋体"/>
          <w:color w:val="auto"/>
          <w:kern w:val="0"/>
          <w:sz w:val="24"/>
          <w:highlight w:val="none"/>
          <w:lang w:val="en-US" w:eastAsia="zh-CN"/>
        </w:rPr>
        <w:t>、</w:t>
      </w:r>
      <w:r>
        <w:rPr>
          <w:rFonts w:hint="eastAsia" w:ascii="宋体" w:hAnsi="宋体" w:eastAsia="宋体" w:cs="宋体"/>
          <w:kern w:val="0"/>
          <w:sz w:val="24"/>
          <w:highlight w:val="none"/>
          <w:u w:val="single"/>
        </w:rPr>
        <w:t>中国</w:t>
      </w:r>
      <w:r>
        <w:rPr>
          <w:rFonts w:ascii="宋体" w:hAnsi="宋体" w:eastAsia="宋体" w:cs="宋体"/>
          <w:kern w:val="0"/>
          <w:sz w:val="24"/>
          <w:highlight w:val="none"/>
          <w:u w:val="single"/>
        </w:rPr>
        <w:t>民航局</w:t>
      </w:r>
      <w:r>
        <w:rPr>
          <w:rFonts w:hint="eastAsia" w:ascii="宋体" w:hAnsi="宋体" w:eastAsia="宋体" w:cs="宋体"/>
          <w:color w:val="auto"/>
          <w:kern w:val="0"/>
          <w:sz w:val="24"/>
          <w:szCs w:val="24"/>
          <w:highlight w:val="none"/>
          <w:u w:val="single"/>
          <w:lang w:val="en-US" w:eastAsia="zh-CN"/>
        </w:rPr>
        <w:t>和建设部颁布的有关勘察方面的现行标准、规范、规程、定额、办法、示例，以及广东省、佛山市下发的有关勘察方面的文件和规定。在勘察过程中，如果国家或有关部门颁发了新的技术标准或规范，应采用新的标准或规范进行勘察。承包人勘察前应将勘察方案上报发包人审核及批准后方可实施</w:t>
      </w:r>
      <w:r>
        <w:rPr>
          <w:rFonts w:hint="eastAsia" w:ascii="宋体" w:hAnsi="宋体" w:eastAsia="宋体" w:cs="仿宋_GB2312"/>
          <w:color w:val="auto"/>
          <w:sz w:val="24"/>
          <w:szCs w:val="24"/>
          <w:highlight w:val="none"/>
          <w:u w:val="single"/>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签约合同价</w:t>
      </w:r>
      <w:r>
        <w:rPr>
          <w:rFonts w:hint="eastAsia" w:ascii="宋体" w:hAnsi="宋体" w:eastAsia="宋体" w:cs="宋体"/>
          <w:color w:val="auto"/>
          <w:kern w:val="0"/>
          <w:sz w:val="24"/>
          <w:szCs w:val="24"/>
          <w:highlight w:val="none"/>
        </w:rPr>
        <w:t>：人民币（大写）____________ (¥__________元)</w:t>
      </w:r>
      <w:r>
        <w:rPr>
          <w:rFonts w:hint="eastAsia" w:ascii="宋体" w:hAnsi="宋体" w:eastAsia="宋体" w:cs="仿宋_GB2312"/>
          <w:b w:val="0"/>
          <w:bCs w:val="0"/>
          <w:color w:val="auto"/>
          <w:sz w:val="24"/>
          <w:szCs w:val="24"/>
          <w:highlight w:val="none"/>
          <w:lang w:eastAsia="zh-CN"/>
        </w:rPr>
        <w:t>【含岩溶勘察部分预留金（或称暂列金额）人民币（大写）捌拾万元整（¥</w:t>
      </w:r>
      <w:r>
        <w:rPr>
          <w:rFonts w:hint="eastAsia" w:ascii="宋体" w:hAnsi="宋体" w:eastAsia="宋体" w:cs="仿宋_GB2312"/>
          <w:b w:val="0"/>
          <w:bCs w:val="0"/>
          <w:color w:val="auto"/>
          <w:sz w:val="24"/>
          <w:szCs w:val="24"/>
          <w:highlight w:val="none"/>
          <w:lang w:val="en-US" w:eastAsia="zh-CN"/>
        </w:rPr>
        <w:t>800,000.00</w:t>
      </w:r>
      <w:r>
        <w:rPr>
          <w:rFonts w:hint="eastAsia" w:ascii="宋体" w:hAnsi="宋体" w:eastAsia="宋体" w:cs="仿宋_GB2312"/>
          <w:b w:val="0"/>
          <w:bCs w:val="0"/>
          <w:color w:val="auto"/>
          <w:sz w:val="24"/>
          <w:szCs w:val="24"/>
          <w:highlight w:val="none"/>
          <w:lang w:eastAsia="zh-CN"/>
        </w:rPr>
        <w:t>元）】</w:t>
      </w:r>
    </w:p>
    <w:p>
      <w:pPr>
        <w:widowControl w:val="0"/>
        <w:spacing w:after="120" w:afterLines="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其中，机场航站区岩土工程初步勘察工作签约合同价：人民币（大写）____________ (¥__________元)；签约单价人民币（大写）____________ (¥__________元/延米)，</w:t>
      </w:r>
      <w:r>
        <w:rPr>
          <w:rFonts w:hint="eastAsia" w:ascii="宋体" w:hAnsi="宋体" w:eastAsia="宋体" w:cs="仿宋_GB2312"/>
          <w:b w:val="0"/>
          <w:bCs w:val="0"/>
          <w:color w:val="auto"/>
          <w:kern w:val="2"/>
          <w:sz w:val="24"/>
          <w:szCs w:val="24"/>
          <w:highlight w:val="none"/>
          <w:lang w:val="en-US" w:eastAsia="zh-CN" w:bidi="ar-SA"/>
        </w:rPr>
        <w:t>钻孔总进尺暂按17850米计算，</w:t>
      </w:r>
      <w:r>
        <w:rPr>
          <w:rFonts w:hint="eastAsia" w:ascii="宋体" w:hAnsi="宋体" w:eastAsia="宋体" w:cs="宋体"/>
          <w:color w:val="auto"/>
          <w:kern w:val="0"/>
          <w:sz w:val="24"/>
          <w:szCs w:val="24"/>
          <w:highlight w:val="none"/>
          <w:lang w:val="en-US" w:eastAsia="zh-CN" w:bidi="ar-SA"/>
        </w:rPr>
        <w:t>固定单价包干；</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合同价款形式：</w:t>
      </w:r>
      <w:r>
        <w:rPr>
          <w:rFonts w:hint="eastAsia" w:ascii="宋体" w:hAnsi="宋体" w:eastAsia="宋体" w:cs="宋体"/>
          <w:color w:val="auto"/>
          <w:sz w:val="24"/>
          <w:szCs w:val="24"/>
          <w:highlight w:val="none"/>
          <w:u w:val="single"/>
          <w:lang w:eastAsia="zh-CN"/>
        </w:rPr>
        <w:t>机场航站区岩土工程初步勘察工作部分采用固定单价包干，按实结算，但最终结算金额不得超出本包组签约合同价。</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六、合同文件构成</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组成本合同的文件包括：</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在合同履行过程中形成的与合同有关的文件构成合同文件组成部分。</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七、承诺</w:t>
      </w:r>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1.发包人承诺按照法律规定履行项目审批手续，按照合同约定提供工程勘察条件和相关资料，并按照合同约定的期限和方式支付合同价款。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承诺按照法律法规和技术标准规定及合同约定提供勘察技术服务。　</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八、词语定义</w:t>
      </w:r>
    </w:p>
    <w:p>
      <w:pPr>
        <w:tabs>
          <w:tab w:val="left" w:pos="540"/>
          <w:tab w:val="left" w:pos="720"/>
        </w:tabs>
        <w:adjustRightInd w:val="0"/>
        <w:snapToGri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本合同协议书中词语含义与合同第二部分《通用合同条款》中的词语含义相同。</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九、签订时间</w:t>
      </w:r>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lang w:val="en-US"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十、签订地点</w:t>
      </w:r>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lang w:eastAsia="zh-CN"/>
        </w:rPr>
        <w:t>佛山市</w:t>
      </w:r>
      <w:r>
        <w:rPr>
          <w:rFonts w:hint="eastAsia" w:ascii="宋体" w:hAnsi="宋体" w:eastAsia="宋体" w:cs="宋体"/>
          <w:bCs/>
          <w:color w:val="auto"/>
          <w:sz w:val="24"/>
          <w:szCs w:val="24"/>
          <w:highlight w:val="none"/>
        </w:rPr>
        <w:t>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十一、合同生效</w:t>
      </w:r>
    </w:p>
    <w:p>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lang w:eastAsia="zh-CN"/>
        </w:rPr>
        <w:t>发</w:t>
      </w:r>
      <w:r>
        <w:rPr>
          <w:rFonts w:hint="eastAsia" w:ascii="宋体" w:hAnsi="宋体" w:eastAsia="宋体" w:cs="Times New Roman"/>
          <w:bCs/>
          <w:color w:val="auto"/>
          <w:sz w:val="24"/>
          <w:highlight w:val="none"/>
          <w:u w:val="single"/>
        </w:rPr>
        <w:t>包人和</w:t>
      </w:r>
      <w:r>
        <w:rPr>
          <w:rFonts w:hint="eastAsia" w:ascii="宋体" w:hAnsi="宋体" w:eastAsia="宋体" w:cs="Times New Roman"/>
          <w:bCs/>
          <w:color w:val="auto"/>
          <w:sz w:val="24"/>
          <w:highlight w:val="none"/>
          <w:u w:val="single"/>
          <w:lang w:eastAsia="zh-CN"/>
        </w:rPr>
        <w:t>承包人</w:t>
      </w:r>
      <w:r>
        <w:rPr>
          <w:rFonts w:hint="eastAsia" w:ascii="宋体" w:hAnsi="宋体" w:eastAsia="宋体" w:cs="Times New Roman"/>
          <w:bCs/>
          <w:color w:val="auto"/>
          <w:sz w:val="24"/>
          <w:highlight w:val="none"/>
          <w:u w:val="single"/>
        </w:rPr>
        <w:t>的法定代表人或其授权代理人在协议书上签字并盖单位</w:t>
      </w:r>
      <w:r>
        <w:rPr>
          <w:rFonts w:hint="eastAsia" w:ascii="宋体" w:hAnsi="宋体" w:eastAsia="宋体" w:cs="Times New Roman"/>
          <w:bCs/>
          <w:color w:val="auto"/>
          <w:sz w:val="24"/>
          <w:highlight w:val="none"/>
          <w:u w:val="single"/>
          <w:lang w:eastAsia="zh-CN"/>
        </w:rPr>
        <w:t>公</w:t>
      </w:r>
      <w:r>
        <w:rPr>
          <w:rFonts w:hint="eastAsia" w:ascii="宋体" w:hAnsi="宋体" w:eastAsia="宋体" w:cs="Times New Roman"/>
          <w:bCs/>
          <w:color w:val="auto"/>
          <w:sz w:val="24"/>
          <w:highlight w:val="none"/>
          <w:u w:val="single"/>
        </w:rPr>
        <w:t>章后</w:t>
      </w:r>
      <w:r>
        <w:rPr>
          <w:rFonts w:hint="eastAsia" w:ascii="宋体" w:hAnsi="宋体" w:eastAsia="宋体" w:cs="宋体"/>
          <w:bCs/>
          <w:color w:val="auto"/>
          <w:sz w:val="24"/>
          <w:szCs w:val="24"/>
          <w:highlight w:val="none"/>
        </w:rPr>
        <w:t>生效。</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十二、合同份数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pPr>
        <w:spacing w:line="360" w:lineRule="auto"/>
        <w:rPr>
          <w:rFonts w:hint="eastAsia" w:ascii="Times New Roman" w:hAnsi="宋体" w:eastAsia="宋体" w:cs="宋体"/>
          <w:b/>
          <w:bCs/>
          <w:color w:val="auto"/>
          <w:sz w:val="24"/>
          <w:szCs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6"/>
        <w:gridCol w:w="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b/>
                <w:highlight w:val="none"/>
              </w:rPr>
              <w:t>甲方（盖章）：佛山市机场建设开发有限公司</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b/>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法定代表人</w:t>
            </w:r>
          </w:p>
          <w:p>
            <w:pPr>
              <w:spacing w:line="560" w:lineRule="exact"/>
              <w:rPr>
                <w:rFonts w:ascii="宋体" w:hAnsi="宋体" w:eastAsia="宋体" w:cs="Times New Roman"/>
                <w:highlight w:val="none"/>
              </w:rPr>
            </w:pPr>
            <w:r>
              <w:rPr>
                <w:rFonts w:hint="eastAsia" w:ascii="宋体" w:hAnsi="宋体" w:eastAsia="宋体" w:cs="Times New Roman"/>
                <w:highlight w:val="none"/>
              </w:rPr>
              <w:t>或委托代理人：</w:t>
            </w:r>
            <w:r>
              <w:rPr>
                <w:rFonts w:hint="eastAsia" w:ascii="宋体" w:hAnsi="宋体" w:eastAsia="宋体" w:cs="Times New Roman"/>
                <w:highlight w:val="none"/>
                <w:u w:val="single"/>
              </w:rPr>
              <w:t xml:space="preserve">                         </w:t>
            </w:r>
          </w:p>
        </w:tc>
        <w:tc>
          <w:tcPr>
            <w:tcW w:w="4520"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法定代表人</w:t>
            </w:r>
          </w:p>
          <w:p>
            <w:pPr>
              <w:spacing w:line="560" w:lineRule="exact"/>
              <w:rPr>
                <w:rFonts w:ascii="宋体" w:hAnsi="宋体" w:eastAsia="宋体" w:cs="Times New Roman"/>
                <w:highlight w:val="none"/>
              </w:rPr>
            </w:pPr>
            <w:r>
              <w:rPr>
                <w:rFonts w:hint="eastAsia" w:ascii="宋体" w:hAnsi="宋体" w:eastAsia="宋体" w:cs="Times New Roman"/>
                <w:highlight w:val="none"/>
              </w:rPr>
              <w:t>或委托代理人：</w:t>
            </w:r>
            <w:r>
              <w:rPr>
                <w:rFonts w:hint="eastAsia" w:ascii="宋体" w:hAnsi="宋体" w:eastAsia="宋体" w:cs="Times New Roman"/>
                <w:highlight w:val="none"/>
                <w:u w:val="single"/>
              </w:rPr>
              <w:t xml:space="preserve">          </w:t>
            </w:r>
            <w:r>
              <w:rPr>
                <w:rFonts w:hint="eastAsia" w:ascii="宋体" w:hAnsi="宋体" w:eastAsia="宋体" w:cs="Times New Roman"/>
                <w:highlight w:val="none"/>
                <w:u w:val="single"/>
                <w:lang w:val="en-US" w:eastAsia="zh-CN"/>
              </w:rPr>
              <w:t xml:space="preserve">   </w:t>
            </w:r>
            <w:r>
              <w:rPr>
                <w:rFonts w:hint="eastAsia" w:ascii="宋体" w:hAnsi="宋体" w:eastAsia="宋体" w:cs="Times New Roman"/>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地址：佛山市禅城区季华五路2</w:t>
            </w:r>
            <w:r>
              <w:rPr>
                <w:rFonts w:ascii="宋体" w:hAnsi="宋体" w:eastAsia="宋体" w:cs="Times New Roman"/>
                <w:highlight w:val="none"/>
              </w:rPr>
              <w:t>0</w:t>
            </w:r>
            <w:r>
              <w:rPr>
                <w:rFonts w:hint="eastAsia" w:ascii="宋体" w:hAnsi="宋体" w:eastAsia="宋体" w:cs="Times New Roman"/>
                <w:highlight w:val="none"/>
              </w:rPr>
              <w:t>号</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日期：</w:t>
            </w:r>
            <w:r>
              <w:rPr>
                <w:rFonts w:hint="eastAsia" w:ascii="宋体" w:hAnsi="宋体" w:eastAsia="宋体" w:cs="Times New Roman"/>
                <w:highlight w:val="none"/>
                <w:lang w:val="en-US" w:eastAsia="zh-CN"/>
              </w:rPr>
              <w:t>2022</w:t>
            </w:r>
            <w:r>
              <w:rPr>
                <w:rFonts w:hint="eastAsia" w:ascii="宋体" w:hAnsi="宋体" w:eastAsia="宋体" w:cs="Times New Roman"/>
                <w:highlight w:val="none"/>
              </w:rPr>
              <w:t xml:space="preserve"> 年</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月</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日</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日期：</w:t>
            </w:r>
            <w:r>
              <w:rPr>
                <w:rFonts w:hint="eastAsia" w:ascii="宋体" w:hAnsi="宋体" w:eastAsia="宋体" w:cs="Times New Roman"/>
                <w:highlight w:val="none"/>
                <w:lang w:val="en-US" w:eastAsia="zh-CN"/>
              </w:rPr>
              <w:t>2022</w:t>
            </w:r>
            <w:r>
              <w:rPr>
                <w:rFonts w:hint="eastAsia" w:ascii="宋体" w:hAnsi="宋体" w:eastAsia="宋体" w:cs="Times New Roman"/>
                <w:highlight w:val="none"/>
              </w:rPr>
              <w:t>年</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月</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经办人：</w:t>
            </w:r>
            <w:r>
              <w:rPr>
                <w:rFonts w:hint="eastAsia" w:ascii="宋体" w:hAnsi="宋体" w:eastAsia="宋体" w:cs="Times New Roman"/>
                <w:highlight w:val="none"/>
                <w:lang w:val="en-US" w:eastAsia="zh-CN"/>
              </w:rPr>
              <w:t xml:space="preserve"> </w:t>
            </w:r>
          </w:p>
          <w:p>
            <w:pPr>
              <w:spacing w:line="560" w:lineRule="exact"/>
              <w:rPr>
                <w:rFonts w:hint="eastAsia" w:ascii="宋体" w:hAnsi="宋体" w:eastAsia="宋体" w:cs="Times New Roman"/>
                <w:highlight w:val="none"/>
              </w:rPr>
            </w:pPr>
            <w:r>
              <w:rPr>
                <w:rFonts w:hint="eastAsia" w:ascii="宋体" w:hAnsi="宋体" w:eastAsia="宋体" w:cs="Times New Roman"/>
                <w:highlight w:val="none"/>
              </w:rPr>
              <w:t>校核人：</w:t>
            </w:r>
            <w:r>
              <w:rPr>
                <w:rFonts w:hint="eastAsia" w:ascii="宋体" w:hAnsi="宋体" w:eastAsia="宋体" w:cs="Times New Roman"/>
                <w:highlight w:val="none"/>
                <w:lang w:val="en-US" w:eastAsia="zh-CN"/>
              </w:rPr>
              <w:t xml:space="preserve"> </w:t>
            </w:r>
          </w:p>
        </w:tc>
        <w:tc>
          <w:tcPr>
            <w:tcW w:w="4520"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经办人：</w:t>
            </w:r>
          </w:p>
          <w:p>
            <w:pPr>
              <w:spacing w:line="560" w:lineRule="exact"/>
              <w:rPr>
                <w:rFonts w:ascii="宋体" w:hAnsi="宋体" w:eastAsia="宋体" w:cs="Times New Roman"/>
                <w:highlight w:val="none"/>
              </w:rPr>
            </w:pPr>
            <w:r>
              <w:rPr>
                <w:rFonts w:hint="eastAsia" w:ascii="宋体" w:hAnsi="宋体" w:eastAsia="宋体" w:cs="Times New Roman"/>
                <w:highlight w:val="none"/>
              </w:rPr>
              <w:t>开户名称：</w:t>
            </w:r>
            <w:r>
              <w:rPr>
                <w:rFonts w:hint="eastAsia" w:ascii="宋体" w:hAnsi="宋体" w:eastAsia="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银行</w:t>
            </w:r>
            <w:r>
              <w:rPr>
                <w:rFonts w:hint="eastAsia" w:ascii="宋体" w:hAnsi="宋体" w:eastAsia="宋体" w:cs="Times New Roman"/>
                <w:highlight w:val="none"/>
                <w:lang w:eastAsia="zh-CN"/>
              </w:rPr>
              <w:t>账号</w:t>
            </w:r>
            <w:r>
              <w:rPr>
                <w:rFonts w:hint="eastAsia" w:ascii="宋体" w:hAnsi="宋体" w:eastAsia="宋体" w:cs="Times New Roman"/>
                <w:highlight w:val="none"/>
              </w:rPr>
              <w:t>：</w:t>
            </w:r>
            <w:r>
              <w:rPr>
                <w:rFonts w:hint="eastAsia" w:ascii="宋体" w:hAnsi="宋体" w:eastAsia="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开 户 行：</w:t>
            </w:r>
            <w:r>
              <w:rPr>
                <w:rFonts w:hint="eastAsia" w:ascii="宋体" w:hAnsi="宋体" w:eastAsia="宋体" w:cs="Times New Roman"/>
                <w:highlight w:val="none"/>
                <w:lang w:val="en-US" w:eastAsia="zh-CN"/>
              </w:rPr>
              <w:t xml:space="preserve"> </w:t>
            </w:r>
          </w:p>
        </w:tc>
      </w:tr>
    </w:tbl>
    <w:p>
      <w:pPr>
        <w:widowControl w:val="0"/>
        <w:spacing w:after="120" w:afterLines="0"/>
        <w:ind w:firstLine="240" w:firstLineChars="100"/>
        <w:jc w:val="both"/>
        <w:rPr>
          <w:rFonts w:hint="eastAsia" w:ascii="Times New Roman" w:hAnsi="宋体" w:eastAsia="宋体" w:cs="宋体"/>
          <w:color w:val="auto"/>
          <w:kern w:val="2"/>
          <w:sz w:val="24"/>
          <w:szCs w:val="24"/>
          <w:highlight w:val="none"/>
          <w:lang w:val="en-US" w:eastAsia="zh-CN" w:bidi="ar-SA"/>
        </w:rPr>
      </w:pPr>
    </w:p>
    <w:p>
      <w:pPr>
        <w:widowControl w:val="0"/>
        <w:spacing w:after="120" w:afterLines="0"/>
        <w:ind w:firstLine="240" w:firstLineChars="100"/>
        <w:jc w:val="both"/>
        <w:rPr>
          <w:rFonts w:hint="eastAsia" w:ascii="Times New Roman" w:hAnsi="宋体" w:eastAsia="宋体" w:cs="宋体"/>
          <w:color w:val="auto"/>
          <w:kern w:val="2"/>
          <w:sz w:val="24"/>
          <w:szCs w:val="24"/>
          <w:highlight w:val="none"/>
          <w:lang w:val="en-US" w:eastAsia="zh-CN" w:bidi="ar-SA"/>
        </w:rPr>
      </w:pPr>
    </w:p>
    <w:p>
      <w:pPr>
        <w:jc w:val="right"/>
        <w:rPr>
          <w:rFonts w:hint="eastAsia" w:ascii="华文中宋" w:hAnsi="华文中宋" w:eastAsia="华文中宋" w:cs="Times New Roman"/>
          <w:color w:val="auto"/>
          <w:sz w:val="44"/>
          <w:szCs w:val="44"/>
          <w:highlight w:val="none"/>
        </w:rPr>
      </w:pPr>
      <w:r>
        <w:rPr>
          <w:rFonts w:hint="eastAsia" w:ascii="Times New Roman" w:hAnsi="宋体" w:eastAsia="宋体" w:cs="Times New Roman"/>
          <w:color w:val="auto"/>
          <w:sz w:val="24"/>
          <w:highlight w:val="none"/>
        </w:rPr>
        <w:t xml:space="preserve">  </w:t>
      </w: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Times New Roman" w:hAnsi="宋体" w:eastAsia="宋体" w:cs="Times New Roman"/>
          <w:color w:val="auto"/>
          <w:sz w:val="24"/>
          <w:highlight w:val="none"/>
        </w:rPr>
        <w:t xml:space="preserve">  </w:t>
      </w:r>
    </w:p>
    <w:p>
      <w:pPr>
        <w:snapToGrid w:val="0"/>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br w:type="page"/>
      </w:r>
      <w:bookmarkStart w:id="493" w:name="_Toc28175"/>
      <w:r>
        <w:rPr>
          <w:rFonts w:hint="eastAsia" w:ascii="宋体" w:hAnsi="宋体" w:eastAsia="宋体" w:cs="宋体"/>
          <w:b/>
          <w:bCs/>
          <w:color w:val="auto"/>
          <w:kern w:val="0"/>
          <w:sz w:val="32"/>
          <w:szCs w:val="32"/>
          <w:highlight w:val="none"/>
        </w:rPr>
        <w:t>第二部分　通用合同条款</w:t>
      </w:r>
      <w:bookmarkEnd w:id="493"/>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第1条 一般约定</w:t>
      </w:r>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 词语定义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下列词语除专用合同条款另有约定外，应具有本条所赋予的含义。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合同协议书：指构成合同的由发包人和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共同签署的称为“合同协议书”的书面文件。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通用合同条款：是根据法律、行政法规规定及建设工程勘察的需要订立，通用于建设工程勘察的合同条款。</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专用合同条款：是发包人与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根据法律、行政法规规定，结合具体工程实际，经协商达成一致意见的合同条款，是对通用合同条款的细化、完善、补充、修改或另行约定。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发包人：指与</w:t>
      </w:r>
      <w:r>
        <w:rPr>
          <w:rFonts w:hint="eastAsia" w:ascii="宋体" w:hAnsi="宋体" w:eastAsia="宋体" w:cs="宋体"/>
          <w:color w:val="auto"/>
          <w:kern w:val="0"/>
          <w:sz w:val="24"/>
          <w:szCs w:val="24"/>
          <w:highlight w:val="none"/>
          <w:lang w:eastAsia="zh-CN"/>
        </w:rPr>
        <w:t>承包人签订</w:t>
      </w:r>
      <w:r>
        <w:rPr>
          <w:rFonts w:hint="eastAsia" w:ascii="宋体" w:hAnsi="宋体" w:eastAsia="宋体" w:cs="宋体"/>
          <w:color w:val="auto"/>
          <w:kern w:val="0"/>
          <w:sz w:val="24"/>
          <w:szCs w:val="24"/>
          <w:highlight w:val="none"/>
        </w:rPr>
        <w:t>合同协议书的当事人以及取得该当事人资格的合法继承人。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：指在合同协议书中约定，被发包人接受的具有工程勘察资质的当事人以及取得该当事人资格的合法继承人。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 工程：指发包人与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在合同协议书中约定的勘察范围内的项目。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 勘察任务书：指由发包人就工程勘察范围、内容和技术标准等提出要求的书面文件。勘察任务书构成合同文件组成部分。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 合同价款：指合同当事人在合同协议书中约定，发包人用以支付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完成合同约定范围内工程勘察工作的款项。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1.1.10 费用：指为履行合同所发生的或将要发生的</w:t>
      </w:r>
      <w:r>
        <w:rPr>
          <w:rFonts w:hint="eastAsia" w:ascii="宋体" w:hAnsi="宋体" w:eastAsia="宋体" w:cs="宋体"/>
          <w:color w:val="auto"/>
          <w:kern w:val="0"/>
          <w:sz w:val="24"/>
          <w:szCs w:val="24"/>
          <w:highlight w:val="none"/>
          <w:lang w:eastAsia="zh-CN"/>
        </w:rPr>
        <w:t>必需的</w:t>
      </w:r>
      <w:r>
        <w:rPr>
          <w:rFonts w:hint="eastAsia" w:ascii="宋体" w:hAnsi="宋体" w:eastAsia="宋体" w:cs="宋体"/>
          <w:color w:val="auto"/>
          <w:kern w:val="0"/>
          <w:sz w:val="24"/>
          <w:szCs w:val="24"/>
          <w:highlight w:val="none"/>
        </w:rPr>
        <w:t>支出。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工期：指合同当事人在合同协议书中约定，按总日历天数（包括法定节假日）计算的工作天数。</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开工日期：指合同当事人在合同中约定，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开始工作的绝对或相对日期。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成果提交日期：指合同当事人在合同中约定，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完成合同范围内工作并提交成果资料的绝对或相对日期。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图纸：指由发包人提供或由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提供并经发包人认可，满足</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开展工作需要的所有图件，包括相关说明和资料。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作业场地：指工程勘察作业的场所以及发包人具体指定的供工程勘察作业使用的其他场所。</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1.1.18 索赔：指在合同履行过程中，一方违反合同约定，直接或间接地给另一方造成实际损失，受损方向违约方提出经济赔偿和（或）工期顺延的要求。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不利物质条件：指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在作业场地遇到的不可预见的自然物质条件、非自然的物质障碍和污染物。</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1.1.20 后期服务：指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提交成果资料后，为发包人提供的后续技术服务工作和程序性工作，如报告成果咨询、基槽检验、现场交桩和竣工验收等。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 合同文件及优先解释顺序</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合同文件应能相互解释，互为说明。除专用合同条款另有约定外，组成本合同的文件及优先解释顺序如下：</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上述合同文件包括合同当事人就该项合同文件所作出的补充和修改，属于同一类内容的文件，应以最新签署的为准。</w:t>
      </w:r>
    </w:p>
    <w:p>
      <w:pPr>
        <w:keepNext w:val="0"/>
        <w:keepLines w:val="0"/>
        <w:pageBreakBefore w:val="0"/>
        <w:widowControl w:val="0"/>
        <w:tabs>
          <w:tab w:val="left" w:pos="180"/>
        </w:tabs>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1.2.2 当合同文件内容含糊不清或不相一致时，在不影响工作正常进行的情况下，由发包人和</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kern w:val="0"/>
          <w:sz w:val="24"/>
          <w:szCs w:val="24"/>
          <w:highlight w:val="none"/>
        </w:rPr>
        <w:t>协商解决。双方协商不成时，按第16条〔争议解决〕的约定处理。</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 适用法律法规、技术标准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 适用法律法规</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本合同文件适用中华人民共和国法律、行政法规、部门规章以及工程所在地的地方性法规、自治条例、单行条例和地方政府规章等。其他需要明示的规范性文件，由合同当事人在专用合同条款中约定。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适用技术标准</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适用于工程的现行有效国家标准、行业标准、工程所在地的地方标准以及相应的规范、规程为本合同文件适用的技术标准。合同当事人有特别要求的，应在专用合同条款中约定。</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发包人要求使用国外技术标准的，应在专用合同条款中约定所使用技术标准的名称及提供方，并约定技术标准原文版、中译本的份数、时间及费用承担等事项。</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 语言文字</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本合同文件使用汉语语言文字书写、解释和说明。如专用合同条款约定使用两种以上（含两种）语言时，汉语为优先解释和说明本合同的语言。</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 联络</w:t>
      </w:r>
    </w:p>
    <w:p>
      <w:pPr>
        <w:tabs>
          <w:tab w:val="left" w:pos="540"/>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与合同有关的批准文件、通知、证明、证书、指示、指令、要求、请求、意见、确定和决定等，均应采用书面形式或合同双方确认的其他形式，并应在合同约定的期限内送达接收人。</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1.5.2 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应在专用合同条款中约定各自的送达接收人、送达形式及联系方式。合同当事人指定的接收人、送达地点或联系方式发生变动的，应提前3天以书面形式通知对方，否则视为未发生变动。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1.5.3 发包人、</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应及时签收对方送达至约定送达地点和指定接收人的来往信函；如确有充分证据证明一方无正当理由拒不签收的，视为拒绝签收一方认可往来信函的内容。</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 严禁贿赂</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合同当事人不得以贿赂或变相贿赂的方式，谋取非法利益或损害对方权益。因一方的贿赂造成对方损失的，应赔偿损失并承担相应的法律责任。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 保密</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除法律法规规定或合同另有约定外，未经发包人同意，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不得将发包人提供的图纸、文件以及声明需要保密的资料信息等商业秘密泄露给第三方。</w:t>
      </w:r>
    </w:p>
    <w:p>
      <w:pPr>
        <w:snapToGrid w:val="0"/>
        <w:spacing w:line="360" w:lineRule="auto"/>
        <w:ind w:firstLine="552" w:firstLineChars="23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除法律法规规定或合同另有约定外，未经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同意，发包人不得将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提供的技术文件、成果资料、技术秘密及声明需要保密的资料信息等商业秘密泄露给第三方。</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第2条 发包人</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2.1 发包人权利</w:t>
      </w:r>
    </w:p>
    <w:p>
      <w:pPr>
        <w:tabs>
          <w:tab w:val="left" w:pos="540"/>
        </w:tabs>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2.1.1 发包人对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的勘察工作有权依照合同约定实施监督，并对勘察成果予以验收。</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2.1.2 </w:t>
      </w:r>
      <w:r>
        <w:rPr>
          <w:rFonts w:hint="eastAsia" w:ascii="宋体" w:hAnsi="宋体" w:eastAsia="宋体" w:cs="宋体"/>
          <w:color w:val="auto"/>
          <w:sz w:val="24"/>
          <w:szCs w:val="24"/>
          <w:highlight w:val="none"/>
        </w:rPr>
        <w:t>发包人对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无法胜任工程勘察工作的人员有权提出更换。</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2.1.3 发包人拥有</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为其项目编制的所有文件资料的使用权，包括投标文件、成果资料和数据等。</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 发包人义务</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2.2.1 </w:t>
      </w:r>
      <w:r>
        <w:rPr>
          <w:rFonts w:hint="eastAsia" w:ascii="宋体" w:hAnsi="宋体" w:eastAsia="宋体" w:cs="宋体"/>
          <w:color w:val="auto"/>
          <w:sz w:val="24"/>
          <w:szCs w:val="24"/>
          <w:highlight w:val="none"/>
        </w:rPr>
        <w:t>发包人应以书面形式向</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明确勘察任务及技术要求。</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2.2.2 </w:t>
      </w:r>
      <w:r>
        <w:rPr>
          <w:rFonts w:hint="eastAsia" w:ascii="宋体" w:hAnsi="宋体" w:eastAsia="宋体" w:cs="宋体"/>
          <w:color w:val="auto"/>
          <w:sz w:val="24"/>
          <w:szCs w:val="24"/>
          <w:highlight w:val="none"/>
        </w:rPr>
        <w:t>发包人应提供开展工程勘察工作所需要的图纸及技术资料，包括总平面图、地形图、已有水准点和坐标控制点等，若上述资料由</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负责搜集时，发包人应承担相关费用。</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2.2.3 </w:t>
      </w:r>
      <w:r>
        <w:rPr>
          <w:rFonts w:hint="eastAsia" w:ascii="宋体" w:hAnsi="宋体" w:eastAsia="宋体" w:cs="宋体"/>
          <w:color w:val="auto"/>
          <w:sz w:val="24"/>
          <w:szCs w:val="24"/>
          <w:highlight w:val="none"/>
        </w:rPr>
        <w:t>发包人应提供工程勘察作业所需的批准及许可文件，包括立项批复、占用和挖掘道路许可等。</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提供具备条件的作业场地及进场通道（包括土地征用、障碍物清除、场地平整、提供水电接口和青苗赔偿等）并承担相关费用。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提供作业场地内地下埋藏物（包括地下管线、地下构筑物等）的资料、图纸，没有资料、图纸的地区，发包人应委托专业机构查清地下埋藏物。若因发包人未提供上述资料、图纸，或提供的资料、图纸不实，致使</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在工程勘察工作过程中发生人身伤害或造成经济损失时，由发包人承担赔偿责任。</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2.2.6 </w:t>
      </w:r>
      <w:r>
        <w:rPr>
          <w:rFonts w:hint="eastAsia" w:ascii="宋体" w:hAnsi="宋体" w:eastAsia="宋体" w:cs="宋体"/>
          <w:color w:val="auto"/>
          <w:sz w:val="24"/>
          <w:szCs w:val="24"/>
          <w:highlight w:val="none"/>
        </w:rPr>
        <w:t>发包人应按照法律法规规定为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安全生产提供条件并支付安全生产防护费用，发包人不得要求</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违反安全生产管理规定进行作业。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2.2.7 </w:t>
      </w:r>
      <w:r>
        <w:rPr>
          <w:rFonts w:hint="eastAsia" w:ascii="宋体" w:hAnsi="宋体" w:eastAsia="宋体" w:cs="宋体"/>
          <w:color w:val="auto"/>
          <w:sz w:val="24"/>
          <w:szCs w:val="24"/>
          <w:highlight w:val="none"/>
        </w:rPr>
        <w:t>若勘察现场需要看守，特别是在有毒、有害等危险现场作业时，发包人应派人负责安全保卫工作；按国家有关规定，对从事危险作业的现场人员进行保健防护，并承担费用。发包人对安全文明</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有特殊要求时，应在专用合同条款中另行约定。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满足质量标准的已完工作，按照合同约定及时支付相应的工程勘察合同价款及费用。</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 发包人代表</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发包人应在专用合同条款中明确其负责工程勘察的发包人代表的姓名、职务、联系方式及授权范围等事项。发包人代表在发包人的授权范围内，负责处理合同履行过程中与发包人有关的具体事宜。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第3条 承包人</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在工程勘察期间，根据项目条件和技术标准、法律法规规定等方面的变化，有权向发包人提出增减合同工作量或修改技术方案的建议。</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sz w:val="24"/>
          <w:szCs w:val="24"/>
          <w:highlight w:val="none"/>
        </w:rPr>
        <w:t>除建设工程主体部分的勘察外，</w:t>
      </w:r>
      <w:r>
        <w:rPr>
          <w:rFonts w:hint="eastAsia" w:ascii="宋体" w:hAnsi="宋体" w:eastAsia="宋体" w:cs="宋体"/>
          <w:color w:val="auto"/>
          <w:sz w:val="24"/>
          <w:szCs w:val="24"/>
          <w:highlight w:val="none"/>
          <w:lang w:eastAsia="zh-CN"/>
        </w:rPr>
        <w:t>根据合同约定或</w:t>
      </w:r>
      <w:r>
        <w:rPr>
          <w:rFonts w:hint="eastAsia" w:ascii="宋体" w:hAnsi="宋体" w:eastAsia="宋体" w:cs="宋体"/>
          <w:color w:val="auto"/>
          <w:sz w:val="24"/>
          <w:szCs w:val="24"/>
          <w:highlight w:val="none"/>
        </w:rPr>
        <w:t>经发包人同意，</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可以将建设工程其他部分的勘察分包给</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具有相应资质等级的建设工程勘察单位。发包人对分包的特殊要求应在专用合同条款中另行约定。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3.1.3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对其编制的所有文件资料，包括投标文件、成果资料、数据和专利技术等拥有知识产权。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义务</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应按勘察任务书和技术要求并依据有关技术标准进行工程勘察工作。</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应建立质量保证体系，按本合同约定的时间提交质量合格的成果资料，并对其质量负责。</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3.2.3 </w:t>
      </w:r>
      <w:r>
        <w:rPr>
          <w:rFonts w:hint="eastAsia" w:ascii="宋体" w:hAnsi="宋体" w:eastAsia="宋体" w:cs="宋体"/>
          <w:color w:val="auto"/>
          <w:kern w:val="0"/>
          <w:sz w:val="24"/>
          <w:szCs w:val="24"/>
          <w:highlight w:val="none"/>
          <w:lang w:eastAsia="zh-CN"/>
        </w:rPr>
        <w:t>承包人按照发包人要求的份数、形式</w:t>
      </w:r>
      <w:r>
        <w:rPr>
          <w:rFonts w:hint="eastAsia" w:ascii="宋体" w:hAnsi="宋体" w:eastAsia="宋体" w:cs="宋体"/>
          <w:color w:val="auto"/>
          <w:kern w:val="0"/>
          <w:sz w:val="24"/>
          <w:szCs w:val="24"/>
          <w:highlight w:val="none"/>
        </w:rPr>
        <w:t>提交成果资料后，</w:t>
      </w:r>
      <w:r>
        <w:rPr>
          <w:rFonts w:hint="eastAsia" w:ascii="宋体" w:hAnsi="宋体" w:eastAsia="宋体" w:cs="宋体"/>
          <w:color w:val="auto"/>
          <w:kern w:val="0"/>
          <w:sz w:val="24"/>
          <w:szCs w:val="24"/>
          <w:highlight w:val="none"/>
          <w:lang w:eastAsia="zh-CN"/>
        </w:rPr>
        <w:t>并对成果资料的质量负责，提交成果资料后承包人</w:t>
      </w:r>
      <w:r>
        <w:rPr>
          <w:rFonts w:hint="eastAsia" w:ascii="宋体" w:hAnsi="宋体" w:eastAsia="宋体" w:cs="宋体"/>
          <w:color w:val="auto"/>
          <w:kern w:val="0"/>
          <w:sz w:val="24"/>
          <w:szCs w:val="24"/>
          <w:highlight w:val="none"/>
        </w:rPr>
        <w:t>应为发包人继续提供后期服务。</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3.2.4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在工程勘察期间遇到地下文物时，应及时向发包人和文物主管部门报告并妥善保护。</w:t>
      </w:r>
    </w:p>
    <w:p>
      <w:pPr>
        <w:tabs>
          <w:tab w:val="left" w:pos="540"/>
        </w:tabs>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3.2.5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开展工程勘察活动时应遵守有关</w:t>
      </w:r>
      <w:r>
        <w:rPr>
          <w:rFonts w:hint="eastAsia" w:ascii="宋体" w:hAnsi="宋体" w:eastAsia="宋体" w:cs="宋体"/>
          <w:color w:val="auto"/>
          <w:sz w:val="24"/>
          <w:szCs w:val="24"/>
          <w:highlight w:val="none"/>
        </w:rPr>
        <w:t>职业健康及</w:t>
      </w:r>
      <w:r>
        <w:rPr>
          <w:rFonts w:hint="eastAsia" w:ascii="宋体" w:hAnsi="宋体" w:eastAsia="宋体" w:cs="宋体"/>
          <w:color w:val="auto"/>
          <w:kern w:val="0"/>
          <w:sz w:val="24"/>
          <w:szCs w:val="24"/>
          <w:highlight w:val="none"/>
        </w:rPr>
        <w:t>安全生产方面</w:t>
      </w:r>
      <w:r>
        <w:rPr>
          <w:rFonts w:hint="eastAsia" w:ascii="宋体" w:hAnsi="宋体" w:eastAsia="宋体" w:cs="宋体"/>
          <w:color w:val="auto"/>
          <w:sz w:val="24"/>
          <w:szCs w:val="24"/>
          <w:highlight w:val="none"/>
        </w:rPr>
        <w:t>的各项法律法规的规定</w:t>
      </w:r>
      <w:r>
        <w:rPr>
          <w:rFonts w:hint="eastAsia" w:ascii="宋体" w:hAnsi="宋体" w:eastAsia="宋体" w:cs="宋体"/>
          <w:color w:val="auto"/>
          <w:kern w:val="0"/>
          <w:sz w:val="24"/>
          <w:szCs w:val="24"/>
          <w:highlight w:val="none"/>
        </w:rPr>
        <w:t>，采取安全防护措施，确保人员、设备和设施的安全。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在燃气管道、热力管道、动力设备、输水管道、输电线路、临街交通要</w:t>
      </w:r>
      <w:r>
        <w:rPr>
          <w:rFonts w:hint="eastAsia" w:ascii="宋体" w:hAnsi="宋体" w:eastAsia="宋体" w:cs="宋体"/>
          <w:color w:val="auto"/>
          <w:sz w:val="24"/>
          <w:szCs w:val="24"/>
          <w:highlight w:val="none"/>
        </w:rPr>
        <w:t>道及地下通道（地下隧道）附近等风险性较大的地点，以及在易燃易爆地段及放射、有毒环境中进</w:t>
      </w:r>
      <w:r>
        <w:rPr>
          <w:rFonts w:hint="eastAsia" w:ascii="宋体" w:hAnsi="宋体" w:eastAsia="宋体" w:cs="宋体"/>
          <w:color w:val="auto"/>
          <w:kern w:val="0"/>
          <w:sz w:val="24"/>
          <w:szCs w:val="24"/>
          <w:highlight w:val="none"/>
        </w:rPr>
        <w:t>行工程勘察作业时，应编制安全防护方案并制定应急预案。</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应在勘察方案中列明环境保护的具体措施，并在合同履行期间采取合理措施保护作业现场环境。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3.3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p>
    <w:p>
      <w:pPr>
        <w:tabs>
          <w:tab w:val="left" w:pos="360"/>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接受任务时，应在专用合同条款中明确其负责工程勘察的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代表的姓名、职务、联系方式及授权范围等事项。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的授权范围内，负责处理合同履行过程中与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第4条 工期</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4.1 开工及延期开工</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应按合同约定的工期进行工程勘察工作，并接受发包人对工程勘察工作进度的监督、检查。</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4.1.2 因发包人原因不能按照合同约定的日期开工，发包人应以书面形式通知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，推迟开工日期并相应顺延工期。</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4.2 成果提交日期</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应按照合同约定的日期或双方同意顺延的工期提交成果资料，具体可在专用合同条款中约定。</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4.3 发包人造成的工期延误</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因以下情形造成工期延误，</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有权要求发包人延长工期、增加合同价款和（或）补偿费用：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（1）发包人未能按合同约定提供图纸及开工条件；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）变更导致合同工作量增加；</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）发包人增加合同工作内容；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）发包人改变工程勘察技术要求；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）发包人导致工期延误的其他情形。</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4.3.2 </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4.4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造成的工期延误</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因以下情形不能按照合同约定的日期或双方同意顺延的工期提交成果资料的，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未按合同约定开工日期开展工作造成工期延误的；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管理不善、组织不力造成工期延误的；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（3）因弥补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自身原因导致的质量缺陷而造成工期延误的；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成果资料不合格返工造成工期延误的；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导致工期延误的其他情形。</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4.5 恶劣气候条件</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恶劣气候条件影响现场作业，导致现场作业难以进行，造成工期延误的，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有权要求发包人延长工期，具体可参照第4.3.2款处理。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第5条 成果资料</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5.1 成果质量</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5.1.1 成果质量应符合相关技术标准</w:t>
      </w:r>
      <w:r>
        <w:rPr>
          <w:rFonts w:hint="eastAsia" w:ascii="宋体" w:hAnsi="宋体" w:eastAsia="宋体" w:cs="宋体"/>
          <w:color w:val="auto"/>
          <w:kern w:val="0"/>
          <w:sz w:val="24"/>
          <w:szCs w:val="24"/>
          <w:highlight w:val="none"/>
          <w:lang w:eastAsia="zh-CN"/>
        </w:rPr>
        <w:t>和深度规定</w:t>
      </w:r>
      <w:r>
        <w:rPr>
          <w:rFonts w:hint="eastAsia" w:ascii="宋体" w:hAnsi="宋体" w:eastAsia="宋体" w:cs="宋体"/>
          <w:color w:val="auto"/>
          <w:kern w:val="0"/>
          <w:sz w:val="24"/>
          <w:szCs w:val="24"/>
          <w:highlight w:val="none"/>
        </w:rPr>
        <w:t>，且满足合同约定的质量要求。</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5.1.2 双方对工程勘察成果质量有争议时，由双方同意的第三方机构鉴定，所需费用及因此造成的损失，由责任方承担；双方均有责任</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，由双方根据其责任分别承担。</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5.2 成果份数</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应向发包人提交成果资料四份，发包人要求增加的份数，在专用合同条款中另行约定，发包人另行支付相应的费用。</w:t>
      </w:r>
    </w:p>
    <w:p>
      <w:pPr>
        <w:tabs>
          <w:tab w:val="left" w:pos="540"/>
        </w:tabs>
        <w:adjustRightInd w:val="0"/>
        <w:snapToGrid w:val="0"/>
        <w:spacing w:before="260" w:beforeLines="0" w:after="260" w:afterLines="0" w:line="360" w:lineRule="auto"/>
        <w:ind w:firstLine="482" w:firstLineChars="200"/>
        <w:jc w:val="left"/>
        <w:outlineLvl w:val="2"/>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5.3 成果交付</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按照约定时间和地点向发包人交付成果资料，发包人应出具书面签收单，内容包括成果名称、成果组成、成果份数、提交和签收日期、提交人与接收人的亲笔签名等。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5.4 成果验收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向发包人提交成果资料后，如需对勘察成果组织验收的，发包人应及时组织验收。</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发包人14天内无正当理由不予组织验收，视为验收通过。</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第6条 后期服务</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6.1 后续技术服务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应派专业技术人员为发包人提供后续技术服务，发包人应为其提供必要的工作和生活条件，后续技术服务的内容、费用和时限应由双方在专用合同条款中另行约定。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6.2 竣工验收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工程竣工验收时，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应按发包人要求参加竣工验收工作，并提供竣工验收所需相关资料。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第7条 合同价款与支付</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7.1 合同价款与调整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依照法定程序进行招标工程的合同价款由发包人和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依据中标价格载明在合同协议书中；非招标工程的合同价款由发包人和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议定，并载明在合同协议书中。合同价款在合同协议书中约定后，除合同条款约定的合同价款调整因素外，任何一方不得擅自改变。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7.1.2 合同当事人可任选下列一种合同价款的形式，双方可在专用合同条款中约定：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双方在专用合同条款中约定合同价款包含的风险范围和风险费用的计算方法，在约定的风险范围内合同价款不再调整。风险范围以外的合同价款调整因素和方法，应在专用合同条款中约定。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（2）单价合同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合同价款根据工作量的变化而调整，合同单价在风险范围内一般不予调整，双方可在专用合同条款中约定合同单价调整因素和方法。</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（3）其他合同价款形式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7.1.3 需调整合同价款时，合同一方应及时将调整原因、调整金额以书面形式通知对方，双方共同确认调整金额后作为追加或减少的合同价款，与进度款同期支付。</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一方在收到对方的通知后7天内不予确认也不提出修改意见，视为已经同意该项调整。合同当事人就调整事项不能达成一致的，则按照第16条〔争议解决〕的约定处理。</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7.2 定金或预付款</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7.2.1 实行定金或预付款的，双方应在专用合同条款中约定发包人向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支付定金或预付款数额，支付时间应不迟于约定的开工日期前7天。发包人不按约定支付，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向发包人发出要求支付的通知，发包人收到通知后仍不能按要求支付，发包人</w:t>
      </w:r>
      <w:r>
        <w:rPr>
          <w:rFonts w:hint="eastAsia" w:ascii="宋体" w:hAnsi="宋体" w:eastAsia="宋体" w:cs="宋体"/>
          <w:color w:val="auto"/>
          <w:kern w:val="0"/>
          <w:sz w:val="24"/>
          <w:szCs w:val="24"/>
          <w:highlight w:val="none"/>
          <w:lang w:eastAsia="zh-CN"/>
        </w:rPr>
        <w:t>需</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定金或预付款在进度款中抵扣，抵扣办法可在专用合同条款中约定。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7.3 进度款支付</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发包人应按照专用合同条款约定的进度款支付方式、支付条件和支付时间进行支付。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7.3.2 第7.1款〔合同价款与调整〕和第8.2款〔变更合同价款确定〕确定调整的合同价款及其他条款中约定的追加或减少的合同价款，应与进度款同期调整支付。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7.3.3 发包人超过约定的支付时间不支付进度款，</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可向发包人发出要求付款的通知，发包人收到</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通知后仍不能按要求付款，可与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协商签订延期付款协议，经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同意后可延期支付。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7.3.4 发包人不按合同约定支付进度款，双方又未达成延期付款协议，</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可停止工程勘察作业和后期服务，由发包人承担违约责任。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7.4 合同价款结算</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28天内，依据第7.1款〔合同价款与调整〕和第8.2款〔变更合同价款确定〕的约定进行最终合同价款确定，并予以全额支付。</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第8条 变更与调整</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 变更范围与确认</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本合同变更是指在合同签订日后发生的以下变更：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（1）法律法规及技术标准的变化引起的变更；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（2）规划方案或设计条件的变化引起的变更；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（3）不利物质条件引起的变更；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（4）发包人的要求变化引起的变更；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（5）因政府临时禁令引起的变更；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（6）其他专用合同条款中约定的变更。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当引起变更的情形出现，除专用合同条款对期限另有约定外，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应在7天内就调整后的技术方案以书面形式向发包人提出变更要求，发包人应在收到报告后7天内予以确认，逾期不予确认也不提出修改意见，视为同意变更。</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8.2 变更合同价款确定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变更合同价款按下列方法进行：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（1）合同中已有适用于变更工程的价格，按合同已有的价格变更合同价款；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（2）合同中只有类似于变更工程的价格，可以参照类似价格变更合同价款；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（3）合同中没有适用或类似于变更工程的价格，由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提出适当的变更价格，经发包人确认后执行。</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8.2.2 除专用合同条款对期限另有约定外，一方应在双方确定变更事项后14天内向对方提出变更合同价款报告，否则视为该项变更不涉及合同价款的变更。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8.2.3 除专用合同条款对期限另有约定外，一方应在收到对方提交的变更合同价款报告之日起14天内予以确认。逾期无正当理由不予确认的，则视为该项变更合同价款报告已被确认。</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8.2.4 一方不同意对方提出的合同价款变更，按第16条〔争议解决〕的约定处理。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8.2.5 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自身原因导致的变更，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无权要求追加合同价款。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第9条 知识产权</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 除专用合同条款另有约定外，发包人提供给</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的图纸、发包人为实施工程自行编制或委托编制的反映发包人要求或其他类似性质的文件的著作权属于发包人，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可以为实现本合同目的而复制、使用此类文件，但不能用于与本合同无关的其他事项。未经发包人书面同意，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9.2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为实施工程所编制的成果文件的著作权属于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，发包人可因本工程的需要而复制、使用此类文件，但不能擅自修改或用于与本合同无关的其他事项。未经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书面同意，发包人不得为了本合同以外的目的而复制、使用上述文件或将之提供给任何第三方。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 合同当事人保证在履行本合同过程中不侵犯对方及第三方的知识产权。</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在工程勘察时，因侵犯他人的专利权或其他知识产权所引起的责任，由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承担；因发包人提供的基础资料导致侵权的，由发包人承担责任。</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9.4 在不损害对方利益情况下，合同当事人双方均有权在申报奖项、制作宣传印刷品及出版物时使用有关项目的文字和图片材料。</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9.5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在合同签订前和签订时已确定采用的专利、专有技术、技术秘密的使用费已包含在合同价款中。</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第10条 不可抗力</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10.1 不可抗力的确认</w:t>
      </w:r>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不可抗力是在订立合同时不可合理预见，在履行合同中不可避免的发生且不能克服的自然灾害和社会突发事件，如地震、海啸、瘟疫、洪水、骚乱、暴动、战争以及专用条款约定的其他自然灾害和社会突发事件。</w:t>
      </w:r>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不可抗力发生后，发包人和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应收集不可抗力发生及造成损失的证据。合同当事双方对是否属于不可抗力或其损失发生争议时，按第16条〔争议解决〕的约定处理。</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10.2 不可抗力的通知</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遇有不可抗力发生时，发包人和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应立即通知对方，双方应共同采取措施减少损失。除专用合同条款对期限另有约定外，不可抗力持续发生，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应每隔7天向发包人报告一次受害损失情况。</w:t>
      </w:r>
    </w:p>
    <w:p>
      <w:pPr>
        <w:tabs>
          <w:tab w:val="left" w:pos="16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10.2.2 除专用合同条款对期限另有约定外，不可抗力结束后2天内，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向发包人通报受害损失情况及预计清理和修复的费用；不可抗力结束后14天内，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向发包人提交清理和修复费用的正式报告及有关资料。</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10.3 不可抗力后果的承担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因不可抗力发生的费用及延误的工期由双方按以下方法分别承担：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人员伤亡由合同当事人双方自行负责，并承担相应费用；</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机械设备损坏及停工损失，由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（3）停工期间，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应发包人要求留在作业场地的管理人员及保卫人员的费用由发包人承担；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（4）作业场地发生的清理、修复费用由发包人承担；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（5）延误的工期相应顺延。</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因合同一方迟延履行合同后发生不可抗力的，不能免除迟延履行方的相应责任。</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第11条 合同生效与终止</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 双方在合同协议书中约定合同生效方式。</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 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履行合同全部义务，合同价款支付完毕，本合同即告终止。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 合同的权利义务终止后，合同当事人应遵循诚实信用原则，履行通知、协助和保密等义务。</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第12条 合同解除</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12.1</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有下列情形之一的，发包人、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可以解除合同：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（1）因不可抗力致使合同无法履行；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（2）发生未按第7.2款〔定金或预付款〕或第7.3款〔进度款支付〕约定按时支付合同价款的情况，停止作业超过28天，</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有权解除合同，由发包人承担违约责任；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将其承包的全部工程转包给他人或者肢解以后以分包的名义分别转包给他人，发包人有权解除合同，由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（4）发包人和</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协商一致可以解除合同的其他情形。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 一方依据第12.1款约定要求解除合同的，应以书面形式向对方发出解除合同的通知，并在发出通知前不少于14天告知对方，通知到达对方时合同解除。对解除合同有争议的，按第16条〔争议解决〕的约定处理。</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 因不可抗力致使合同无法履行时，发包人应按合同约定向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支付已完工作量相对应比例的合同价款后解除合同。</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 合同解除后，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应按发包人要求将自有设备和人员撤出作业场地，发包人应为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撤出提供必要条件。</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第13条 责任与保险</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13.1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应运用一切合理的专业技术和经验，按照公认的职业标准尽其全部职责和谨慎、勤勉地履行其在本合同项下的责任和义务。</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 合同当事人可按照法律法规的要求在专用合同条款中约定履行本合同所需要的工程勘察责任保险，并使其于合同责任期内保持有效。</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13.3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应依照法律法规的规定为勘察作业人员参加工伤保险、人身意外伤害险和其他保险。</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第14条 违约</w:t>
      </w:r>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14.1 发包人违约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发包人违约情形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（2）发包人未按第7.2款〔定金或预付款〕约定按时支付定金或预付款；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（3）发包人未按第7.3款〔进度款支付〕约定按时支付进度款；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（4）发包人不履行合同义务或不按合同约定履行义务的其他情形。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未开始勘察工作的，不退还发包人已付的定金或发包人按照专用合同条款约定向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支付违约金；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已开始勘察工作的，若完成计划工作量不足50%的，发包人应支付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合同价款的50%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完成计划工作量超过50%的，发包人应支付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合同价款的100%。</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（2）发包人发生其他违约情形时，发包人应承担由此增加的费用和工期延误损失，并给予</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合理赔偿。双方可在专用合同条款内约定发包人赔偿</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损失的计算方法或者发包人应支付违约金的数额或计算方法。</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14.2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原因不能按照合同约定的日期或合同当事人同意顺延的工期提交成果资料；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不履行合同义务或未按约定履行合同义务的其他情形。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应双倍返还发包人已支付的定金或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原因造成工期延误的，应按专用合同条款约定向发包人支付违约金。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应负责无偿给予补充完善使其达到质量合格。因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除负责采取补救措施外，应通过所投工程勘察责任保险向发包人承担赔偿责任或根据直接经济损失程度按专用合同条款约定向发包人支付赔偿金。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应承担违约责任并赔偿因其违约给发包人造成的损失，双方可在专用合同条款内约定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赔偿发包人损失的计算方法和赔偿金额。</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第15条 索赔</w:t>
      </w:r>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15.1 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未按合同约定履行义务或发生错误以及应由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承担责任的其他情形，造成工期延误及发包人的经济损失，除专用合同条款另有约定外，发包人可按下列程序以书面形式向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提出经济损失的索赔报告及有关资料；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在收到发包人送交的索赔报告和有关资料后28天内未予答复或未对发包人作进一步要求，视为该项索赔已被认可；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（5）当该违约事件持续进行时，发包人应阶段性向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发出索赔意向，在违约事件终了后21天内，向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送交索赔的有关资料和最终索赔报告。索赔答复程序与本款第（3）、（4）项约定相同。</w:t>
      </w:r>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15.2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发包人未按合同约定履行义务或发生错误以及应由发包人承担责任的其他情形，造成工期延误和（或）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不能及时得到合同价款及</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的经济损失，除专用合同条款另有约定外，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可按下列程序以书面形式向发包人索赔：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可向发包人发出要求其采取有效措施纠正违约行为的通知；发包人收到通知14天内仍不履行合同义务，</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有权停止作业，并向发包人发出索赔意向通知。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（2）发出索赔意向通知后14天内，向发包人提出延长工期和（或）补偿经济损失的索赔报告及有关资料；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送交的索赔报告和有关资料后28天内未予答复或未对</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（5）当该索赔事件持续进行时，</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应阶段性向发包人发出索赔意向，在索赔事件终了后21天内，向发包人送交索赔的有关资料和最终索赔报告。索赔答复程序与本款第（3）、（4）项约定相同。</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第16条 争议解决</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16.1 和解</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因本合同以及与本合同有关事项发生争议的，双方可以就争议自行和解。自行和解达成协议的，经签字并盖章后作为合同补充文件，双方均应遵照执行。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16.2 调解</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因本合同以及与本合同有关事项发生争议的，双方可以就争议请求行政主管部门、行业协会或其他第三方进行调解。调解达成协议的，经签字并盖章后作为合同补充文件，双方均应遵照执行。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16.3 仲裁或诉讼</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因本合同以及与本合同有关事项发生争议的，当事人不愿和解、调解或者和解、调解不成的，双方可以在专用合同条款内约定以下一种方式解决争议：</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（1）双方达成仲裁协议，向约定的仲裁委员会申请仲裁；</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宋体"/>
          <w:color w:val="auto"/>
          <w:kern w:val="0"/>
          <w:sz w:val="24"/>
          <w:szCs w:val="24"/>
          <w:highlight w:val="none"/>
          <w:lang w:eastAsia="zh-CN"/>
        </w:rPr>
        <w:t>项目所在地</w:t>
      </w:r>
      <w:r>
        <w:rPr>
          <w:rFonts w:hint="eastAsia" w:ascii="宋体" w:hAnsi="宋体" w:eastAsia="宋体" w:cs="宋体"/>
          <w:color w:val="auto"/>
          <w:kern w:val="0"/>
          <w:sz w:val="24"/>
          <w:szCs w:val="24"/>
          <w:highlight w:val="none"/>
        </w:rPr>
        <w:t>有管辖权的人民法院起诉。</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第17条 补充条款</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双方根据有关法律法规规定，结合实际经协商一致，可对通用合同条款内容具体化、补充或修改，并在专用合同条款内约定。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pPr>
        <w:snapToGrid w:val="0"/>
        <w:spacing w:line="360" w:lineRule="auto"/>
        <w:jc w:val="center"/>
        <w:outlineLvl w:val="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494" w:name="_Toc342"/>
      <w:r>
        <w:rPr>
          <w:rFonts w:hint="eastAsia" w:ascii="宋体" w:hAnsi="宋体" w:eastAsia="宋体" w:cs="宋体"/>
          <w:b/>
          <w:bCs/>
          <w:color w:val="auto"/>
          <w:kern w:val="0"/>
          <w:sz w:val="32"/>
          <w:szCs w:val="32"/>
          <w:highlight w:val="none"/>
        </w:rPr>
        <w:t>第三部分　专用合同条款</w:t>
      </w:r>
      <w:bookmarkEnd w:id="494"/>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第1条 一般约定</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 词语定义</w:t>
      </w:r>
    </w:p>
    <w:p>
      <w:pPr>
        <w:snapToGrid w:val="0"/>
        <w:spacing w:line="360" w:lineRule="auto"/>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协议书中相关词语的含义与通用条件中的定义与解释相同。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 合同文件及优先解释顺序</w:t>
      </w:r>
    </w:p>
    <w:p>
      <w:pPr>
        <w:widowControl/>
        <w:spacing w:line="360" w:lineRule="auto"/>
        <w:ind w:firstLine="480" w:firstLineChars="200"/>
        <w:rPr>
          <w:rFonts w:hint="eastAsia" w:ascii="Times New Roman"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1.2.1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合同文件组成及优先解释顺序：</w:t>
      </w:r>
      <w:r>
        <w:rPr>
          <w:rFonts w:hint="eastAsia" w:ascii="Times New Roman" w:hAnsi="宋体" w:eastAsia="宋体" w:cs="Times New Roman"/>
          <w:color w:val="auto"/>
          <w:sz w:val="24"/>
          <w:highlight w:val="none"/>
          <w:u w:val="single"/>
        </w:rPr>
        <w:t>构成本合同的文件可视为是能互相说明的，如果合同文件存在歧义或不一致，则根据如下优先次序来判断：</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合同实施期间双方以书面形式签订的合同补充协议和修正协议；</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本合同及附件；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中标通知书；</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招标文件及相关澄清修正说明；</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投标文件及附件；</w:t>
      </w:r>
    </w:p>
    <w:p>
      <w:pPr>
        <w:widowControl/>
        <w:spacing w:line="360" w:lineRule="auto"/>
        <w:ind w:left="210" w:firstLine="216"/>
        <w:rPr>
          <w:rFonts w:hint="eastAsia" w:ascii="宋体" w:hAnsi="宋体" w:eastAsia="宋体" w:cs="宋体"/>
          <w:color w:val="auto"/>
          <w:sz w:val="24"/>
          <w:highlight w:val="none"/>
          <w:u w:val="single"/>
          <w:lang w:eastAsia="zh-CN"/>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标准、规范及有关技术文件</w:t>
      </w:r>
      <w:r>
        <w:rPr>
          <w:rFonts w:hint="eastAsia" w:ascii="宋体" w:hAnsi="宋体" w:eastAsia="宋体" w:cs="宋体"/>
          <w:color w:val="auto"/>
          <w:sz w:val="24"/>
          <w:highlight w:val="none"/>
          <w:u w:val="single"/>
          <w:lang w:eastAsia="zh-CN"/>
        </w:rPr>
        <w:t>；</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组成合同的其他文件。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Times New Roman" w:hAnsi="宋体" w:eastAsia="宋体" w:cs="Times New Roman"/>
          <w:color w:val="auto"/>
          <w:sz w:val="24"/>
          <w:highlight w:val="none"/>
          <w:u w:val="single"/>
        </w:rPr>
        <w:t>如</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在投标文件及附件中作出有比招标文件及相关澄清修正说明和本合同及附件更有利于发包人的响应（即发包人有权视情况适用有利于己方的条款或文件而不遵循上述解释顺序），则投标文件及附件中更有利于发包人的相关条款内容的解释顺序优于招标文件及相关澄清修正说明和本合同及附件，</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须按这些响应承诺履行。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 适用法律法规、技术标准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适用法律法规</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需要明示的规范性文件：</w:t>
      </w:r>
      <w:r>
        <w:rPr>
          <w:rFonts w:hint="eastAsia" w:ascii="宋体" w:hAnsi="宋体" w:eastAsia="宋体" w:cs="Times New Roman"/>
          <w:color w:val="auto"/>
          <w:sz w:val="24"/>
          <w:szCs w:val="24"/>
          <w:highlight w:val="none"/>
          <w:u w:val="single"/>
        </w:rPr>
        <w:t>本合同适用中华人民共和国法律、行政法规、部门规章以及工程所在地的地方性法规、自治条例、单行条例和地方政府规章等。</w:t>
      </w:r>
    </w:p>
    <w:p>
      <w:pPr>
        <w:adjustRightInd/>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适用技术标准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特别要求：</w:t>
      </w:r>
      <w:r>
        <w:rPr>
          <w:rFonts w:hint="eastAsia" w:ascii="宋体" w:hAnsi="宋体" w:eastAsia="宋体" w:cs="宋体"/>
          <w:color w:val="auto"/>
          <w:kern w:val="0"/>
          <w:sz w:val="24"/>
          <w:szCs w:val="24"/>
          <w:highlight w:val="none"/>
          <w:u w:val="single"/>
          <w:lang w:val="en-US" w:eastAsia="zh-CN"/>
        </w:rPr>
        <w:t>/</w:t>
      </w:r>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使用国外技术标准的名称、提供方、原文版、中译本的份数、时间及费用承担：</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 语言文字</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本合同除使用汉语外，还使用</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rPr>
        <w:t>语言文字。</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 联络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发包人接收文件的地点：____________________________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发包人指定的接收人：___________________________________</w:t>
      </w:r>
    </w:p>
    <w:p>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发包人指定的联系方式：___________________________________</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接收文件的地点：___________________________________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指定的接收人：_____________________________________</w:t>
      </w:r>
    </w:p>
    <w:p>
      <w:pPr>
        <w:tabs>
          <w:tab w:val="left" w:pos="720"/>
          <w:tab w:val="left" w:pos="90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kern w:val="0"/>
          <w:sz w:val="24"/>
          <w:szCs w:val="24"/>
          <w:highlight w:val="none"/>
        </w:rPr>
        <w:t>指定的联系方式：___________________________________</w:t>
      </w:r>
    </w:p>
    <w:p>
      <w:pPr>
        <w:spacing w:line="360" w:lineRule="auto"/>
        <w:ind w:firstLine="480" w:firstLineChars="200"/>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1.5.</w:t>
      </w:r>
      <w:r>
        <w:rPr>
          <w:rFonts w:hint="eastAsia" w:ascii="宋体" w:hAnsi="宋体" w:eastAsia="宋体" w:cs="Times New Roman"/>
          <w:color w:val="auto"/>
          <w:kern w:val="0"/>
          <w:sz w:val="24"/>
          <w:highlight w:val="none"/>
        </w:rPr>
        <w:t>4联络路径：</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应将书面函件直接报送发包人指定的接收人，发包人通过发包人代表向</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发布书面指令。</w:t>
      </w:r>
    </w:p>
    <w:p>
      <w:pPr>
        <w:spacing w:line="360" w:lineRule="auto"/>
        <w:ind w:firstLine="480" w:firstLineChars="200"/>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rPr>
        <w:t>1.5.5协议双方根据合同所约定的地址送达书面通知，上述送达地址适用于本协议相关的各类通知、协议、文书的送达，以及合同发生纠纷时相关文件和法律文书的送达，同时包括争议进入民事诉讼程序后一审、二审、再审和执行程序及其他程序中相关文件的送达。如一方需变更送达地址的，需提前三天向对方发出书面通知，否则，仍以本合同确定的地址送达书面通知</w:t>
      </w:r>
      <w:r>
        <w:rPr>
          <w:rFonts w:hint="eastAsia" w:ascii="宋体" w:hAnsi="宋体" w:eastAsia="宋体" w:cs="Times New Roman"/>
          <w:color w:val="auto"/>
          <w:kern w:val="0"/>
          <w:sz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 保密</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合同当事人关于保密的约定：</w:t>
      </w:r>
      <w:r>
        <w:rPr>
          <w:rFonts w:hint="eastAsia" w:ascii="宋体" w:hAnsi="宋体" w:eastAsia="宋体" w:cs="宋体"/>
          <w:color w:val="auto"/>
          <w:kern w:val="0"/>
          <w:sz w:val="24"/>
          <w:szCs w:val="24"/>
          <w:highlight w:val="none"/>
          <w:u w:val="single"/>
        </w:rPr>
        <w:t>除法律法规规定或合同另有约定外，未经发包人同意，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不得将发包人提供的图纸、文件以及声明需要保密的资料信息等商业秘密泄露给第三方。除法律法规规定或合同另有约定外，未经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同意，发包人不得将</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提供的技术文件、成果资料、技术秘密及声明需要保密的资料信息等商业秘密泄露给第三方。</w:t>
      </w:r>
      <w:r>
        <w:rPr>
          <w:rFonts w:hint="eastAsia" w:ascii="宋体" w:hAnsi="宋体" w:eastAsia="宋体" w:cs="宋体"/>
          <w:color w:val="auto"/>
          <w:kern w:val="0"/>
          <w:sz w:val="24"/>
          <w:szCs w:val="24"/>
          <w:highlight w:val="none"/>
          <w:u w:val="single"/>
          <w:lang w:eastAsia="zh-CN"/>
        </w:rPr>
        <w:t>承包人须与发包人签订保密协议。</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第2条 发包人</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 发包人义务</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2.2.2 发包人委托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搜集的资料：</w:t>
      </w:r>
      <w:r>
        <w:rPr>
          <w:rFonts w:hint="eastAsia" w:ascii="宋体" w:hAnsi="宋体" w:eastAsia="宋体" w:cs="宋体"/>
          <w:color w:val="auto"/>
          <w:kern w:val="0"/>
          <w:sz w:val="24"/>
          <w:highlight w:val="none"/>
          <w:u w:val="single"/>
          <w:lang w:val="en-US" w:eastAsia="zh-CN"/>
        </w:rPr>
        <w:t xml:space="preserve">                   </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 删除通用合同条款中本款内容。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2.2.4、2.2.5 、2.2.6、2.2.7删除通用合同条款中本款内容，修订为如下内容：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2.2.4 </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CN"/>
        </w:rPr>
        <w:t>不</w:t>
      </w:r>
      <w:r>
        <w:rPr>
          <w:rFonts w:hint="eastAsia" w:ascii="宋体" w:hAnsi="宋体" w:eastAsia="宋体" w:cs="宋体"/>
          <w:sz w:val="24"/>
          <w:highlight w:val="none"/>
          <w:u w:val="single"/>
        </w:rPr>
        <w:t>提供进场通道</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场地外围通道</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场地内部通道及交通运输设备由</w:t>
      </w:r>
      <w:r>
        <w:rPr>
          <w:rFonts w:hint="eastAsia" w:ascii="宋体" w:hAnsi="宋体" w:eastAsia="宋体" w:cs="宋体"/>
          <w:sz w:val="24"/>
          <w:highlight w:val="none"/>
          <w:u w:val="single"/>
          <w:lang w:eastAsia="zh-CN"/>
        </w:rPr>
        <w:t>承包人</w:t>
      </w:r>
      <w:r>
        <w:rPr>
          <w:rFonts w:hint="eastAsia" w:ascii="宋体" w:hAnsi="宋体" w:eastAsia="宋体" w:cs="宋体"/>
          <w:sz w:val="24"/>
          <w:highlight w:val="none"/>
          <w:u w:val="single"/>
        </w:rPr>
        <w:t>自行解决，相关费用已包含在合同价款中，发包人不再单列付费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2.2.5</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发包人不提供作业场地内地下埋藏物（包括地下管线、地下构筑物等）的资料、图纸，</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人应自行调查了解（发包人给予必要协助），相关费用已包含在合同价款中，发包人不再单列付费。</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人在实施工程勘察工作过程中如发生人身伤害或造成经济损失时，须自行承担赔偿责任</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若给发包人造成损失的</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承包人须赔偿发包人的一切损失</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2.2.6</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人实施勘察作业所需的安全生产防护费用已包含在合同价款中，发包人不再单列付费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2.2.7 发包人对安全文明施工的特别要求：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人在实施勘察工作过程中，须遵照执行国家、省、市</w:t>
      </w:r>
      <w:r>
        <w:rPr>
          <w:rFonts w:hint="eastAsia" w:ascii="宋体" w:hAnsi="宋体" w:eastAsia="宋体" w:cs="宋体"/>
          <w:sz w:val="24"/>
          <w:highlight w:val="none"/>
          <w:u w:val="single"/>
          <w:lang w:eastAsia="zh-CN"/>
        </w:rPr>
        <w:t>及相关地区</w:t>
      </w:r>
      <w:r>
        <w:rPr>
          <w:rFonts w:hint="eastAsia" w:ascii="宋体" w:hAnsi="宋体" w:eastAsia="宋体" w:cs="宋体"/>
          <w:sz w:val="24"/>
          <w:highlight w:val="none"/>
          <w:u w:val="single"/>
        </w:rPr>
        <w:t>颁布的关于安全生产、文明施工管理相关规定，所需费用已包含在合同价款中，发包人不再单列付费</w:t>
      </w:r>
      <w:r>
        <w:rPr>
          <w:rFonts w:hint="eastAsia" w:ascii="宋体" w:hAnsi="宋体" w:eastAsia="宋体" w:cs="宋体"/>
          <w:sz w:val="24"/>
          <w:highlight w:val="none"/>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 发包人代表</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姓名：________ 职务：__________ 联系方式：_________________</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授权范围：</w:t>
      </w:r>
      <w:r>
        <w:rPr>
          <w:rFonts w:hint="eastAsia" w:ascii="宋体" w:hAnsi="宋体" w:eastAsia="宋体" w:cs="宋体"/>
          <w:b w:val="0"/>
          <w:bCs/>
          <w:color w:val="auto"/>
          <w:kern w:val="0"/>
          <w:sz w:val="24"/>
          <w:szCs w:val="24"/>
          <w:highlight w:val="none"/>
          <w:lang w:val="en-US" w:eastAsia="zh-CN" w:bidi="ar-SA"/>
        </w:rPr>
        <w:t>代表发包人协调与本包组有关事宜，并行使合同约定的发包人权利，履行合同约定发包人的职责，具体的授权范围以书面的授权委托书为准。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第3条 承包人</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3.1.2 关于分包的约定：</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3.2 承包人义务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（1）承包人</w:t>
      </w:r>
      <w:r>
        <w:rPr>
          <w:rFonts w:hint="eastAsia" w:ascii="宋体" w:hAnsi="宋体" w:eastAsia="宋体" w:cs="宋体"/>
          <w:color w:val="auto"/>
          <w:sz w:val="24"/>
          <w:szCs w:val="24"/>
          <w:highlight w:val="none"/>
        </w:rPr>
        <w:t>应遵守法律和有关技术标准的强制性规定，完成合同约定范围内的</w:t>
      </w:r>
      <w:r>
        <w:rPr>
          <w:rFonts w:hint="eastAsia" w:ascii="宋体" w:hAnsi="宋体" w:eastAsia="宋体" w:cs="宋体"/>
          <w:color w:val="auto"/>
          <w:sz w:val="24"/>
          <w:szCs w:val="24"/>
          <w:highlight w:val="none"/>
          <w:lang w:eastAsia="zh-CN"/>
        </w:rPr>
        <w:t>勘察工作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提供符合技术标准及合同要求的工程</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文件，提供</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配合服务。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包组勘察须组织</w:t>
      </w:r>
      <w:r>
        <w:rPr>
          <w:rFonts w:hint="eastAsia" w:ascii="宋体" w:hAnsi="宋体" w:eastAsia="宋体" w:cs="宋体"/>
          <w:color w:val="auto"/>
          <w:sz w:val="24"/>
          <w:highlight w:val="none"/>
        </w:rPr>
        <w:t>相关专家评审</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，评审会务所发生的费用</w:t>
      </w:r>
      <w:r>
        <w:rPr>
          <w:rFonts w:hint="eastAsia" w:ascii="宋体" w:hAnsi="宋体" w:eastAsia="宋体" w:cs="宋体"/>
          <w:color w:val="auto"/>
          <w:sz w:val="24"/>
          <w:highlight w:val="none"/>
          <w:lang w:eastAsia="zh-CN"/>
        </w:rPr>
        <w:t>（包括但不限于</w:t>
      </w:r>
      <w:r>
        <w:rPr>
          <w:rFonts w:hint="eastAsia" w:ascii="宋体" w:hAnsi="宋体" w:eastAsia="宋体" w:cs="宋体"/>
          <w:color w:val="auto"/>
          <w:sz w:val="24"/>
          <w:highlight w:val="none"/>
        </w:rPr>
        <w:t>会务费、专家评审费、场地租用费、住宿费、修改成果须重新评审的费用等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包含在</w:t>
      </w:r>
      <w:r>
        <w:rPr>
          <w:rFonts w:hint="eastAsia" w:ascii="宋体" w:hAnsi="宋体" w:eastAsia="宋体" w:cs="宋体"/>
          <w:color w:val="auto"/>
          <w:sz w:val="24"/>
          <w:highlight w:val="none"/>
          <w:lang w:eastAsia="zh-CN"/>
        </w:rPr>
        <w:t>合同价</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不另行支付。</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（3）</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在开展勘察工作前若须按发包人的要求对勘察场地进行临时围挡搭设的，围挡搭设需符合相关文件的要求及属地环保部门的相关规定。若当地相关行政部门认为承包人设置的围挡不符合佛山市或相关围蔽围挡的相关规定，</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无条件改正，且发生的一切费用已包含在合同价中，发包人不再另行支付。若围蔽围挡侵害第三人权利，承包人须承担由此产生的责任，包括赔偿第三人的损失，若同时给发包人造成损失的，承包人须承担发包人的一切损失。</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（4）</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勘测现场，</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的人员安全责任及费用由</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负责。</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应对场地进场考察，因勘察需要搭建工棚、安装水电、清理勘察场地、疏通积水、铺设便道、现状道路恢复、绿化恢复、地勘孔封堵等一切费用由承包人负责，发包人将不另行支付。</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lang w:eastAsia="zh-CN"/>
        </w:rPr>
      </w:pPr>
      <w:r>
        <w:rPr>
          <w:rFonts w:hint="eastAsia" w:ascii="宋体" w:hAnsi="Times New Roman" w:eastAsia="宋体" w:cs="宋体"/>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须参加并接受有关部门对项目勘察、实施等工作的监督、检查或审查</w:t>
      </w:r>
      <w:r>
        <w:rPr>
          <w:rFonts w:hint="eastAsia" w:ascii="Times New Roman"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（6）</w:t>
      </w:r>
      <w:r>
        <w:rPr>
          <w:rFonts w:hint="eastAsia" w:ascii="宋体" w:hAnsi="Times New Roman" w:eastAsia="宋体" w:cs="宋体"/>
          <w:color w:val="auto"/>
          <w:kern w:val="0"/>
          <w:sz w:val="24"/>
          <w:szCs w:val="24"/>
          <w:highlight w:val="none"/>
          <w:u w:val="single"/>
          <w:lang w:val="en-US" w:eastAsia="zh-CN"/>
        </w:rPr>
        <w:t>承包人须基于现场条件、各包组协调情况，深化编制勘察大纲，并应在报得发包人同意后分阶段分批次实施勘察工作。</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lang w:eastAsia="zh-CN"/>
        </w:rPr>
      </w:pPr>
      <w:r>
        <w:rPr>
          <w:rFonts w:hint="eastAsia" w:ascii="宋体" w:hAnsi="Times New Roman" w:eastAsia="宋体" w:cs="宋体"/>
          <w:color w:val="auto"/>
          <w:kern w:val="0"/>
          <w:sz w:val="24"/>
          <w:szCs w:val="24"/>
          <w:highlight w:val="none"/>
          <w:u w:val="single"/>
          <w:lang w:val="en-US" w:eastAsia="zh-CN"/>
        </w:rPr>
        <w:t>（7）承包人</w:t>
      </w:r>
      <w:r>
        <w:rPr>
          <w:rFonts w:hint="eastAsia" w:ascii="Times New Roman" w:hAnsi="宋体" w:eastAsia="宋体" w:cs="宋体"/>
          <w:color w:val="auto"/>
          <w:sz w:val="24"/>
          <w:szCs w:val="24"/>
          <w:highlight w:val="none"/>
          <w:u w:val="single"/>
        </w:rPr>
        <w:t>必须主动与发包人沟通，按时办理各事项的审査、批复手续（发包人提供协助）并确保手续的按时完成。在报批过程中</w:t>
      </w:r>
      <w:r>
        <w:rPr>
          <w:rFonts w:hint="eastAsia" w:ascii="Times New Roman" w:hAnsi="宋体" w:eastAsia="宋体" w:cs="宋体"/>
          <w:color w:val="auto"/>
          <w:sz w:val="24"/>
          <w:szCs w:val="24"/>
          <w:highlight w:val="none"/>
          <w:u w:val="single"/>
          <w:lang w:eastAsia="zh-CN"/>
        </w:rPr>
        <w:t>因组织</w:t>
      </w:r>
      <w:r>
        <w:rPr>
          <w:rFonts w:hint="eastAsia" w:ascii="Times New Roman" w:hAnsi="宋体" w:eastAsia="宋体" w:cs="宋体"/>
          <w:color w:val="auto"/>
          <w:sz w:val="24"/>
          <w:szCs w:val="24"/>
          <w:highlight w:val="none"/>
          <w:u w:val="single"/>
        </w:rPr>
        <w:t>会议</w:t>
      </w:r>
      <w:r>
        <w:rPr>
          <w:rFonts w:hint="eastAsia" w:ascii="Times New Roman" w:hAnsi="宋体" w:eastAsia="宋体" w:cs="宋体"/>
          <w:color w:val="auto"/>
          <w:sz w:val="24"/>
          <w:szCs w:val="24"/>
          <w:highlight w:val="none"/>
          <w:u w:val="single"/>
          <w:lang w:eastAsia="zh-CN"/>
        </w:rPr>
        <w:t>或</w:t>
      </w:r>
      <w:r>
        <w:rPr>
          <w:rFonts w:hint="eastAsia" w:ascii="Times New Roman" w:hAnsi="宋体" w:eastAsia="宋体" w:cs="宋体"/>
          <w:color w:val="auto"/>
          <w:sz w:val="24"/>
          <w:szCs w:val="24"/>
          <w:highlight w:val="none"/>
          <w:u w:val="single"/>
        </w:rPr>
        <w:t>专家评审</w:t>
      </w:r>
      <w:r>
        <w:rPr>
          <w:rFonts w:hint="eastAsia" w:ascii="Times New Roman" w:hAnsi="宋体" w:eastAsia="宋体" w:cs="宋体"/>
          <w:color w:val="auto"/>
          <w:sz w:val="24"/>
          <w:szCs w:val="24"/>
          <w:highlight w:val="none"/>
          <w:u w:val="single"/>
          <w:lang w:eastAsia="zh-CN"/>
        </w:rPr>
        <w:t>所产生的一切费</w:t>
      </w:r>
      <w:r>
        <w:rPr>
          <w:rFonts w:hint="eastAsia" w:ascii="Times New Roman" w:hAnsi="宋体" w:eastAsia="宋体" w:cs="宋体"/>
          <w:color w:val="auto"/>
          <w:sz w:val="24"/>
          <w:szCs w:val="24"/>
          <w:highlight w:val="none"/>
          <w:u w:val="single"/>
        </w:rPr>
        <w:t>用由</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支付</w:t>
      </w:r>
      <w:r>
        <w:rPr>
          <w:rFonts w:hint="eastAsia" w:ascii="Times New Roman" w:hAnsi="宋体" w:eastAsia="宋体" w:cs="宋体"/>
          <w:color w:val="auto"/>
          <w:sz w:val="24"/>
          <w:szCs w:val="24"/>
          <w:highlight w:val="none"/>
          <w:u w:val="single"/>
          <w:lang w:eastAsia="zh-CN"/>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imes New Roman" w:hAnsi="Times New Roman" w:eastAsia="宋体" w:cs="Times New Roman"/>
          <w:color w:val="auto"/>
          <w:highlight w:val="none"/>
        </w:rPr>
      </w:pPr>
      <w:r>
        <w:rPr>
          <w:rFonts w:hint="eastAsia" w:ascii="宋体" w:hAnsi="Times New Roman" w:eastAsia="宋体" w:cs="宋体"/>
          <w:kern w:val="0"/>
          <w:sz w:val="24"/>
          <w:szCs w:val="24"/>
          <w:highlight w:val="none"/>
          <w:u w:val="single"/>
          <w:lang w:eastAsia="zh-CN"/>
        </w:rPr>
        <w:t>（</w:t>
      </w:r>
      <w:r>
        <w:rPr>
          <w:rFonts w:hint="eastAsia" w:ascii="宋体" w:hAnsi="Times New Roman" w:eastAsia="宋体" w:cs="宋体"/>
          <w:kern w:val="0"/>
          <w:sz w:val="24"/>
          <w:szCs w:val="24"/>
          <w:highlight w:val="none"/>
          <w:u w:val="single"/>
          <w:lang w:val="en-US" w:eastAsia="zh-CN"/>
        </w:rPr>
        <w:t>8</w:t>
      </w:r>
      <w:r>
        <w:rPr>
          <w:rFonts w:hint="eastAsia" w:ascii="宋体" w:hAnsi="Times New Roman" w:eastAsia="宋体" w:cs="宋体"/>
          <w:kern w:val="0"/>
          <w:sz w:val="24"/>
          <w:szCs w:val="24"/>
          <w:highlight w:val="none"/>
          <w:u w:val="single"/>
          <w:lang w:eastAsia="zh-CN"/>
        </w:rPr>
        <w:t>）</w:t>
      </w:r>
      <w:r>
        <w:rPr>
          <w:rFonts w:hint="eastAsia" w:ascii="宋体" w:hAnsi="Times New Roman" w:eastAsia="宋体" w:cs="宋体"/>
          <w:kern w:val="0"/>
          <w:sz w:val="24"/>
          <w:szCs w:val="24"/>
          <w:highlight w:val="none"/>
          <w:u w:val="single"/>
        </w:rPr>
        <w:t>承包人</w:t>
      </w:r>
      <w:r>
        <w:rPr>
          <w:rFonts w:ascii="宋体" w:hAnsi="Times New Roman" w:eastAsia="宋体" w:cs="宋体"/>
          <w:kern w:val="0"/>
          <w:sz w:val="24"/>
          <w:szCs w:val="24"/>
          <w:highlight w:val="none"/>
          <w:u w:val="single"/>
        </w:rPr>
        <w:t>应接受</w:t>
      </w:r>
      <w:r>
        <w:rPr>
          <w:rFonts w:hint="eastAsia" w:ascii="宋体" w:hAnsi="Times New Roman" w:eastAsia="宋体" w:cs="宋体"/>
          <w:kern w:val="0"/>
          <w:sz w:val="24"/>
          <w:highlight w:val="none"/>
          <w:u w:val="single"/>
          <w:lang w:eastAsia="zh-CN"/>
        </w:rPr>
        <w:t>本项目包组一</w:t>
      </w:r>
      <w:r>
        <w:rPr>
          <w:rFonts w:hint="eastAsia" w:ascii="宋体" w:hAnsi="Times New Roman" w:eastAsia="宋体" w:cs="宋体"/>
          <w:kern w:val="0"/>
          <w:sz w:val="24"/>
          <w:highlight w:val="none"/>
          <w:u w:val="single"/>
        </w:rPr>
        <w:t>承包人</w:t>
      </w:r>
      <w:r>
        <w:rPr>
          <w:rFonts w:ascii="宋体" w:hAnsi="Times New Roman" w:eastAsia="宋体" w:cs="宋体"/>
          <w:kern w:val="0"/>
          <w:sz w:val="24"/>
          <w:highlight w:val="none"/>
          <w:u w:val="single"/>
        </w:rPr>
        <w:t>的统筹协调，配合将本</w:t>
      </w:r>
      <w:r>
        <w:rPr>
          <w:rFonts w:hint="eastAsia" w:ascii="宋体" w:hAnsi="Times New Roman" w:eastAsia="宋体" w:cs="宋体"/>
          <w:kern w:val="0"/>
          <w:sz w:val="24"/>
          <w:highlight w:val="none"/>
          <w:u w:val="single"/>
          <w:lang w:eastAsia="zh-CN"/>
        </w:rPr>
        <w:t>包组</w:t>
      </w:r>
      <w:r>
        <w:rPr>
          <w:rFonts w:ascii="宋体" w:hAnsi="Times New Roman" w:eastAsia="宋体" w:cs="宋体"/>
          <w:kern w:val="0"/>
          <w:sz w:val="24"/>
          <w:highlight w:val="none"/>
          <w:u w:val="single"/>
        </w:rPr>
        <w:t>的勘察和研究成果提交汇总</w:t>
      </w:r>
      <w:r>
        <w:rPr>
          <w:rFonts w:hint="eastAsia" w:ascii="Times New Roman" w:hAnsi="宋体" w:eastAsia="宋体" w:cs="宋体"/>
          <w:color w:val="auto"/>
          <w:sz w:val="24"/>
          <w:szCs w:val="24"/>
          <w:highlight w:val="none"/>
          <w:u w:val="single"/>
        </w:rPr>
        <w:t>。</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3.3 承包人代表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_______ 职务：_________ 联系方式：__________________</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授权范围：处理与本</w:t>
      </w:r>
      <w:r>
        <w:rPr>
          <w:rFonts w:hint="eastAsia" w:ascii="宋体" w:hAnsi="宋体" w:eastAsia="宋体" w:cs="宋体"/>
          <w:color w:val="auto"/>
          <w:kern w:val="0"/>
          <w:sz w:val="24"/>
          <w:szCs w:val="24"/>
          <w:highlight w:val="none"/>
          <w:lang w:eastAsia="zh-CN"/>
        </w:rPr>
        <w:t>包组</w:t>
      </w:r>
      <w:r>
        <w:rPr>
          <w:rFonts w:hint="eastAsia" w:ascii="宋体" w:hAnsi="宋体" w:eastAsia="宋体" w:cs="宋体"/>
          <w:color w:val="auto"/>
          <w:kern w:val="0"/>
          <w:sz w:val="24"/>
          <w:szCs w:val="24"/>
          <w:highlight w:val="none"/>
        </w:rPr>
        <w:t>有关的一切事务</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第4条 工期</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4.2成果提交日期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自发包人发出开工令之日起60日历天内提交最终勘察成果报告，包括：本包组勘察服务报告（含试验测试成果资料）、工程物探报告及其他专题勘察报告资料。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双方约定工期顺延的其他情况：</w:t>
      </w:r>
      <w:r>
        <w:rPr>
          <w:rFonts w:hint="eastAsia" w:ascii="宋体" w:hAnsi="宋体" w:eastAsia="宋体" w:cs="宋体"/>
          <w:color w:val="auto"/>
          <w:kern w:val="0"/>
          <w:sz w:val="24"/>
          <w:highlight w:val="none"/>
          <w:u w:val="single"/>
        </w:rPr>
        <w:t>勘察成果提交日期，最终以满足发包人要求的进度为准。</w:t>
      </w:r>
    </w:p>
    <w:p>
      <w:pPr>
        <w:keepNext w:val="0"/>
        <w:keepLines w:val="0"/>
        <w:widowControl w:val="0"/>
        <w:tabs>
          <w:tab w:val="left" w:pos="12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4.3 发包人造成的工期延误</w:t>
      </w:r>
    </w:p>
    <w:p>
      <w:pPr>
        <w:tabs>
          <w:tab w:val="left" w:pos="900"/>
        </w:tabs>
        <w:adjustRightInd w:val="0"/>
        <w:snapToGrid w:val="0"/>
        <w:spacing w:line="360" w:lineRule="auto"/>
        <w:ind w:firstLine="480" w:firstLineChars="200"/>
        <w:jc w:val="left"/>
        <w:rPr>
          <w:rFonts w:hint="eastAsia" w:ascii="宋体"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4.3.</w:t>
      </w:r>
      <w:r>
        <w:rPr>
          <w:rFonts w:hint="eastAsia" w:ascii="宋体" w:hAnsi="宋体" w:eastAsia="宋体" w:cs="宋体"/>
          <w:color w:val="auto"/>
          <w:kern w:val="0"/>
          <w:sz w:val="24"/>
          <w:szCs w:val="24"/>
          <w:highlight w:val="none"/>
          <w:lang w:val="en-US" w:eastAsia="zh-CN"/>
        </w:rPr>
        <w:t xml:space="preserve">1 </w:t>
      </w:r>
      <w:r>
        <w:rPr>
          <w:rFonts w:hint="eastAsia" w:ascii="宋体" w:hAnsi="宋体" w:eastAsia="宋体" w:cs="宋体"/>
          <w:color w:val="auto"/>
          <w:sz w:val="24"/>
          <w:szCs w:val="24"/>
          <w:highlight w:val="none"/>
        </w:rPr>
        <w:t>双方就工期顺延确定期限的约定：</w:t>
      </w:r>
      <w:r>
        <w:rPr>
          <w:rFonts w:hint="eastAsia" w:ascii="宋体" w:hAnsi="宋体" w:eastAsia="宋体" w:cs="Times New Roman"/>
          <w:color w:val="auto"/>
          <w:sz w:val="24"/>
          <w:highlight w:val="none"/>
          <w:u w:val="single"/>
        </w:rPr>
        <w:t>发包人造成的工期延误的，工期顺延，</w:t>
      </w:r>
      <w:r>
        <w:rPr>
          <w:rFonts w:hint="eastAsia" w:ascii="宋体" w:hAnsi="宋体" w:eastAsia="宋体" w:cs="Times New Roman"/>
          <w:color w:val="auto"/>
          <w:sz w:val="24"/>
          <w:highlight w:val="none"/>
          <w:u w:val="single"/>
          <w:lang w:eastAsia="zh-CN"/>
        </w:rPr>
        <w:t>发包人无需向承包人</w:t>
      </w:r>
      <w:r>
        <w:rPr>
          <w:rFonts w:hint="eastAsia" w:ascii="宋体" w:hAnsi="宋体" w:eastAsia="宋体" w:cs="Times New Roman"/>
          <w:color w:val="auto"/>
          <w:sz w:val="24"/>
          <w:highlight w:val="none"/>
          <w:u w:val="single"/>
        </w:rPr>
        <w:t>补偿费用。</w:t>
      </w:r>
    </w:p>
    <w:p>
      <w:pPr>
        <w:tabs>
          <w:tab w:val="left" w:pos="900"/>
        </w:tabs>
        <w:adjustRightInd w:val="0"/>
        <w:snapToGrid w:val="0"/>
        <w:spacing w:line="360" w:lineRule="auto"/>
        <w:ind w:firstLine="480" w:firstLineChars="200"/>
        <w:jc w:val="left"/>
        <w:rPr>
          <w:rFonts w:hint="default" w:ascii="Times New Roman" w:hAnsi="Times New Roman" w:eastAsia="宋体" w:cs="Times New Roman"/>
          <w:highlight w:val="none"/>
          <w:lang w:val="en-US" w:eastAsia="zh-CN"/>
        </w:rPr>
      </w:pPr>
      <w:r>
        <w:rPr>
          <w:rFonts w:hint="eastAsia" w:ascii="宋体" w:hAnsi="宋体" w:eastAsia="宋体" w:cs="Times New Roman"/>
          <w:color w:val="auto"/>
          <w:sz w:val="24"/>
          <w:highlight w:val="none"/>
          <w:u w:val="single"/>
          <w:lang w:val="en-US" w:eastAsia="zh-CN"/>
        </w:rPr>
        <w:t>4.3.2 承包人没有按照通用条款约定的期限（即通用条款第4.3.1款情形发生后7天内）向发包人提出报告的，</w:t>
      </w:r>
      <w:r>
        <w:rPr>
          <w:rFonts w:hint="eastAsia" w:ascii="宋体" w:hAnsi="宋体" w:eastAsia="宋体" w:cs="Times New Roman"/>
          <w:color w:val="auto"/>
          <w:sz w:val="24"/>
          <w:highlight w:val="none"/>
          <w:u w:val="single"/>
          <w:lang w:val="en-US" w:eastAsia="zh-Hans"/>
        </w:rPr>
        <w:t>视为工期没有延误，承包人仍应按照约定提交成果资料。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第5条 成果资料</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5.2 成果份数</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承包人应向发包人提交勘察报告审定稿一式</w:t>
      </w:r>
      <w:r>
        <w:rPr>
          <w:rFonts w:hint="eastAsia" w:ascii="宋体" w:hAnsi="宋体" w:eastAsia="宋体" w:cs="宋体"/>
          <w:color w:val="auto"/>
          <w:kern w:val="0"/>
          <w:sz w:val="24"/>
          <w:szCs w:val="24"/>
          <w:highlight w:val="none"/>
          <w:lang w:val="en-US" w:eastAsia="zh-CN"/>
        </w:rPr>
        <w:t>拾</w:t>
      </w:r>
      <w:r>
        <w:rPr>
          <w:rFonts w:hint="eastAsia" w:ascii="宋体" w:hAnsi="宋体" w:eastAsia="宋体" w:cs="宋体"/>
          <w:color w:val="auto"/>
          <w:kern w:val="0"/>
          <w:sz w:val="24"/>
          <w:szCs w:val="24"/>
          <w:highlight w:val="none"/>
          <w:lang w:eastAsia="zh-CN"/>
        </w:rPr>
        <w:t>份及全部成果的可编辑电子文件（*.dwg、*.doc、*.xls、*.jpg等格式）</w:t>
      </w:r>
      <w:r>
        <w:rPr>
          <w:rFonts w:hint="eastAsia" w:ascii="宋体" w:hAnsi="宋体" w:eastAsia="宋体" w:cs="宋体"/>
          <w:color w:val="auto"/>
          <w:kern w:val="0"/>
          <w:sz w:val="24"/>
          <w:szCs w:val="24"/>
          <w:highlight w:val="none"/>
        </w:rPr>
        <w:t>；承包人须按照发包人要求提供相关过程汇报和审查成果，不另行增加费用；发包人可按需要求</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增加份数，</w:t>
      </w:r>
      <w:r>
        <w:rPr>
          <w:rFonts w:hint="eastAsia" w:ascii="宋体" w:hAnsi="宋体" w:eastAsia="宋体" w:cs="宋体"/>
          <w:kern w:val="0"/>
          <w:sz w:val="24"/>
          <w:highlight w:val="none"/>
        </w:rPr>
        <w:t>承包人</w:t>
      </w:r>
      <w:r>
        <w:rPr>
          <w:rFonts w:ascii="宋体" w:hAnsi="宋体" w:eastAsia="宋体" w:cs="宋体"/>
          <w:kern w:val="0"/>
          <w:sz w:val="24"/>
          <w:highlight w:val="none"/>
        </w:rPr>
        <w:t>应无条件配合并不另行增加费用</w:t>
      </w:r>
      <w:r>
        <w:rPr>
          <w:rFonts w:hint="eastAsia" w:ascii="宋体" w:hAnsi="宋体" w:eastAsia="宋体" w:cs="宋体"/>
          <w:kern w:val="0"/>
          <w:sz w:val="24"/>
          <w:highlight w:val="none"/>
        </w:rPr>
        <w:t>；</w:t>
      </w:r>
      <w:r>
        <w:rPr>
          <w:rFonts w:hint="eastAsia" w:ascii="宋体" w:hAnsi="宋体" w:eastAsia="宋体" w:cs="宋体"/>
          <w:color w:val="auto"/>
          <w:kern w:val="0"/>
          <w:sz w:val="24"/>
          <w:szCs w:val="24"/>
          <w:highlight w:val="none"/>
        </w:rPr>
        <w:t>电子文件釆用光盘刻录，同时</w:t>
      </w:r>
      <w:r>
        <w:rPr>
          <w:rFonts w:hint="eastAsia" w:ascii="宋体" w:hAnsi="宋体" w:eastAsia="宋体" w:cs="宋体"/>
          <w:color w:val="auto"/>
          <w:kern w:val="0"/>
          <w:sz w:val="24"/>
          <w:szCs w:val="24"/>
          <w:highlight w:val="none"/>
          <w:lang w:eastAsia="zh-CN"/>
        </w:rPr>
        <w:t>按技术要求</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图件</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5.4 成果验收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双方就成果验收期限的约定：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第6条 后期服务</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6.1 后续技术服务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后续技术服务内容约定: </w:t>
      </w:r>
      <w:r>
        <w:rPr>
          <w:rFonts w:hint="eastAsia" w:ascii="宋体" w:hAnsi="宋体" w:eastAsia="宋体" w:cs="宋体"/>
          <w:color w:val="auto"/>
          <w:kern w:val="0"/>
          <w:sz w:val="24"/>
          <w:highlight w:val="none"/>
          <w:u w:val="single"/>
          <w:lang w:eastAsia="zh-CN"/>
        </w:rPr>
        <w:t>承包人应积极配合发包人进行各项后续技术服务工作，并按发包人要求派遣合格的勘察代表参与做好勘察后续服务。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后续技术服务费用约定：</w:t>
      </w:r>
      <w:r>
        <w:rPr>
          <w:rFonts w:hint="eastAsia" w:ascii="宋体" w:hAnsi="宋体" w:eastAsia="宋体" w:cs="宋体"/>
          <w:color w:val="auto"/>
          <w:kern w:val="0"/>
          <w:sz w:val="24"/>
          <w:highlight w:val="none"/>
          <w:u w:val="single"/>
        </w:rPr>
        <w:t>不增加合同费用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后续技术服务时限约定：</w:t>
      </w:r>
      <w:r>
        <w:rPr>
          <w:rFonts w:hint="eastAsia" w:ascii="宋体" w:hAnsi="宋体" w:eastAsia="宋体" w:cs="宋体"/>
          <w:color w:val="auto"/>
          <w:kern w:val="0"/>
          <w:sz w:val="24"/>
          <w:highlight w:val="none"/>
          <w:u w:val="single"/>
        </w:rPr>
        <w:t>以满足项目初步设计审批要求为准。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第7条 合同价款与支付</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7.1 合同价款与调整</w:t>
      </w:r>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双方约定的合同价款调整因素和方法：</w:t>
      </w:r>
      <w:r>
        <w:rPr>
          <w:rFonts w:hint="default" w:ascii="宋体" w:hAnsi="宋体" w:eastAsia="宋体" w:cs="宋体"/>
          <w:color w:val="auto"/>
          <w:kern w:val="0"/>
          <w:sz w:val="24"/>
          <w:highlight w:val="none"/>
          <w:u w:val="single"/>
          <w:lang w:val="en-US" w:eastAsia="zh-CN"/>
        </w:rPr>
        <w:t>机场航站区</w:t>
      </w:r>
      <w:r>
        <w:rPr>
          <w:rFonts w:hint="eastAsia" w:ascii="宋体" w:hAnsi="宋体" w:eastAsia="宋体" w:cs="宋体"/>
          <w:color w:val="auto"/>
          <w:kern w:val="0"/>
          <w:sz w:val="24"/>
          <w:highlight w:val="none"/>
          <w:u w:val="single"/>
          <w:lang w:val="en-US" w:eastAsia="zh-CN"/>
        </w:rPr>
        <w:t>岩土</w:t>
      </w:r>
      <w:r>
        <w:rPr>
          <w:rFonts w:hint="default" w:ascii="宋体" w:hAnsi="宋体" w:eastAsia="宋体" w:cs="宋体"/>
          <w:color w:val="auto"/>
          <w:kern w:val="0"/>
          <w:sz w:val="24"/>
          <w:highlight w:val="none"/>
          <w:u w:val="single"/>
          <w:lang w:val="en-US" w:eastAsia="zh-CN"/>
        </w:rPr>
        <w:t>工程初步勘察工作部分采用固定单价包干，按实结算，但最终结算金额不得超出本</w:t>
      </w:r>
      <w:r>
        <w:rPr>
          <w:rFonts w:hint="eastAsia" w:ascii="宋体" w:hAnsi="宋体" w:eastAsia="宋体" w:cs="宋体"/>
          <w:color w:val="auto"/>
          <w:kern w:val="0"/>
          <w:sz w:val="24"/>
          <w:highlight w:val="none"/>
          <w:u w:val="single"/>
          <w:lang w:val="en-US" w:eastAsia="zh-CN"/>
        </w:rPr>
        <w:t>包组</w:t>
      </w:r>
      <w:r>
        <w:rPr>
          <w:rFonts w:hint="default" w:ascii="宋体" w:hAnsi="宋体" w:eastAsia="宋体" w:cs="宋体"/>
          <w:color w:val="auto"/>
          <w:kern w:val="0"/>
          <w:sz w:val="24"/>
          <w:highlight w:val="none"/>
          <w:u w:val="single"/>
          <w:lang w:val="en-US" w:eastAsia="zh-CN"/>
        </w:rPr>
        <w:t>签约合同价</w:t>
      </w:r>
      <w:r>
        <w:rPr>
          <w:rFonts w:hint="eastAsia" w:ascii="宋体" w:hAnsi="宋体" w:eastAsia="宋体" w:cs="宋体"/>
          <w:color w:val="auto"/>
          <w:kern w:val="0"/>
          <w:sz w:val="24"/>
          <w:highlight w:val="none"/>
          <w:u w:val="single"/>
          <w:lang w:eastAsia="zh-CN"/>
        </w:rPr>
        <w:t>。</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7.1.1.1</w:t>
      </w:r>
      <w:r>
        <w:rPr>
          <w:rFonts w:hint="eastAsia" w:ascii="宋体" w:hAnsi="宋体" w:eastAsia="宋体" w:cs="宋体"/>
          <w:color w:val="auto"/>
          <w:kern w:val="0"/>
          <w:sz w:val="24"/>
          <w:highlight w:val="none"/>
        </w:rPr>
        <w:t>暂列金额：本合同的岩溶勘察部分预留金（或称暂列金额）人民币（大写）</w:t>
      </w:r>
      <w:r>
        <w:rPr>
          <w:rFonts w:hint="eastAsia" w:ascii="宋体" w:hAnsi="宋体" w:eastAsia="宋体" w:cs="宋体"/>
          <w:color w:val="auto"/>
          <w:kern w:val="0"/>
          <w:sz w:val="24"/>
          <w:highlight w:val="none"/>
          <w:lang w:eastAsia="zh-CN"/>
        </w:rPr>
        <w:t>捌拾</w:t>
      </w:r>
      <w:r>
        <w:rPr>
          <w:rFonts w:hint="eastAsia" w:ascii="宋体" w:hAnsi="宋体" w:eastAsia="宋体" w:cs="宋体"/>
          <w:color w:val="auto"/>
          <w:kern w:val="0"/>
          <w:sz w:val="24"/>
          <w:highlight w:val="none"/>
        </w:rPr>
        <w:t>万元整（¥</w:t>
      </w:r>
      <w:r>
        <w:rPr>
          <w:rFonts w:hint="eastAsia" w:ascii="宋体" w:hAnsi="宋体" w:eastAsia="宋体" w:cs="宋体"/>
          <w:color w:val="auto"/>
          <w:kern w:val="0"/>
          <w:sz w:val="24"/>
          <w:highlight w:val="none"/>
          <w:lang w:eastAsia="zh-CN"/>
        </w:rPr>
        <w:t>800,000.00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该</w:t>
      </w:r>
      <w:r>
        <w:rPr>
          <w:rFonts w:hint="eastAsia" w:ascii="宋体" w:hAnsi="宋体" w:eastAsia="宋体" w:cs="宋体"/>
          <w:color w:val="auto"/>
          <w:kern w:val="0"/>
          <w:sz w:val="24"/>
          <w:highlight w:val="none"/>
        </w:rPr>
        <w:t>项金额应按甲方的书面指示全部或部分地使用，或不予使用。</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7.1.1.2</w:t>
      </w:r>
      <w:r>
        <w:rPr>
          <w:rFonts w:hint="eastAsia" w:ascii="宋体" w:hAnsi="宋体" w:eastAsia="宋体" w:cs="宋体"/>
          <w:color w:val="auto"/>
          <w:kern w:val="0"/>
          <w:sz w:val="24"/>
          <w:highlight w:val="none"/>
        </w:rPr>
        <w:t>当甲方委托乙方承担岩溶勘察的工作服务需使用暂列金额时，须经发包人</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监理工程师确认现场签证并按实际发生</w:t>
      </w:r>
      <w:r>
        <w:rPr>
          <w:rFonts w:hint="eastAsia" w:ascii="宋体" w:hAnsi="宋体" w:eastAsia="宋体" w:cs="宋体"/>
          <w:color w:val="auto"/>
          <w:kern w:val="0"/>
          <w:sz w:val="24"/>
          <w:highlight w:val="none"/>
          <w:lang w:eastAsia="zh-CN"/>
        </w:rPr>
        <w:t>量进行</w:t>
      </w:r>
      <w:r>
        <w:rPr>
          <w:rFonts w:hint="eastAsia" w:ascii="宋体" w:hAnsi="宋体" w:eastAsia="宋体" w:cs="宋体"/>
          <w:color w:val="auto"/>
          <w:kern w:val="0"/>
          <w:sz w:val="24"/>
          <w:highlight w:val="none"/>
        </w:rPr>
        <w:t>结算，如未发生上述的情况，结算时需扣减该费用。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w:t>
      </w:r>
      <w:r>
        <w:rPr>
          <w:rFonts w:hint="eastAsia" w:ascii="宋体" w:hAnsi="宋体" w:eastAsia="宋体" w:cs="宋体"/>
          <w:color w:val="auto"/>
          <w:kern w:val="0"/>
          <w:sz w:val="24"/>
          <w:szCs w:val="24"/>
          <w:highlight w:val="none"/>
          <w:lang w:val="en-US" w:eastAsia="zh-CN"/>
        </w:rPr>
        <w:t xml:space="preserve"> 合同价格形式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（1）采用总价合同，合同价款中包括的风险范围：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风险费用的计算方法：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风险范围以外合同价款调整因素和方法：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（2）采用单价合同，合同价款中包括的风险范围：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风险范围以外合同单价调整因素和方法：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（3）采用的其他合同价款形式及调整因素和方法：</w:t>
      </w:r>
      <w:r>
        <w:rPr>
          <w:rFonts w:hint="eastAsia" w:ascii="宋体" w:hAnsi="宋体" w:eastAsia="宋体" w:cs="宋体"/>
          <w:color w:val="auto"/>
          <w:kern w:val="0"/>
          <w:sz w:val="24"/>
          <w:szCs w:val="24"/>
          <w:highlight w:val="none"/>
          <w:u w:val="single"/>
          <w:lang w:val="en-US" w:eastAsia="zh-CN"/>
        </w:rPr>
        <w:t>另行商定</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7.1.3双方</w:t>
      </w:r>
      <w:r>
        <w:rPr>
          <w:rFonts w:hint="eastAsia" w:ascii="宋体" w:hAnsi="宋体" w:eastAsia="宋体" w:cs="宋体"/>
          <w:color w:val="auto"/>
          <w:sz w:val="24"/>
          <w:szCs w:val="24"/>
          <w:highlight w:val="none"/>
        </w:rPr>
        <w:t>就合同价款调整确认期限的约定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7.2 </w:t>
      </w:r>
      <w:r>
        <w:rPr>
          <w:rFonts w:hint="eastAsia" w:ascii="宋体" w:hAnsi="Times New Roman" w:eastAsia="宋体" w:cs="宋体"/>
          <w:b/>
          <w:bCs/>
          <w:color w:val="auto"/>
          <w:kern w:val="0"/>
          <w:sz w:val="24"/>
          <w:szCs w:val="24"/>
          <w:highlight w:val="none"/>
          <w:lang w:val="en-US" w:eastAsia="zh-CN" w:bidi="ar-SA"/>
        </w:rPr>
        <w:t>履约担保、</w:t>
      </w:r>
      <w:r>
        <w:rPr>
          <w:rFonts w:hint="eastAsia" w:ascii="宋体" w:hAnsi="宋体" w:eastAsia="宋体" w:cs="宋体"/>
          <w:b/>
          <w:bCs/>
          <w:color w:val="auto"/>
          <w:kern w:val="0"/>
          <w:sz w:val="24"/>
          <w:szCs w:val="24"/>
          <w:highlight w:val="none"/>
          <w:lang w:val="en-US" w:eastAsia="zh-CN" w:bidi="ar-SA"/>
        </w:rPr>
        <w:t>定金或预付款</w:t>
      </w:r>
    </w:p>
    <w:p>
      <w:pPr>
        <w:tabs>
          <w:tab w:val="left" w:pos="900"/>
        </w:tabs>
        <w:adjustRightInd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7.2.1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eastAsia="zh-CN"/>
        </w:rPr>
        <w:t>履约担保的比例：签约合同价的10%（在签订服务合同后10天内递交）。履约保证金形式：不可撤销银行保函或专业担保公司保函。</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出具银行保函的银行级别：国有商业银行或股份制商业银行的支行或以上级别银行。</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履约保证金的有效期：承包人应保证其履约保证金在约定退回之日前一直有效。</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履约保证金退回时间：于完成所有服务内容后</w:t>
      </w:r>
      <w:r>
        <w:rPr>
          <w:rFonts w:hint="eastAsia" w:ascii="宋体" w:hAnsi="Times New Roman" w:eastAsia="宋体" w:cs="宋体"/>
          <w:color w:val="auto"/>
          <w:kern w:val="0"/>
          <w:sz w:val="24"/>
          <w:szCs w:val="24"/>
          <w:highlight w:val="none"/>
          <w:u w:val="single"/>
          <w:lang w:val="en-US" w:eastAsia="zh-CN"/>
        </w:rPr>
        <w:t>10天内</w:t>
      </w:r>
      <w:r>
        <w:rPr>
          <w:rFonts w:hint="eastAsia" w:ascii="宋体" w:hAnsi="Times New Roman" w:eastAsia="宋体" w:cs="宋体"/>
          <w:color w:val="auto"/>
          <w:kern w:val="0"/>
          <w:sz w:val="24"/>
          <w:szCs w:val="24"/>
          <w:highlight w:val="none"/>
          <w:u w:val="single"/>
          <w:lang w:eastAsia="zh-CN"/>
        </w:rPr>
        <w:t>退还给承包人。</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履约保证金用于补偿发包人因承包人的过失导致未能达到合同约定的服务和质量等要求而蒙受的损失或承包人违反合同应承担的违约金。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在本包组合同执行期间，如因承包人的过失或工作不配合的原因造成发包人经济损失的，发包人有权根据损失的数额直接在履约保证金中扣除并书面通知承包人。承包人在收到发包人的通知后，应在3个工作日内补足被扣除的履约保证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lang w:eastAsia="zh-CN"/>
        </w:rPr>
      </w:pPr>
      <w:r>
        <w:rPr>
          <w:rFonts w:hint="eastAsia" w:ascii="宋体" w:hAnsi="Times New Roman" w:eastAsia="宋体" w:cs="宋体"/>
          <w:color w:val="auto"/>
          <w:kern w:val="0"/>
          <w:sz w:val="24"/>
          <w:szCs w:val="24"/>
          <w:highlight w:val="none"/>
          <w:u w:val="single"/>
          <w:lang w:val="en-US" w:eastAsia="zh-CN"/>
        </w:rPr>
        <w:t>承包人在合同履行期间不按合同约定履行义务的，发包人有权单方终止合同并没收全额履约保证金，由此产生的一切经济损失由承包人自行承担</w:t>
      </w:r>
      <w:r>
        <w:rPr>
          <w:rFonts w:hint="eastAsia" w:ascii="宋体" w:hAnsi="Times New Roman" w:eastAsia="宋体" w:cs="宋体"/>
          <w:color w:val="auto"/>
          <w:kern w:val="0"/>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7.2.1.2</w:t>
      </w:r>
      <w:r>
        <w:rPr>
          <w:rFonts w:hint="eastAsia" w:ascii="宋体" w:hAnsi="Times New Roman" w:eastAsia="宋体" w:cs="宋体"/>
          <w:color w:val="auto"/>
          <w:kern w:val="0"/>
          <w:sz w:val="24"/>
          <w:szCs w:val="24"/>
          <w:highlight w:val="none"/>
          <w:lang w:eastAsia="zh-CN"/>
        </w:rPr>
        <w:t>定金的比例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7.2.1.3</w:t>
      </w:r>
      <w:r>
        <w:rPr>
          <w:rFonts w:hint="eastAsia" w:ascii="宋体" w:hAnsi="宋体" w:eastAsia="宋体" w:cs="宋体"/>
          <w:color w:val="auto"/>
          <w:kern w:val="0"/>
          <w:sz w:val="24"/>
          <w:szCs w:val="24"/>
          <w:highlight w:val="none"/>
        </w:rPr>
        <w:t>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支付预付款的金额：</w:t>
      </w:r>
      <w:r>
        <w:rPr>
          <w:rFonts w:hint="eastAsia" w:ascii="宋体" w:hAnsi="宋体" w:eastAsia="宋体" w:cs="宋体"/>
          <w:color w:val="auto"/>
          <w:kern w:val="0"/>
          <w:sz w:val="24"/>
          <w:szCs w:val="24"/>
          <w:highlight w:val="none"/>
          <w:u w:val="single"/>
          <w:lang w:val="en-US" w:eastAsia="zh-CN"/>
        </w:rPr>
        <w:t>工程勘察费签约合同价扣除暂列金额后的金额的10%</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7.2.2预付款在进度款中的抵扣办法：</w:t>
      </w:r>
      <w:r>
        <w:rPr>
          <w:rFonts w:hint="eastAsia" w:ascii="宋体" w:hAnsi="宋体" w:eastAsia="宋体" w:cs="宋体"/>
          <w:color w:val="auto"/>
          <w:kern w:val="0"/>
          <w:sz w:val="24"/>
          <w:szCs w:val="24"/>
          <w:highlight w:val="none"/>
          <w:u w:val="single"/>
          <w:lang w:val="en-US" w:eastAsia="zh-CN"/>
        </w:rPr>
        <w:t>发包人向承包人支付的预付款自动转为进度款，并在承包人第一次申请进度款时进行全额抵扣</w:t>
      </w:r>
      <w:r>
        <w:rPr>
          <w:rFonts w:hint="eastAsia" w:ascii="宋体" w:hAnsi="宋体" w:eastAsia="宋体" w:cs="宋体"/>
          <w:color w:val="auto"/>
          <w:kern w:val="0"/>
          <w:sz w:val="24"/>
          <w:szCs w:val="24"/>
          <w:highlight w:val="none"/>
          <w:u w:val="none"/>
          <w:lang w:val="en-US"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7.3 进度款支付</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7.3.1双方约定的进度款支付方式、支付条件和支付时间：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合同正式签署，承包人向发包人提出支付申请并获得同意起15个工作日内，发包人向承包人支付工程勘察费签约合同价扣除暂列金额后的金额的10%作为预付款。发包人向承包人支付的预付款自动转为进度款，并在承包人第一次申请进度款时进行全额抵扣。</w:t>
      </w:r>
    </w:p>
    <w:p>
      <w:pPr>
        <w:pStyle w:val="50"/>
        <w:keepNext w:val="0"/>
        <w:keepLines w:val="0"/>
        <w:pageBreakBefore w:val="0"/>
        <w:widowControl w:val="0"/>
        <w:numPr>
          <w:ilvl w:val="0"/>
          <w:numId w:val="0"/>
        </w:numPr>
        <w:shd w:val="clear" w:color="auto" w:fill="auto"/>
        <w:tabs>
          <w:tab w:val="left" w:pos="1045"/>
        </w:tabs>
        <w:kinsoku/>
        <w:wordWrap/>
        <w:overflowPunct/>
        <w:topLinePunct w:val="0"/>
        <w:autoSpaceDE/>
        <w:autoSpaceDN/>
        <w:bidi w:val="0"/>
        <w:spacing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val="en-US" w:eastAsia="zh-CN"/>
        </w:rPr>
        <w:t>2）</w:t>
      </w:r>
      <w:r>
        <w:rPr>
          <w:rFonts w:hint="eastAsia" w:cs="宋体"/>
          <w:color w:val="auto"/>
          <w:spacing w:val="0"/>
          <w:w w:val="100"/>
          <w:position w:val="0"/>
          <w:sz w:val="24"/>
          <w:szCs w:val="24"/>
          <w:highlight w:val="none"/>
          <w:u w:val="single"/>
          <w:lang w:val="en-US" w:eastAsia="zh-CN"/>
        </w:rPr>
        <w:t>根据勘察进度，承包人根据实际勘察进度向监理人书面上报已完成的并经确认的工程量及工程进度款（监理人在7日内审批并报发包人），发包人在收到监理人提交的工程量及工程进度款的确认材料并经审批确认后，在15</w:t>
      </w:r>
      <w:r>
        <w:rPr>
          <w:rFonts w:hint="eastAsia" w:ascii="宋体" w:hAnsi="宋体" w:eastAsia="宋体" w:cs="宋体"/>
          <w:color w:val="auto"/>
          <w:kern w:val="0"/>
          <w:sz w:val="24"/>
          <w:szCs w:val="24"/>
          <w:highlight w:val="none"/>
          <w:u w:val="single"/>
          <w:lang w:eastAsia="zh-CN"/>
        </w:rPr>
        <w:t>个工作</w:t>
      </w:r>
      <w:r>
        <w:rPr>
          <w:rFonts w:hint="eastAsia" w:cs="宋体"/>
          <w:color w:val="auto"/>
          <w:spacing w:val="0"/>
          <w:w w:val="100"/>
          <w:position w:val="0"/>
          <w:sz w:val="24"/>
          <w:szCs w:val="24"/>
          <w:highlight w:val="none"/>
          <w:u w:val="single"/>
          <w:lang w:val="en-US" w:eastAsia="zh-CN"/>
        </w:rPr>
        <w:t>日内支付实际完成工程款（含经监理人审核、发包人审批确认的暂列金额费用）的80%，当承包人累计申请支付的进度款（含预付款）达到合同金额的70%后不予支付进度款</w:t>
      </w:r>
      <w:r>
        <w:rPr>
          <w:rFonts w:hint="eastAsia" w:ascii="宋体" w:hAnsi="宋体" w:eastAsia="宋体" w:cs="宋体"/>
          <w:color w:val="auto"/>
          <w:spacing w:val="0"/>
          <w:w w:val="100"/>
          <w:positio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pacing w:val="0"/>
          <w:w w:val="100"/>
          <w:position w:val="0"/>
          <w:sz w:val="24"/>
          <w:szCs w:val="24"/>
          <w:highlight w:val="none"/>
          <w:u w:val="single"/>
          <w:lang w:val="en-US" w:eastAsia="zh-CN"/>
        </w:rPr>
        <w:t>（3）</w:t>
      </w:r>
      <w:r>
        <w:rPr>
          <w:rFonts w:hint="eastAsia" w:ascii="宋体" w:hAnsi="宋体" w:eastAsia="宋体" w:cs="宋体"/>
          <w:color w:val="auto"/>
          <w:sz w:val="24"/>
          <w:highlight w:val="none"/>
          <w:u w:val="single"/>
          <w:lang w:eastAsia="zh-CN"/>
        </w:rPr>
        <w:t>承包人按要求完成全部勘察和测量工作，且提交的勘察报告和测量报告送审并通过专家审查合格后，承包人将所有勘察和测量成果提交给发包人，承包人向发包人提出支付申请并获得同意起15</w:t>
      </w:r>
      <w:r>
        <w:rPr>
          <w:rFonts w:hint="eastAsia" w:ascii="宋体" w:hAnsi="宋体" w:eastAsia="宋体" w:cs="宋体"/>
          <w:color w:val="auto"/>
          <w:kern w:val="0"/>
          <w:sz w:val="24"/>
          <w:szCs w:val="24"/>
          <w:highlight w:val="none"/>
          <w:u w:val="single"/>
          <w:lang w:eastAsia="zh-CN"/>
        </w:rPr>
        <w:t>个工作</w:t>
      </w:r>
      <w:r>
        <w:rPr>
          <w:rFonts w:hint="eastAsia" w:ascii="宋体" w:hAnsi="宋体" w:eastAsia="宋体" w:cs="宋体"/>
          <w:color w:val="auto"/>
          <w:sz w:val="24"/>
          <w:highlight w:val="none"/>
          <w:u w:val="single"/>
          <w:lang w:eastAsia="zh-CN"/>
        </w:rPr>
        <w:t>日内，发包人向承包人支付至工程结算金额的90%</w:t>
      </w:r>
      <w:r>
        <w:rPr>
          <w:rFonts w:hint="eastAsia" w:ascii="宋体" w:hAnsi="宋体" w:eastAsia="宋体" w:cs="宋体"/>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lang w:eastAsia="zh-CN"/>
        </w:rPr>
      </w:pPr>
      <w:r>
        <w:rPr>
          <w:rFonts w:hint="eastAsia" w:ascii="宋体" w:hAnsi="宋体" w:eastAsia="宋体" w:cs="Times New Roman"/>
          <w:b w:val="0"/>
          <w:color w:val="auto"/>
          <w:sz w:val="24"/>
          <w:szCs w:val="20"/>
          <w:highlight w:val="none"/>
          <w:lang w:eastAsia="zh-CN"/>
        </w:rPr>
        <w:t>（4）</w:t>
      </w:r>
      <w:r>
        <w:rPr>
          <w:rFonts w:hint="eastAsia" w:ascii="宋体" w:hAnsi="宋体" w:eastAsia="宋体" w:cs="Times New Roman"/>
          <w:b w:val="0"/>
          <w:color w:val="auto"/>
          <w:sz w:val="24"/>
          <w:szCs w:val="20"/>
          <w:highlight w:val="none"/>
          <w:u w:val="single"/>
          <w:lang w:eastAsia="zh-CN"/>
        </w:rPr>
        <w:t>承包人完成了合同规定的全部勘察工作任务并提交了最终勘察报告，并按合同约定向发包人移交全部技术成果，且经发包人考核并完成勘察服务费结算，并配合发包人完成机场可行性研究和取得岩土工程专业初步设计批复后，承包人向发包人提出支付申请并获得发包人同意之日起15</w:t>
      </w:r>
      <w:r>
        <w:rPr>
          <w:rFonts w:hint="eastAsia" w:ascii="宋体" w:hAnsi="宋体" w:eastAsia="宋体" w:cs="宋体"/>
          <w:color w:val="auto"/>
          <w:kern w:val="0"/>
          <w:sz w:val="24"/>
          <w:szCs w:val="24"/>
          <w:highlight w:val="none"/>
          <w:u w:val="single"/>
          <w:lang w:eastAsia="zh-CN"/>
        </w:rPr>
        <w:t>个工作</w:t>
      </w:r>
      <w:r>
        <w:rPr>
          <w:rFonts w:hint="eastAsia" w:ascii="宋体" w:hAnsi="宋体" w:eastAsia="宋体" w:cs="Times New Roman"/>
          <w:b w:val="0"/>
          <w:color w:val="auto"/>
          <w:sz w:val="24"/>
          <w:szCs w:val="20"/>
          <w:highlight w:val="none"/>
          <w:u w:val="single"/>
          <w:lang w:eastAsia="zh-CN"/>
        </w:rPr>
        <w:t>日内，支付至实际结算勘察费用的100%。</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lang w:eastAsia="zh-CN"/>
        </w:rPr>
      </w:pPr>
      <w:r>
        <w:rPr>
          <w:rFonts w:hint="eastAsia" w:ascii="宋体" w:hAnsi="宋体" w:eastAsia="宋体" w:cs="Times New Roman"/>
          <w:b w:val="0"/>
          <w:color w:val="auto"/>
          <w:sz w:val="24"/>
          <w:szCs w:val="20"/>
          <w:highlight w:val="none"/>
          <w:lang w:eastAsia="zh-CN"/>
        </w:rPr>
        <w:t>注：</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rPr>
      </w:pPr>
      <w:r>
        <w:rPr>
          <w:rFonts w:hint="eastAsia" w:ascii="宋体" w:hAnsi="宋体" w:eastAsia="宋体" w:cs="Times New Roman"/>
          <w:b w:val="0"/>
          <w:color w:val="auto"/>
          <w:sz w:val="24"/>
          <w:szCs w:val="20"/>
          <w:highlight w:val="none"/>
        </w:rPr>
        <w:t>1、所有款项的支付应提出申请，并附证明材料，经</w:t>
      </w:r>
      <w:r>
        <w:rPr>
          <w:rFonts w:hint="eastAsia" w:ascii="宋体" w:hAnsi="宋体" w:eastAsia="宋体" w:cs="Times New Roman"/>
          <w:b w:val="0"/>
          <w:color w:val="auto"/>
          <w:sz w:val="24"/>
          <w:szCs w:val="20"/>
          <w:highlight w:val="none"/>
          <w:lang w:eastAsia="zh-CN"/>
        </w:rPr>
        <w:t>发包</w:t>
      </w:r>
      <w:r>
        <w:rPr>
          <w:rFonts w:hint="eastAsia" w:ascii="宋体" w:hAnsi="宋体" w:eastAsia="宋体" w:cs="Times New Roman"/>
          <w:b w:val="0"/>
          <w:color w:val="auto"/>
          <w:sz w:val="24"/>
          <w:szCs w:val="20"/>
          <w:highlight w:val="none"/>
        </w:rPr>
        <w:t>人审核后才办理支付手续。</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color w:val="auto"/>
          <w:sz w:val="24"/>
          <w:szCs w:val="20"/>
          <w:highlight w:val="none"/>
        </w:rPr>
      </w:pPr>
      <w:r>
        <w:rPr>
          <w:rFonts w:hint="eastAsia" w:ascii="宋体" w:hAnsi="宋体" w:eastAsia="宋体" w:cs="Times New Roman"/>
          <w:b w:val="0"/>
          <w:color w:val="auto"/>
          <w:sz w:val="24"/>
          <w:szCs w:val="20"/>
          <w:highlight w:val="none"/>
        </w:rPr>
        <w:t>2、</w:t>
      </w:r>
      <w:r>
        <w:rPr>
          <w:rFonts w:hint="eastAsia" w:ascii="宋体" w:hAnsi="宋体" w:eastAsia="宋体" w:cs="Times New Roman"/>
          <w:b w:val="0"/>
          <w:color w:val="auto"/>
          <w:sz w:val="24"/>
          <w:szCs w:val="20"/>
          <w:highlight w:val="none"/>
          <w:lang w:eastAsia="zh-CN"/>
        </w:rPr>
        <w:t>承包人收取款项时应提供等额有效的增值税普通发票。承包人提供等额合法有效发票是发包人付款的前提条件。否则，因付款期限未届至，发包人有权拒绝付款且不承担任何违约责任，承包人仍应履行合同义务</w:t>
      </w:r>
      <w:r>
        <w:rPr>
          <w:rFonts w:hint="eastAsia" w:ascii="宋体" w:hAnsi="宋体" w:eastAsia="宋体" w:cs="Times New Roman"/>
          <w:b w:val="0"/>
          <w:color w:val="auto"/>
          <w:sz w:val="24"/>
          <w:szCs w:val="20"/>
          <w:highlight w:val="none"/>
        </w:rPr>
        <w:t>。</w:t>
      </w:r>
    </w:p>
    <w:p>
      <w:pPr>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7.4 合同价款结算</w:t>
      </w:r>
    </w:p>
    <w:p>
      <w:pPr>
        <w:keepNext w:val="0"/>
        <w:keepLines w:val="0"/>
        <w:pageBreakBefore w:val="0"/>
        <w:widowControl/>
        <w:numPr>
          <w:ilvl w:val="0"/>
          <w:numId w:val="156"/>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实际进尺量以</w:t>
      </w:r>
      <w:r>
        <w:rPr>
          <w:rFonts w:hint="default"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lang w:val="en-US" w:eastAsia="zh-CN"/>
        </w:rPr>
        <w:t>甲方</w:t>
      </w:r>
      <w:r>
        <w:rPr>
          <w:rFonts w:hint="eastAsia" w:ascii="Times New Roman" w:hAnsi="Times New Roman" w:eastAsia="宋体" w:cs="宋体"/>
          <w:color w:val="auto"/>
          <w:kern w:val="0"/>
          <w:sz w:val="24"/>
          <w:highlight w:val="none"/>
          <w:lang w:val="en-US" w:eastAsia="zh-CN"/>
        </w:rPr>
        <w:t>及监理人</w:t>
      </w:r>
      <w:r>
        <w:rPr>
          <w:rFonts w:hint="default" w:ascii="宋体" w:hAnsi="宋体" w:eastAsia="宋体" w:cs="宋体"/>
          <w:color w:val="auto"/>
          <w:kern w:val="0"/>
          <w:sz w:val="24"/>
          <w:highlight w:val="none"/>
          <w:lang w:val="en-US" w:eastAsia="zh-CN"/>
        </w:rPr>
        <w:t>确认的</w:t>
      </w:r>
      <w:r>
        <w:rPr>
          <w:rFonts w:hint="eastAsia" w:ascii="宋体" w:hAnsi="宋体" w:eastAsia="宋体" w:cs="宋体"/>
          <w:color w:val="auto"/>
          <w:kern w:val="0"/>
          <w:sz w:val="24"/>
          <w:highlight w:val="none"/>
          <w:lang w:val="en-US" w:eastAsia="zh-CN"/>
        </w:rPr>
        <w:t>为准</w:t>
      </w:r>
      <w:r>
        <w:rPr>
          <w:rFonts w:hint="eastAsia" w:ascii="宋体" w:hAnsi="宋体" w:eastAsia="宋体" w:cs="Times New Roman"/>
          <w:color w:val="auto"/>
          <w:sz w:val="24"/>
          <w:highlight w:val="none"/>
          <w:lang w:eastAsia="zh-CN"/>
        </w:rPr>
        <w:t>。</w:t>
      </w:r>
    </w:p>
    <w:p>
      <w:pPr>
        <w:keepNext w:val="0"/>
        <w:keepLines w:val="0"/>
        <w:pageBreakBefore w:val="0"/>
        <w:widowControl/>
        <w:numPr>
          <w:ilvl w:val="0"/>
          <w:numId w:val="156"/>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rPr>
      </w:pPr>
      <w:r>
        <w:rPr>
          <w:rFonts w:hint="eastAsia" w:ascii="宋体" w:hAnsi="宋体" w:eastAsia="宋体" w:cs="宋体"/>
          <w:color w:val="auto"/>
          <w:kern w:val="0"/>
          <w:sz w:val="24"/>
          <w:szCs w:val="24"/>
          <w:highlight w:val="none"/>
          <w:lang w:eastAsia="zh-CN"/>
        </w:rPr>
        <w:t>机场航站区岩土工程初步勘察工作</w:t>
      </w:r>
      <w:r>
        <w:rPr>
          <w:rFonts w:hint="eastAsia" w:ascii="宋体" w:hAnsi="宋体" w:eastAsia="宋体" w:cs="Times New Roman"/>
          <w:color w:val="auto"/>
          <w:sz w:val="24"/>
          <w:highlight w:val="none"/>
          <w:lang w:eastAsia="zh-CN"/>
        </w:rPr>
        <w:t>结算价=</w:t>
      </w:r>
      <w:r>
        <w:rPr>
          <w:rFonts w:hint="eastAsia" w:ascii="宋体" w:hAnsi="宋体" w:eastAsia="宋体" w:cs="仿宋_GB2312"/>
          <w:b w:val="0"/>
          <w:bCs w:val="0"/>
          <w:color w:val="auto"/>
          <w:sz w:val="24"/>
          <w:szCs w:val="24"/>
          <w:highlight w:val="none"/>
          <w:lang w:eastAsia="zh-CN"/>
        </w:rPr>
        <w:t>机场航站区岩土工程初步勘察工作部分</w:t>
      </w:r>
      <w:r>
        <w:rPr>
          <w:rFonts w:hint="eastAsia" w:ascii="宋体" w:hAnsi="宋体" w:eastAsia="宋体" w:cs="宋体"/>
          <w:color w:val="auto"/>
          <w:kern w:val="0"/>
          <w:sz w:val="24"/>
          <w:szCs w:val="24"/>
          <w:highlight w:val="none"/>
          <w:lang w:val="en-US" w:eastAsia="zh-CN" w:bidi="ar"/>
        </w:rPr>
        <w:t>钻孔</w:t>
      </w:r>
      <w:r>
        <w:rPr>
          <w:rFonts w:hint="eastAsia" w:ascii="宋体" w:hAnsi="宋体" w:eastAsia="宋体" w:cs="Times New Roman"/>
          <w:color w:val="auto"/>
          <w:sz w:val="24"/>
          <w:highlight w:val="none"/>
          <w:lang w:eastAsia="zh-CN"/>
        </w:rPr>
        <w:t>中标综合单价×实际进尺量（需经过甲方及监理人确认）</w:t>
      </w:r>
      <w:r>
        <w:rPr>
          <w:rFonts w:hint="eastAsia" w:ascii="宋体" w:hAnsi="宋体" w:eastAsia="宋体" w:cs="Times New Roman"/>
          <w:color w:val="auto"/>
          <w:sz w:val="24"/>
          <w:highlight w:val="none"/>
        </w:rPr>
        <w:t>；</w:t>
      </w:r>
    </w:p>
    <w:p>
      <w:pPr>
        <w:keepNext w:val="0"/>
        <w:keepLines w:val="0"/>
        <w:pageBreakBefore w:val="0"/>
        <w:widowControl/>
        <w:numPr>
          <w:ilvl w:val="0"/>
          <w:numId w:val="156"/>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eastAsia="zh-CN"/>
        </w:rPr>
        <w:t>机场航站区岩土工程初步勘察工作</w:t>
      </w:r>
      <w:r>
        <w:rPr>
          <w:rFonts w:hint="eastAsia" w:ascii="宋体" w:hAnsi="宋体" w:eastAsia="宋体" w:cs="Times New Roman"/>
          <w:color w:val="auto"/>
          <w:sz w:val="24"/>
          <w:highlight w:val="none"/>
          <w:lang w:eastAsia="zh-CN"/>
        </w:rPr>
        <w:t>综合单价包括但不限于人工、勘察材料以及加工、技术工作收费以及办理工程勘察相关许可、购买有关资料、工程测量、水中作业平台、水上作业用船及水监、机械设备进退场和搬运费、施工操作平台搭设、技术报告费（包含但不限于专家交通费、住宿费、场地租用费、会议餐费、专家评审费等）、试验、安全技术、青苗补偿等勘察及管理费用、税金等全部费用。</w:t>
      </w:r>
      <w:r>
        <w:rPr>
          <w:rFonts w:hint="eastAsia" w:ascii="宋体" w:hAnsi="宋体" w:eastAsia="宋体" w:cs="仿宋_GB2312"/>
          <w:b w:val="0"/>
          <w:bCs w:val="0"/>
          <w:color w:val="auto"/>
          <w:sz w:val="24"/>
          <w:szCs w:val="24"/>
          <w:highlight w:val="none"/>
          <w:lang w:eastAsia="zh-CN"/>
        </w:rPr>
        <w:t>机场航站区岩土工程初步勘察工作部分</w:t>
      </w:r>
      <w:r>
        <w:rPr>
          <w:rFonts w:hint="eastAsia" w:ascii="宋体" w:hAnsi="宋体" w:eastAsia="宋体" w:cs="宋体"/>
          <w:color w:val="auto"/>
          <w:kern w:val="0"/>
          <w:sz w:val="24"/>
          <w:szCs w:val="24"/>
          <w:highlight w:val="none"/>
          <w:lang w:val="en-US" w:eastAsia="zh-CN" w:bidi="ar"/>
        </w:rPr>
        <w:t>钻孔</w:t>
      </w:r>
      <w:r>
        <w:rPr>
          <w:rFonts w:hint="eastAsia" w:ascii="宋体" w:hAnsi="宋体" w:eastAsia="宋体" w:cs="Times New Roman"/>
          <w:color w:val="auto"/>
          <w:sz w:val="24"/>
          <w:highlight w:val="none"/>
          <w:lang w:eastAsia="zh-CN"/>
        </w:rPr>
        <w:t>综合单价不因项目规模调整、国家政策调整、服务周期变化或法规、标准、土层岩层变化及市场因素等任何变化而进行调整。</w:t>
      </w:r>
    </w:p>
    <w:p>
      <w:pPr>
        <w:keepNext w:val="0"/>
        <w:keepLines w:val="0"/>
        <w:pageBreakBefore w:val="0"/>
        <w:widowControl/>
        <w:numPr>
          <w:ilvl w:val="0"/>
          <w:numId w:val="156"/>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highlight w:val="none"/>
        </w:rPr>
        <w:t>暂列金额以经发包人和监理工程师</w:t>
      </w:r>
      <w:r>
        <w:rPr>
          <w:rFonts w:hint="eastAsia" w:ascii="宋体" w:hAnsi="宋体" w:eastAsia="宋体" w:cs="宋体"/>
          <w:color w:val="auto"/>
          <w:kern w:val="0"/>
          <w:sz w:val="24"/>
          <w:highlight w:val="none"/>
          <w:lang w:eastAsia="zh-CN"/>
        </w:rPr>
        <w:t>双方</w:t>
      </w:r>
      <w:r>
        <w:rPr>
          <w:rFonts w:hint="eastAsia" w:ascii="宋体" w:hAnsi="宋体" w:eastAsia="宋体" w:cs="宋体"/>
          <w:color w:val="auto"/>
          <w:kern w:val="0"/>
          <w:sz w:val="24"/>
          <w:highlight w:val="none"/>
        </w:rPr>
        <w:t>确认现场签证</w:t>
      </w:r>
      <w:r>
        <w:rPr>
          <w:rFonts w:hint="eastAsia" w:ascii="宋体" w:hAnsi="宋体" w:eastAsia="宋体" w:cs="宋体"/>
          <w:color w:val="auto"/>
          <w:kern w:val="0"/>
          <w:sz w:val="24"/>
          <w:highlight w:val="none"/>
          <w:lang w:eastAsia="zh-CN"/>
        </w:rPr>
        <w:t>并按实际发生</w:t>
      </w:r>
      <w:r>
        <w:rPr>
          <w:rFonts w:hint="eastAsia" w:ascii="宋体" w:hAnsi="宋体" w:eastAsia="宋体" w:cs="宋体"/>
          <w:color w:val="auto"/>
          <w:kern w:val="0"/>
          <w:sz w:val="24"/>
          <w:highlight w:val="none"/>
        </w:rPr>
        <w:t>量进行结算</w:t>
      </w:r>
      <w:r>
        <w:rPr>
          <w:rFonts w:hint="eastAsia" w:ascii="宋体" w:hAnsi="宋体" w:eastAsia="宋体" w:cs="宋体"/>
          <w:color w:val="auto"/>
          <w:kern w:val="0"/>
          <w:sz w:val="24"/>
          <w:szCs w:val="24"/>
          <w:highlight w:val="none"/>
          <w:u w:val="none"/>
        </w:rPr>
        <w:t>。</w:t>
      </w:r>
    </w:p>
    <w:p>
      <w:pPr>
        <w:keepNext w:val="0"/>
        <w:keepLines w:val="0"/>
        <w:pageBreakBefore w:val="0"/>
        <w:widowControl/>
        <w:numPr>
          <w:ilvl w:val="0"/>
          <w:numId w:val="156"/>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Times New Roman"/>
          <w:color w:val="auto"/>
          <w:sz w:val="24"/>
          <w:highlight w:val="none"/>
          <w:u w:val="none"/>
        </w:rPr>
        <w:t>最终结算金额不得超出合同金额</w:t>
      </w:r>
      <w:r>
        <w:rPr>
          <w:rFonts w:ascii="宋体" w:hAnsi="宋体" w:eastAsia="宋体" w:cs="Times New Roman"/>
          <w:color w:val="auto"/>
          <w:sz w:val="24"/>
          <w:highlight w:val="non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第8条 变更与调整</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8.1  变更范围与确认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变更范围的其他约定：</w:t>
      </w:r>
      <w:r>
        <w:rPr>
          <w:rFonts w:hint="eastAsia" w:ascii="宋体" w:hAnsi="宋体" w:eastAsia="宋体" w:cs="宋体"/>
          <w:color w:val="auto"/>
          <w:kern w:val="0"/>
          <w:sz w:val="24"/>
          <w:highlight w:val="none"/>
          <w:u w:val="single"/>
          <w:lang w:eastAsia="zh-CN"/>
        </w:rPr>
        <w:t>勘察过程中，承包人根据项目的工程条件（或工作现场地形地貌、地质和水文地质条件）、技术规范要求、设计方案及勘察范围，可向发包人提出增减工作量或修改勘察工作的意见，经发包人同意后办理正式变更手续。</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变更提出和确认期限的约定：</w:t>
      </w:r>
      <w:r>
        <w:rPr>
          <w:rFonts w:hint="eastAsia" w:ascii="宋体" w:hAnsi="宋体" w:eastAsia="宋体" w:cs="Times New Roman"/>
          <w:color w:val="auto"/>
          <w:sz w:val="24"/>
          <w:highlight w:val="none"/>
          <w:u w:val="single"/>
          <w:lang w:eastAsia="zh-CN"/>
        </w:rPr>
        <w:t>双方协商确认</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both"/>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8.2  变更合同价款确定</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提出变更合同价款报告期限的约定：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8.2.3 确认变更合同价款报告时限的约定：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第9条 知识产权</w:t>
      </w:r>
    </w:p>
    <w:p>
      <w:pPr>
        <w:tabs>
          <w:tab w:val="left" w:pos="1260"/>
        </w:tabs>
        <w:snapToGrid w:val="0"/>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9.1关于发包人提供给</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的图纸、发包人为实施工程自行编制或委托编制的反映发包人要求或其他类似性质的文件的著作权的归属：</w:t>
      </w:r>
      <w:r>
        <w:rPr>
          <w:rFonts w:hint="eastAsia" w:ascii="宋体" w:hAnsi="宋体" w:eastAsia="宋体" w:cs="宋体"/>
          <w:b w:val="0"/>
          <w:bCs w:val="0"/>
          <w:color w:val="auto"/>
          <w:sz w:val="24"/>
          <w:szCs w:val="24"/>
          <w:highlight w:val="none"/>
          <w:u w:val="single"/>
        </w:rPr>
        <w:t>归发包人所有，</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未经发包人同意不得引用、发表和向第三者提供，合同终止后，</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应无条件归还发包人。</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9.2</w:t>
      </w:r>
      <w:r>
        <w:rPr>
          <w:rFonts w:hint="eastAsia" w:ascii="宋体" w:hAnsi="宋体" w:eastAsia="宋体" w:cs="宋体"/>
          <w:b w:val="0"/>
          <w:bCs w:val="0"/>
          <w:color w:val="auto"/>
          <w:sz w:val="24"/>
          <w:szCs w:val="24"/>
          <w:highlight w:val="none"/>
        </w:rPr>
        <w:t>关于发包人提供的上述文件的使用限制的要求：</w:t>
      </w:r>
      <w:r>
        <w:rPr>
          <w:rFonts w:hint="eastAsia" w:ascii="宋体" w:hAnsi="宋体" w:eastAsia="宋体" w:cs="宋体"/>
          <w:b w:val="0"/>
          <w:bCs w:val="0"/>
          <w:color w:val="auto"/>
          <w:sz w:val="24"/>
          <w:szCs w:val="24"/>
          <w:highlight w:val="none"/>
          <w:u w:val="single"/>
        </w:rPr>
        <w:t>原则上仅限于本合同的</w:t>
      </w:r>
      <w:r>
        <w:rPr>
          <w:rFonts w:hint="eastAsia" w:ascii="宋体" w:hAnsi="宋体" w:eastAsia="宋体" w:cs="宋体"/>
          <w:b w:val="0"/>
          <w:bCs w:val="0"/>
          <w:color w:val="auto"/>
          <w:sz w:val="24"/>
          <w:szCs w:val="24"/>
          <w:highlight w:val="none"/>
          <w:u w:val="single"/>
          <w:lang w:eastAsia="zh-CN"/>
        </w:rPr>
        <w:t>勘察</w:t>
      </w:r>
      <w:r>
        <w:rPr>
          <w:rFonts w:hint="eastAsia" w:ascii="宋体" w:hAnsi="宋体" w:eastAsia="宋体" w:cs="宋体"/>
          <w:b w:val="0"/>
          <w:bCs w:val="0"/>
          <w:color w:val="auto"/>
          <w:sz w:val="24"/>
          <w:szCs w:val="24"/>
          <w:highlight w:val="none"/>
          <w:u w:val="single"/>
        </w:rPr>
        <w:t>工作，如特殊情况，</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应书面向发包人提出申请，经发包人同意后，按发包人要求执行。</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9.</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为实施工程所编制文件的著作权的归属：</w:t>
      </w:r>
      <w:r>
        <w:rPr>
          <w:rFonts w:hint="eastAsia" w:ascii="宋体" w:hAnsi="宋体" w:eastAsia="宋体" w:cs="宋体"/>
          <w:b w:val="0"/>
          <w:bCs w:val="0"/>
          <w:color w:val="auto"/>
          <w:sz w:val="24"/>
          <w:szCs w:val="24"/>
          <w:highlight w:val="none"/>
          <w:u w:val="single"/>
        </w:rPr>
        <w:t>归发包人所有，发包人引用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。无论发生何种情形（包括但不限于合同提前终止或解除），发包人均有权利用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的阶段性工作成果，并且发包人引用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9.4</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sz w:val="24"/>
          <w:szCs w:val="24"/>
          <w:highlight w:val="none"/>
          <w:lang w:eastAsia="zh-CN"/>
        </w:rPr>
        <w:t>承包人</w:t>
      </w:r>
      <w:r>
        <w:rPr>
          <w:rFonts w:hint="eastAsia" w:ascii="宋体" w:hAnsi="宋体" w:eastAsia="宋体" w:cs="宋体"/>
          <w:b w:val="0"/>
          <w:bCs w:val="0"/>
          <w:color w:val="auto"/>
          <w:sz w:val="24"/>
          <w:szCs w:val="24"/>
          <w:highlight w:val="none"/>
        </w:rPr>
        <w:t>提供的上述文件的使用限制的要求：</w:t>
      </w:r>
      <w:r>
        <w:rPr>
          <w:rFonts w:hint="eastAsia" w:ascii="宋体" w:hAnsi="宋体" w:eastAsia="宋体" w:cs="宋体"/>
          <w:b w:val="0"/>
          <w:bCs w:val="0"/>
          <w:color w:val="auto"/>
          <w:sz w:val="24"/>
          <w:szCs w:val="24"/>
          <w:highlight w:val="none"/>
          <w:u w:val="single"/>
        </w:rPr>
        <w:t>需征得发包人同意。</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9.5  </w:t>
      </w:r>
      <w:r>
        <w:rPr>
          <w:rFonts w:hint="eastAsia" w:ascii="宋体" w:hAnsi="宋体" w:eastAsia="宋体" w:cs="宋体"/>
          <w:b/>
          <w:bCs/>
          <w:color w:val="auto"/>
          <w:kern w:val="2"/>
          <w:sz w:val="24"/>
          <w:szCs w:val="24"/>
          <w:highlight w:val="none"/>
          <w:lang w:val="en-US" w:eastAsia="zh-CN" w:bidi="ar-SA"/>
        </w:rPr>
        <w:t>承包人在工作过程中所采用的专利、专有技术、技术秘密的使用费的承担方式：</w:t>
      </w:r>
      <w:r>
        <w:rPr>
          <w:rFonts w:hint="eastAsia" w:ascii="宋体" w:hAnsi="宋体" w:eastAsia="宋体" w:cs="宋体"/>
          <w:b w:val="0"/>
          <w:bCs/>
          <w:color w:val="auto"/>
          <w:kern w:val="2"/>
          <w:sz w:val="24"/>
          <w:szCs w:val="24"/>
          <w:highlight w:val="none"/>
          <w:u w:val="single"/>
          <w:lang w:val="en-US" w:eastAsia="zh-CN" w:bidi="ar-SA"/>
        </w:rPr>
        <w:t>按通用条款。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第10条 不可抗力</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10.1 不可抗力的确认</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双方关于不可抗力的其他约定（如政府临时禁令）：</w:t>
      </w:r>
      <w:r>
        <w:rPr>
          <w:rFonts w:hint="eastAsia" w:ascii="宋体" w:hAnsi="宋体" w:eastAsia="宋体" w:cs="宋体"/>
          <w:color w:val="auto"/>
          <w:kern w:val="0"/>
          <w:sz w:val="24"/>
          <w:szCs w:val="24"/>
          <w:highlight w:val="none"/>
          <w:u w:val="single"/>
        </w:rPr>
        <w:t>如果发生了双方都无法控制的意外情况（如战争、自然灾荒等），致使本合同不能如期履行时，本合同应自动顺延履行，且双方不被视为违约，但双方应尽一切努力终止或减少上述因素的影响。上述因素一旦消失，双方应立即采取措施继续履行本合同，否则作违约论。</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10.2 不可抗力的通知</w:t>
      </w:r>
    </w:p>
    <w:p>
      <w:pPr>
        <w:adjustRightInd w:val="0"/>
        <w:snapToGrid w:val="0"/>
        <w:spacing w:line="360" w:lineRule="auto"/>
        <w:ind w:left="479" w:leftChars="22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报告受害损失期限的约定：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向发包人通报受害损失情况及费用期限的约定：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第13条 责任与保险</w:t>
      </w:r>
    </w:p>
    <w:p>
      <w:pPr>
        <w:tabs>
          <w:tab w:val="left" w:pos="1260"/>
        </w:tabs>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13.2 </w:t>
      </w:r>
      <w:r>
        <w:rPr>
          <w:rFonts w:hint="eastAsia" w:ascii="宋体" w:hAnsi="宋体" w:eastAsia="宋体" w:cs="宋体"/>
          <w:bCs/>
          <w:color w:val="auto"/>
          <w:kern w:val="0"/>
          <w:sz w:val="24"/>
          <w:szCs w:val="24"/>
          <w:highlight w:val="none"/>
        </w:rPr>
        <w:t>工程勘察责任保险的约定：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第14条 违约</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14.1 发包人违约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（1）发包人支付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的违约金：</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（2）发包人发生其他违约情形应承担的违约责任：</w:t>
      </w:r>
      <w:r>
        <w:rPr>
          <w:rFonts w:hint="eastAsia" w:ascii="宋体" w:hAnsi="宋体" w:eastAsia="宋体" w:cs="宋体"/>
          <w:color w:val="auto"/>
          <w:kern w:val="0"/>
          <w:sz w:val="24"/>
          <w:szCs w:val="24"/>
          <w:highlight w:val="none"/>
          <w:u w:val="single"/>
          <w:lang w:eastAsia="zh-CN"/>
        </w:rPr>
        <w:t>在合同履行期间，发包人要求终止或解除合同，承包人未开始勘察工作的，不退还发包人已付的预付款；已开始勘察工作的，发包人应根据承包人已进行的实际工作量协商结算费用。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14.2 承包人违约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numPr>
          <w:ilvl w:val="0"/>
          <w:numId w:val="0"/>
        </w:num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支付发包人的违约金：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（1）勘察</w:t>
      </w:r>
      <w:r>
        <w:rPr>
          <w:rFonts w:hint="eastAsia" w:cs="宋体"/>
          <w:color w:val="auto"/>
          <w:spacing w:val="0"/>
          <w:w w:val="100"/>
          <w:kern w:val="0"/>
          <w:position w:val="0"/>
          <w:sz w:val="24"/>
          <w:szCs w:val="24"/>
          <w:highlight w:val="none"/>
          <w:u w:val="none"/>
          <w:lang w:val="en-US" w:eastAsia="zh-CN" w:bidi="ar-SA"/>
        </w:rPr>
        <w:t>人</w:t>
      </w:r>
      <w:r>
        <w:rPr>
          <w:rFonts w:hint="eastAsia" w:ascii="宋体" w:hAnsi="宋体" w:eastAsia="宋体" w:cs="宋体"/>
          <w:color w:val="auto"/>
          <w:spacing w:val="0"/>
          <w:w w:val="100"/>
          <w:kern w:val="0"/>
          <w:position w:val="0"/>
          <w:sz w:val="24"/>
          <w:szCs w:val="24"/>
          <w:highlight w:val="none"/>
          <w:u w:val="none"/>
          <w:lang w:val="en-US" w:eastAsia="zh-CN" w:bidi="ar-SA"/>
        </w:rPr>
        <w:t>将勘察任务转包，或者未经发包人书面同意私自分包的，发包人将有权选择解除合同或合同继续履行，合同继续履行的，发包人有权要求承包人按签约合同价5%支付违约金。合同解除的，承包人按签约合同价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2）承包人未按照国家、建设部及交通部等部门现行的强制性技术标准、规范和规程进行勘察,发包人有权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3）承包人未能按约定提交勘察成果的（发包人同意延长期限或非承包人原因造成逾期的除外），则每延误工期一天，扣罚承包人勘察费5000元违约金。延期超过30天时，发包人有权解除合同，合同解除的，承包人按签约合同价10%支付违约金，如违约金不足以弥补发包人损失的，承包人仍应赔偿发包人损失</w:t>
      </w:r>
      <w:r>
        <w:rPr>
          <w:rFonts w:hint="eastAsia" w:ascii="宋体" w:hAnsi="宋体" w:eastAsia="宋体" w:cs="宋体"/>
          <w:color w:val="auto"/>
          <w:kern w:val="0"/>
          <w:sz w:val="24"/>
          <w:szCs w:val="24"/>
          <w:highlight w:val="none"/>
          <w:u w:val="none"/>
          <w:lang w:val="en-US" w:eastAsia="zh-CN" w:bidi="ar-SA"/>
        </w:rPr>
        <w:t>。</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4）因勘察深度不够、资料不足以及勘察质量低劣而被要求返工从而造成质量问题的，除由承包人负责继续完善勘察外，发包人还可视造成的时间延误和费用损失，发包人有权要求承包人按签约合同价5%-10%支付违约金，如违约金不足以弥补发包人损失的，承包人仍应赔偿发包人损失。如经三次返工，承包人仍未能提供符合本合同约定的勘察成果，发包人有权解除合同并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（5）承包人若未及时选派合格的勘察代表参与现场勘察服务的，每延期15天（不足15天按15天计），发包人将按签约合同价总金额的5%计扣承包人的违约金。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（6）因勘察错误而造成一般质量事故的，承包人除应免收受损失部分的勘察费外，承包人还应无偿继续完善勘察工作，并承担相当于直接损失部分的赔偿金。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（7）因勘察错误而造成重大质量事故的，除执行14.2.2（6）的规定外，还应赔</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偿由此造成的直接和间接损失，同时发包人有权报请有关主管部门视事故造成的损失情况给予其他处罚。</w:t>
      </w:r>
    </w:p>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17"/>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数据做假，导致</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结果不真实，</w:t>
      </w:r>
      <w:r>
        <w:rPr>
          <w:rFonts w:hint="eastAsia" w:ascii="宋体" w:hAnsi="宋体" w:eastAsia="宋体" w:cs="宋体"/>
          <w:color w:val="auto"/>
          <w:sz w:val="24"/>
          <w:highlight w:val="none"/>
          <w:lang w:val="en-US" w:eastAsia="zh-CN"/>
        </w:rPr>
        <w:t>发包人将上报主管单位，并</w:t>
      </w:r>
      <w:r>
        <w:rPr>
          <w:rFonts w:hint="eastAsia" w:ascii="宋体" w:hAnsi="宋体" w:eastAsia="宋体" w:cs="宋体"/>
          <w:color w:val="auto"/>
          <w:sz w:val="24"/>
          <w:highlight w:val="none"/>
        </w:rPr>
        <w:t>处</w:t>
      </w:r>
      <w:r>
        <w:rPr>
          <w:rFonts w:hint="eastAsia" w:ascii="宋体" w:hAnsi="宋体" w:eastAsia="宋体" w:cs="宋体"/>
          <w:color w:val="auto"/>
          <w:sz w:val="24"/>
          <w:highlight w:val="none"/>
          <w:lang w:eastAsia="zh-CN"/>
        </w:rPr>
        <w:t>签约合同价</w:t>
      </w:r>
      <w:r>
        <w:rPr>
          <w:rFonts w:hint="eastAsia" w:ascii="宋体" w:hAnsi="宋体" w:eastAsia="宋体" w:cs="宋体"/>
          <w:color w:val="auto"/>
          <w:sz w:val="24"/>
          <w:highlight w:val="none"/>
        </w:rPr>
        <w:t>的10%的违约金，</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终止或解除合同，清退并通报检测单位。</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（9）所有违约金、赔偿金在承包人勘察费中扣除，无法扣除或无法足额扣除的，发包人有权随时要求承包人进行赔偿。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事故或其他事故时的赔偿金上限：</w:t>
      </w:r>
      <w:r>
        <w:rPr>
          <w:rFonts w:hint="eastAsia" w:ascii="宋体" w:hAnsi="宋体" w:eastAsia="宋体" w:cs="宋体"/>
          <w:color w:val="auto"/>
          <w:kern w:val="0"/>
          <w:sz w:val="24"/>
          <w:szCs w:val="24"/>
          <w:highlight w:val="none"/>
          <w:u w:val="single"/>
          <w:lang w:eastAsia="zh-CN"/>
        </w:rPr>
        <w:t>签约合同价的</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发生其他违约情形应承担的违约责任：</w:t>
      </w:r>
      <w:r>
        <w:rPr>
          <w:rFonts w:hint="eastAsia" w:ascii="宋体" w:hAnsi="宋体" w:eastAsia="宋体" w:cs="宋体"/>
          <w:color w:val="auto"/>
          <w:kern w:val="0"/>
          <w:sz w:val="24"/>
          <w:szCs w:val="24"/>
          <w:highlight w:val="none"/>
          <w:lang w:eastAsia="zh-CN"/>
        </w:rPr>
        <w:t>承包人发生其他违约情形应承担的违约责任:按通用合同条款及工程所在地的地方性法规、自治条例、单行条例和地方政府规章等执行。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未按合同约定提供组织保证方面服务，影响履行职责的，发包人有权要求</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履行职责，或给予批评、警告、扣除</w:t>
      </w:r>
      <w:r>
        <w:rPr>
          <w:rFonts w:hint="eastAsia" w:ascii="宋体" w:hAnsi="宋体" w:eastAsia="宋体" w:cs="宋体"/>
          <w:snapToGrid w:val="0"/>
          <w:color w:val="auto"/>
          <w:sz w:val="24"/>
          <w:szCs w:val="24"/>
          <w:highlight w:val="none"/>
          <w:lang w:eastAsia="zh-CN"/>
        </w:rPr>
        <w:t>承包人勘察费</w:t>
      </w:r>
      <w:r>
        <w:rPr>
          <w:rFonts w:hint="eastAsia" w:ascii="宋体" w:hAnsi="宋体" w:eastAsia="宋体" w:cs="宋体"/>
          <w:snapToGrid w:val="0"/>
          <w:color w:val="auto"/>
          <w:sz w:val="24"/>
          <w:szCs w:val="24"/>
          <w:highlight w:val="none"/>
        </w:rPr>
        <w:t>、撤换人员的处罚，直至解除与责任单位的合同关系。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第15条 索赔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15.1 发包人索赔</w:t>
      </w:r>
    </w:p>
    <w:p>
      <w:pPr>
        <w:keepNext w:val="0"/>
        <w:keepLines w:val="0"/>
        <w:pageBreakBefore w:val="0"/>
        <w:widowControl w:val="0"/>
        <w:tabs>
          <w:tab w:val="left" w:pos="1260"/>
        </w:tabs>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15.2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索赔</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第16条 争议解决</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16.3 仲裁或诉讼</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双方约定在履行合同过程中产生争议时，采取下列第</w:t>
      </w:r>
      <w:r>
        <w:rPr>
          <w:rFonts w:hint="eastAsia" w:ascii="宋体" w:hAnsi="宋体" w:eastAsia="宋体" w:cs="Times New Roman"/>
          <w:color w:val="auto"/>
          <w:sz w:val="24"/>
          <w:szCs w:val="24"/>
          <w:highlight w:val="none"/>
          <w:u w:val="single"/>
        </w:rPr>
        <w:t>（2）</w:t>
      </w:r>
      <w:r>
        <w:rPr>
          <w:rFonts w:hint="eastAsia" w:ascii="宋体" w:hAnsi="宋体" w:eastAsia="宋体" w:cs="宋体"/>
          <w:color w:val="auto"/>
          <w:kern w:val="0"/>
          <w:sz w:val="24"/>
          <w:szCs w:val="24"/>
          <w:highlight w:val="none"/>
        </w:rPr>
        <w:t>种方式解决：</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人民法院提起诉讼。</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第17条 补充条款</w:t>
      </w:r>
    </w:p>
    <w:p>
      <w:pPr>
        <w:tabs>
          <w:tab w:val="left" w:pos="126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双方根据有关法律法规规定，结合实际经协商一致，补充约定如下：</w:t>
      </w:r>
    </w:p>
    <w:p>
      <w:pPr>
        <w:adjustRightInd w:val="0"/>
        <w:snapToGrid w:val="0"/>
        <w:spacing w:line="360" w:lineRule="auto"/>
        <w:ind w:firstLine="420" w:firstLineChars="175"/>
        <w:rPr>
          <w:rFonts w:ascii="宋体" w:hAnsi="Times New Roman" w:eastAsia="宋体" w:cs="宋体"/>
          <w:color w:val="auto"/>
          <w:kern w:val="0"/>
          <w:sz w:val="24"/>
          <w:szCs w:val="24"/>
          <w:highlight w:val="none"/>
        </w:rPr>
      </w:pPr>
      <w:r>
        <w:rPr>
          <w:rFonts w:ascii="宋体" w:hAnsi="Times New Roman" w:eastAsia="宋体" w:cs="宋体"/>
          <w:color w:val="auto"/>
          <w:kern w:val="0"/>
          <w:sz w:val="24"/>
          <w:szCs w:val="24"/>
          <w:highlight w:val="none"/>
        </w:rPr>
        <w:t>1</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对本合同未尽事宜，本着以工程利益为重的原则，友好协商解决，由当事人及时协</w:t>
      </w:r>
      <w:r>
        <w:rPr>
          <w:rFonts w:hint="eastAsia" w:ascii="宋体" w:hAnsi="Times New Roman" w:eastAsia="宋体" w:cs="宋体"/>
          <w:color w:val="auto"/>
          <w:kern w:val="0"/>
          <w:sz w:val="24"/>
          <w:szCs w:val="24"/>
          <w:highlight w:val="none"/>
        </w:rPr>
        <w:t>商签署补充协议。合同双方签署的有关协议、技术讨论纪要等文件均为本合同的组成部分，与本合同具有同等效力。</w:t>
      </w:r>
    </w:p>
    <w:p>
      <w:pPr>
        <w:adjustRightInd w:val="0"/>
        <w:snapToGrid w:val="0"/>
        <w:spacing w:line="360" w:lineRule="auto"/>
        <w:ind w:firstLine="420" w:firstLineChars="175"/>
        <w:rPr>
          <w:rFonts w:ascii="宋体" w:hAnsi="Times New Roman" w:eastAsia="宋体" w:cs="宋体"/>
          <w:color w:val="auto"/>
          <w:kern w:val="0"/>
          <w:sz w:val="30"/>
          <w:szCs w:val="30"/>
          <w:highlight w:val="none"/>
        </w:rPr>
      </w:pPr>
      <w:r>
        <w:rPr>
          <w:rFonts w:hint="eastAsia"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lang w:eastAsia="zh-CN"/>
        </w:rPr>
        <w:t>、</w:t>
      </w:r>
      <w:r>
        <w:rPr>
          <w:rFonts w:ascii="宋体" w:hAnsi="Times New Roman" w:eastAsia="宋体" w:cs="宋体"/>
          <w:color w:val="auto"/>
          <w:kern w:val="0"/>
          <w:sz w:val="24"/>
          <w:szCs w:val="24"/>
          <w:highlight w:val="none"/>
        </w:rPr>
        <w:t>在本合同执行过程中若发生分歧或争议，按合同约定及《中华人民共和国</w:t>
      </w:r>
      <w:r>
        <w:rPr>
          <w:rFonts w:hint="eastAsia" w:ascii="宋体" w:hAnsi="Times New Roman" w:eastAsia="宋体" w:cs="宋体"/>
          <w:color w:val="auto"/>
          <w:kern w:val="0"/>
          <w:sz w:val="24"/>
          <w:szCs w:val="24"/>
          <w:highlight w:val="none"/>
          <w:lang w:eastAsia="zh-CN"/>
        </w:rPr>
        <w:t>民法典</w:t>
      </w:r>
      <w:r>
        <w:rPr>
          <w:rFonts w:ascii="宋体" w:hAnsi="Times New Roman" w:eastAsia="宋体" w:cs="宋体"/>
          <w:color w:val="auto"/>
          <w:kern w:val="0"/>
          <w:sz w:val="24"/>
          <w:szCs w:val="24"/>
          <w:highlight w:val="none"/>
        </w:rPr>
        <w:t>》、《建设工程勘察设计合同条例》的有关规定通过协商及时解决；如果协商不成，可以向</w:t>
      </w:r>
      <w:r>
        <w:rPr>
          <w:rFonts w:hint="eastAsia" w:ascii="宋体" w:hAnsi="Times New Roman" w:eastAsia="宋体" w:cs="宋体"/>
          <w:color w:val="auto"/>
          <w:kern w:val="0"/>
          <w:sz w:val="24"/>
          <w:szCs w:val="24"/>
          <w:highlight w:val="none"/>
          <w:lang w:eastAsia="zh-CN"/>
        </w:rPr>
        <w:t>工程</w:t>
      </w:r>
      <w:r>
        <w:rPr>
          <w:rFonts w:ascii="宋体" w:hAnsi="Times New Roman" w:eastAsia="宋体" w:cs="宋体"/>
          <w:color w:val="auto"/>
          <w:kern w:val="0"/>
          <w:sz w:val="24"/>
          <w:szCs w:val="24"/>
          <w:highlight w:val="none"/>
        </w:rPr>
        <w:t>所在地法院起诉</w:t>
      </w:r>
      <w:r>
        <w:rPr>
          <w:rFonts w:hint="eastAsia" w:ascii="宋体" w:hAnsi="Times New Roman"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kern w:val="0"/>
          <w:sz w:val="28"/>
          <w:szCs w:val="28"/>
          <w:highlight w:val="none"/>
        </w:rPr>
        <w:sectPr>
          <w:pgSz w:w="11906" w:h="16838"/>
          <w:pgMar w:top="1440" w:right="1797" w:bottom="1440" w:left="1797" w:header="851" w:footer="992" w:gutter="0"/>
          <w:cols w:space="720" w:num="1"/>
          <w:titlePg/>
          <w:docGrid w:type="lines" w:linePitch="312" w:charSpace="0"/>
        </w:sectPr>
      </w:pPr>
    </w:p>
    <w:p>
      <w:pPr>
        <w:spacing w:before="100" w:beforeLines="0" w:beforeAutospacing="1" w:after="100" w:afterLines="0" w:afterAutospacing="1" w:line="280" w:lineRule="atLeast"/>
        <w:jc w:val="left"/>
        <w:rPr>
          <w:rFonts w:hint="default" w:ascii="Times New Roman" w:hAnsi="Times New Roman" w:eastAsia="宋体" w:cs="Times New Roman"/>
          <w:color w:val="auto"/>
          <w:kern w:val="0"/>
          <w:sz w:val="30"/>
          <w:szCs w:val="28"/>
          <w:highlight w:val="none"/>
        </w:rPr>
      </w:pPr>
      <w:r>
        <w:rPr>
          <w:rFonts w:hint="default" w:ascii="Times New Roman" w:hAnsi="Times New Roman" w:eastAsia="宋体" w:cs="Times New Roman"/>
          <w:color w:val="auto"/>
          <w:kern w:val="0"/>
          <w:sz w:val="32"/>
          <w:szCs w:val="28"/>
          <w:highlight w:val="none"/>
        </w:rPr>
        <w:t>GF—2016—</w:t>
      </w:r>
      <w:r>
        <w:rPr>
          <w:rFonts w:hint="default" w:ascii="Times New Roman" w:hAnsi="Times New Roman" w:eastAsia="宋体" w:cs="Times New Roman"/>
          <w:color w:val="auto"/>
          <w:kern w:val="0"/>
          <w:sz w:val="32"/>
          <w:szCs w:val="28"/>
          <w:highlight w:val="none"/>
          <w:lang w:val="en-US" w:eastAsia="zh-CN"/>
        </w:rPr>
        <w:t>0203</w:t>
      </w:r>
    </w:p>
    <w:p>
      <w:pPr>
        <w:spacing w:before="100" w:beforeLines="0" w:beforeAutospacing="1" w:after="100" w:afterLines="0" w:afterAutospacing="1" w:line="280" w:lineRule="atLeast"/>
        <w:jc w:val="right"/>
        <w:rPr>
          <w:rFonts w:ascii="宋体" w:hAnsi="Times New Roman" w:eastAsia="宋体" w:cs="宋体"/>
          <w:b/>
          <w:bCs/>
          <w:color w:val="auto"/>
          <w:kern w:val="0"/>
          <w:sz w:val="28"/>
          <w:szCs w:val="28"/>
          <w:highlight w:val="none"/>
          <w:u w:val="single"/>
        </w:rPr>
      </w:pPr>
      <w:r>
        <w:rPr>
          <w:rFonts w:hint="eastAsia" w:ascii="宋体" w:hAnsi="宋体" w:eastAsia="宋体" w:cs="宋体"/>
          <w:b/>
          <w:bCs/>
          <w:color w:val="auto"/>
          <w:kern w:val="0"/>
          <w:sz w:val="32"/>
          <w:szCs w:val="28"/>
          <w:highlight w:val="none"/>
          <w:lang w:val="en-US" w:eastAsia="zh-CN"/>
        </w:rPr>
        <w:t xml:space="preserve">                 </w:t>
      </w:r>
      <w:r>
        <w:rPr>
          <w:rFonts w:hint="eastAsia" w:ascii="宋体" w:hAnsi="宋体" w:eastAsia="宋体" w:cs="宋体"/>
          <w:b/>
          <w:bCs/>
          <w:color w:val="auto"/>
          <w:kern w:val="0"/>
          <w:sz w:val="32"/>
          <w:szCs w:val="28"/>
          <w:highlight w:val="none"/>
        </w:rPr>
        <w:t>合同编号：</w:t>
      </w:r>
      <w:r>
        <w:rPr>
          <w:rFonts w:hint="eastAsia" w:ascii="宋体" w:hAnsi="宋体" w:eastAsia="宋体" w:cs="宋体"/>
          <w:b/>
          <w:bCs/>
          <w:color w:val="auto"/>
          <w:kern w:val="0"/>
          <w:sz w:val="32"/>
          <w:szCs w:val="28"/>
          <w:highlight w:val="none"/>
          <w:lang w:val="en-US" w:eastAsia="zh-CN"/>
        </w:rPr>
        <w:t>佛机场建kc-2022-</w:t>
      </w:r>
    </w:p>
    <w:p>
      <w:pPr>
        <w:spacing w:before="100" w:beforeLines="0" w:beforeAutospacing="1" w:after="100" w:afterLines="0" w:afterAutospacing="1" w:line="280" w:lineRule="atLeast"/>
        <w:jc w:val="both"/>
        <w:rPr>
          <w:rFonts w:ascii="宋体" w:hAnsi="Times New Roman" w:eastAsia="宋体" w:cs="宋体"/>
          <w:b/>
          <w:bCs/>
          <w:color w:val="auto"/>
          <w:spacing w:val="30"/>
          <w:kern w:val="0"/>
          <w:sz w:val="44"/>
          <w:szCs w:val="44"/>
          <w:highlight w:val="none"/>
        </w:rPr>
      </w:pPr>
    </w:p>
    <w:p>
      <w:pPr>
        <w:adjustRightInd w:val="0"/>
        <w:snapToGrid w:val="0"/>
        <w:spacing w:before="100" w:beforeLines="0" w:beforeAutospacing="1" w:after="100" w:afterLines="0" w:afterAutospacing="1"/>
        <w:jc w:val="center"/>
        <w:rPr>
          <w:rFonts w:ascii="方正小标宋简体" w:hAnsi="方正小标宋简体" w:eastAsia="方正小标宋简体" w:cs="宋体"/>
          <w:color w:val="auto"/>
          <w:kern w:val="0"/>
          <w:sz w:val="72"/>
          <w:szCs w:val="44"/>
          <w:highlight w:val="none"/>
        </w:rPr>
      </w:pPr>
      <w:r>
        <w:rPr>
          <w:rFonts w:hint="eastAsia" w:ascii="方正小标宋简体" w:hAnsi="方正小标宋简体" w:eastAsia="方正小标宋简体" w:cs="宋体"/>
          <w:color w:val="auto"/>
          <w:kern w:val="0"/>
          <w:sz w:val="72"/>
          <w:szCs w:val="44"/>
          <w:highlight w:val="none"/>
        </w:rPr>
        <w:t>建设工程勘察合同</w:t>
      </w:r>
    </w:p>
    <w:p>
      <w:pPr>
        <w:widowControl w:val="0"/>
        <w:spacing w:after="120" w:afterLines="0"/>
        <w:jc w:val="both"/>
        <w:rPr>
          <w:rFonts w:hint="eastAsia" w:ascii="Times New Roman" w:hAnsi="Times New Roman" w:eastAsia="宋体" w:cs="Times New Roman"/>
          <w:kern w:val="2"/>
          <w:sz w:val="21"/>
          <w:szCs w:val="24"/>
          <w:highlight w:val="none"/>
          <w:lang w:val="en-US" w:eastAsia="zh-CN" w:bidi="ar-SA"/>
        </w:rPr>
      </w:pPr>
    </w:p>
    <w:p>
      <w:pPr>
        <w:widowControl w:val="0"/>
        <w:spacing w:after="120" w:afterLines="0"/>
        <w:jc w:val="both"/>
        <w:rPr>
          <w:rFonts w:hint="eastAsia" w:ascii="Times New Roman" w:hAnsi="Times New Roman" w:eastAsia="宋体" w:cs="Times New Roman"/>
          <w:kern w:val="2"/>
          <w:sz w:val="21"/>
          <w:szCs w:val="24"/>
          <w:highlight w:val="none"/>
          <w:lang w:val="en-US" w:eastAsia="zh-CN" w:bidi="ar-SA"/>
        </w:rPr>
      </w:pPr>
    </w:p>
    <w:p>
      <w:pPr>
        <w:widowControl w:val="0"/>
        <w:spacing w:after="120" w:afterLines="0"/>
        <w:ind w:firstLine="210" w:firstLineChars="100"/>
        <w:jc w:val="both"/>
        <w:rPr>
          <w:rFonts w:hint="eastAsia" w:ascii="Times New Roman" w:hAnsi="Times New Roman" w:eastAsia="宋体" w:cs="Times New Roman"/>
          <w:kern w:val="2"/>
          <w:sz w:val="21"/>
          <w:szCs w:val="24"/>
          <w:highlight w:val="none"/>
          <w:lang w:val="en-US" w:eastAsia="zh-CN" w:bidi="ar-SA"/>
        </w:rPr>
      </w:pPr>
    </w:p>
    <w:p>
      <w:pPr>
        <w:spacing w:line="600" w:lineRule="exact"/>
        <w:ind w:left="1680" w:leftChars="0" w:hanging="1680" w:hangingChars="600"/>
        <w:rPr>
          <w:rFonts w:hint="eastAsia" w:ascii="新宋体" w:hAnsi="新宋体" w:eastAsia="新宋体" w:cs="Times New Roman"/>
          <w:color w:val="auto"/>
          <w:sz w:val="28"/>
          <w:szCs w:val="28"/>
          <w:highlight w:val="none"/>
          <w:u w:val="single"/>
          <w:lang w:val="en-US" w:eastAsia="zh-CN"/>
        </w:rPr>
      </w:pPr>
      <w:r>
        <w:rPr>
          <w:rFonts w:hint="eastAsia" w:ascii="新宋体" w:hAnsi="新宋体" w:eastAsia="新宋体" w:cs="Times New Roman"/>
          <w:color w:val="auto"/>
          <w:sz w:val="28"/>
          <w:szCs w:val="28"/>
          <w:highlight w:val="none"/>
          <w:lang w:val="en-US" w:eastAsia="zh-CN"/>
        </w:rPr>
        <w:t xml:space="preserve">   </w:t>
      </w:r>
      <w:r>
        <w:rPr>
          <w:rFonts w:hint="eastAsia" w:ascii="新宋体" w:hAnsi="新宋体" w:eastAsia="新宋体" w:cs="Times New Roman"/>
          <w:color w:val="auto"/>
          <w:sz w:val="28"/>
          <w:szCs w:val="28"/>
          <w:highlight w:val="none"/>
        </w:rPr>
        <w:t>工程名称：</w:t>
      </w:r>
      <w:r>
        <w:rPr>
          <w:rFonts w:hint="eastAsia" w:ascii="新宋体" w:hAnsi="新宋体" w:eastAsia="新宋体" w:cs="Times New Roman"/>
          <w:color w:val="auto"/>
          <w:sz w:val="28"/>
          <w:szCs w:val="28"/>
          <w:highlight w:val="none"/>
          <w:u w:val="single"/>
          <w:lang w:val="en-US" w:eastAsia="zh-CN"/>
        </w:rPr>
        <w:t>珠三角枢纽（广州新）机场可行性研究阶段勘察服务项目</w:t>
      </w:r>
    </w:p>
    <w:p>
      <w:pPr>
        <w:widowControl/>
        <w:ind w:firstLine="560" w:firstLineChars="200"/>
        <w:rPr>
          <w:rFonts w:hint="eastAsia" w:ascii="新宋体" w:hAnsi="新宋体" w:eastAsia="新宋体"/>
          <w:color w:val="auto"/>
          <w:sz w:val="28"/>
          <w:szCs w:val="28"/>
          <w:highlight w:val="none"/>
          <w:lang w:eastAsia="zh-CN"/>
        </w:rPr>
      </w:pPr>
      <w:r>
        <w:rPr>
          <w:rFonts w:hint="eastAsia" w:ascii="新宋体" w:hAnsi="新宋体" w:eastAsia="新宋体"/>
          <w:color w:val="auto"/>
          <w:sz w:val="28"/>
          <w:szCs w:val="28"/>
          <w:highlight w:val="none"/>
          <w:lang w:eastAsia="zh-CN"/>
        </w:rPr>
        <w:t>包组号：</w:t>
      </w:r>
      <w:r>
        <w:rPr>
          <w:rFonts w:hint="eastAsia" w:ascii="新宋体" w:hAnsi="新宋体" w:eastAsia="新宋体"/>
          <w:color w:val="auto"/>
          <w:sz w:val="28"/>
          <w:szCs w:val="28"/>
          <w:highlight w:val="none"/>
          <w:u w:val="single"/>
        </w:rPr>
        <w:t>包组</w:t>
      </w:r>
      <w:r>
        <w:rPr>
          <w:rFonts w:hint="eastAsia" w:ascii="新宋体" w:hAnsi="新宋体" w:eastAsia="新宋体"/>
          <w:color w:val="auto"/>
          <w:sz w:val="28"/>
          <w:szCs w:val="28"/>
          <w:highlight w:val="none"/>
          <w:u w:val="single"/>
          <w:lang w:val="en-US" w:eastAsia="zh-CN"/>
        </w:rPr>
        <w:t>三</w:t>
      </w:r>
    </w:p>
    <w:p>
      <w:pPr>
        <w:widowControl/>
        <w:ind w:firstLine="560" w:firstLineChars="200"/>
        <w:rPr>
          <w:rFonts w:hint="eastAsia" w:ascii="新宋体" w:hAnsi="新宋体" w:eastAsia="新宋体" w:cs="Times New Roman"/>
          <w:color w:val="auto"/>
          <w:sz w:val="28"/>
          <w:szCs w:val="28"/>
          <w:highlight w:val="none"/>
          <w:lang w:eastAsia="zh-CN"/>
        </w:rPr>
      </w:pPr>
      <w:r>
        <w:rPr>
          <w:rFonts w:hint="eastAsia" w:ascii="新宋体" w:hAnsi="新宋体" w:eastAsia="新宋体" w:cs="Times New Roman"/>
          <w:color w:val="auto"/>
          <w:sz w:val="28"/>
          <w:szCs w:val="28"/>
          <w:highlight w:val="none"/>
        </w:rPr>
        <w:t>发包人：</w:t>
      </w:r>
      <w:r>
        <w:rPr>
          <w:rFonts w:hint="eastAsia" w:ascii="新宋体" w:hAnsi="新宋体" w:eastAsia="新宋体" w:cs="Times New Roman"/>
          <w:color w:val="auto"/>
          <w:sz w:val="28"/>
          <w:szCs w:val="28"/>
          <w:highlight w:val="none"/>
          <w:u w:val="single"/>
          <w:lang w:eastAsia="zh-CN"/>
        </w:rPr>
        <w:t>佛山市机场建设开发有限公司</w:t>
      </w:r>
    </w:p>
    <w:p>
      <w:pPr>
        <w:widowControl/>
        <w:ind w:firstLine="560" w:firstLineChars="200"/>
        <w:rPr>
          <w:rFonts w:hint="eastAsia"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highlight w:val="none"/>
          <w:u w:val="none"/>
          <w:lang w:eastAsia="zh-CN"/>
        </w:rPr>
        <w:t>承包人：</w:t>
      </w:r>
      <w:r>
        <w:rPr>
          <w:rFonts w:hint="eastAsia" w:ascii="新宋体" w:hAnsi="新宋体" w:eastAsia="新宋体" w:cs="Times New Roman"/>
          <w:color w:val="auto"/>
          <w:sz w:val="28"/>
          <w:szCs w:val="28"/>
          <w:highlight w:val="none"/>
          <w:u w:val="single"/>
        </w:rPr>
        <w:t xml:space="preserve">                            </w:t>
      </w:r>
    </w:p>
    <w:p>
      <w:pPr>
        <w:widowControl/>
        <w:spacing w:before="0" w:beforeLines="0" w:beforeAutospacing="0" w:after="0" w:afterLines="0" w:afterAutospacing="0" w:line="240" w:lineRule="auto"/>
        <w:ind w:firstLine="560" w:firstLineChars="200"/>
        <w:jc w:val="left"/>
        <w:rPr>
          <w:rFonts w:hint="eastAsia" w:ascii="新宋体" w:hAnsi="新宋体" w:eastAsia="新宋体" w:cs="Times New Roman"/>
          <w:color w:val="auto"/>
          <w:sz w:val="28"/>
          <w:szCs w:val="28"/>
          <w:highlight w:val="none"/>
          <w:u w:val="single"/>
        </w:rPr>
      </w:pPr>
      <w:r>
        <w:rPr>
          <w:rFonts w:hint="eastAsia" w:ascii="新宋体" w:hAnsi="新宋体" w:eastAsia="新宋体" w:cs="Times New Roman"/>
          <w:color w:val="auto"/>
          <w:sz w:val="28"/>
          <w:szCs w:val="28"/>
          <w:highlight w:val="none"/>
        </w:rPr>
        <w:t>签订日期：</w:t>
      </w:r>
      <w:r>
        <w:rPr>
          <w:rFonts w:hint="eastAsia" w:ascii="新宋体" w:hAnsi="新宋体" w:eastAsia="新宋体" w:cs="Times New Roman"/>
          <w:color w:val="auto"/>
          <w:sz w:val="28"/>
          <w:szCs w:val="28"/>
          <w:highlight w:val="none"/>
          <w:u w:val="single"/>
        </w:rPr>
        <w:t xml:space="preserve">                           </w:t>
      </w: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left="0" w:leftChars="0" w:firstLine="0" w:firstLineChars="0"/>
        <w:jc w:val="both"/>
        <w:rPr>
          <w:rFonts w:hint="eastAsia" w:ascii="新宋体" w:hAnsi="新宋体" w:eastAsia="新宋体" w:cs="Times New Roman"/>
          <w:color w:val="auto"/>
          <w:kern w:val="2"/>
          <w:sz w:val="28"/>
          <w:szCs w:val="28"/>
          <w:highlight w:val="none"/>
          <w:u w:val="single"/>
          <w:lang w:val="en-US" w:eastAsia="zh-CN" w:bidi="ar-SA"/>
        </w:rPr>
      </w:pPr>
    </w:p>
    <w:p>
      <w:pPr>
        <w:widowControl w:val="0"/>
        <w:spacing w:after="120" w:afterLines="0"/>
        <w:ind w:firstLine="280" w:firstLineChars="100"/>
        <w:jc w:val="both"/>
        <w:rPr>
          <w:rFonts w:hint="eastAsia" w:ascii="新宋体" w:hAnsi="新宋体" w:eastAsia="新宋体" w:cs="Times New Roman"/>
          <w:color w:val="auto"/>
          <w:kern w:val="2"/>
          <w:sz w:val="28"/>
          <w:szCs w:val="28"/>
          <w:highlight w:val="none"/>
          <w:u w:val="single"/>
          <w:lang w:val="en-US" w:eastAsia="zh-CN" w:bidi="ar-SA"/>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5"/>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hAnsi="Times New Roman" w:eastAsia="宋体" w:cs="宋体"/>
                <w:b/>
                <w:color w:val="auto"/>
                <w:spacing w:val="40"/>
                <w:sz w:val="32"/>
                <w:szCs w:val="30"/>
                <w:highlight w:val="none"/>
              </w:rPr>
            </w:pPr>
            <w:r>
              <w:rPr>
                <w:rFonts w:hint="eastAsia" w:ascii="宋体" w:hAnsi="宋体" w:eastAsia="宋体" w:cs="宋体"/>
                <w:b/>
                <w:color w:val="auto"/>
                <w:spacing w:val="40"/>
                <w:sz w:val="32"/>
                <w:szCs w:val="30"/>
                <w:highlight w:val="none"/>
              </w:rPr>
              <w:t>住房和城乡建设部</w:t>
            </w:r>
          </w:p>
        </w:tc>
        <w:tc>
          <w:tcPr>
            <w:tcW w:w="977" w:type="dxa"/>
            <w:vMerge w:val="restart"/>
            <w:noWrap w:val="0"/>
            <w:vAlign w:val="center"/>
          </w:tcPr>
          <w:p>
            <w:pPr>
              <w:spacing w:before="100" w:beforeLines="0" w:beforeAutospacing="1" w:after="100" w:afterLines="0" w:afterAutospacing="1" w:line="280" w:lineRule="atLeast"/>
              <w:rPr>
                <w:rFonts w:ascii="宋体" w:hAnsi="Times New Roman" w:eastAsia="宋体" w:cs="宋体"/>
                <w:b/>
                <w:color w:val="auto"/>
                <w:sz w:val="32"/>
                <w:szCs w:val="30"/>
                <w:highlight w:val="none"/>
              </w:rPr>
            </w:pPr>
            <w:r>
              <w:rPr>
                <w:rFonts w:hint="eastAsia" w:ascii="宋体" w:hAnsi="宋体" w:eastAsia="宋体" w:cs="宋体"/>
                <w:b/>
                <w:color w:val="auto"/>
                <w:sz w:val="32"/>
                <w:szCs w:val="30"/>
                <w:highlight w:val="none"/>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pPr>
              <w:adjustRightInd w:val="0"/>
              <w:snapToGrid w:val="0"/>
              <w:spacing w:before="100" w:beforeLines="0" w:beforeAutospacing="1" w:after="100" w:afterLines="0" w:afterAutospacing="1" w:line="280" w:lineRule="atLeast"/>
              <w:rPr>
                <w:rFonts w:ascii="宋体" w:hAnsi="Times New Roman" w:eastAsia="宋体" w:cs="宋体"/>
                <w:b/>
                <w:color w:val="auto"/>
                <w:sz w:val="32"/>
                <w:szCs w:val="30"/>
                <w:highlight w:val="none"/>
              </w:rPr>
            </w:pPr>
            <w:r>
              <w:rPr>
                <w:rFonts w:hint="eastAsia" w:ascii="宋体" w:hAnsi="宋体" w:eastAsia="宋体" w:cs="宋体"/>
                <w:b/>
                <w:color w:val="auto"/>
                <w:sz w:val="32"/>
                <w:szCs w:val="30"/>
                <w:highlight w:val="none"/>
              </w:rPr>
              <w:t>国家工商行政管理总局</w:t>
            </w:r>
          </w:p>
        </w:tc>
        <w:tc>
          <w:tcPr>
            <w:tcW w:w="977" w:type="dxa"/>
            <w:vMerge w:val="continue"/>
            <w:noWrap w:val="0"/>
            <w:vAlign w:val="center"/>
          </w:tcPr>
          <w:p>
            <w:pPr>
              <w:spacing w:before="100" w:beforeLines="0" w:beforeAutospacing="1" w:after="100" w:afterLines="0" w:afterAutospacing="1" w:line="280" w:lineRule="atLeast"/>
              <w:rPr>
                <w:rFonts w:ascii="宋体" w:hAnsi="Times New Roman" w:eastAsia="宋体" w:cs="宋体"/>
                <w:bCs/>
                <w:color w:val="auto"/>
                <w:kern w:val="0"/>
                <w:sz w:val="32"/>
                <w:szCs w:val="28"/>
                <w:highlight w:val="none"/>
              </w:rPr>
            </w:pPr>
          </w:p>
        </w:tc>
      </w:tr>
    </w:tbl>
    <w:p>
      <w:pPr>
        <w:widowControl w:val="0"/>
        <w:spacing w:after="120" w:afterLines="0"/>
        <w:ind w:firstLine="260" w:firstLineChars="100"/>
        <w:jc w:val="both"/>
        <w:rPr>
          <w:rFonts w:ascii="宋体" w:hAnsi="Times New Roman" w:eastAsia="宋体" w:cs="宋体"/>
          <w:bCs/>
          <w:color w:val="auto"/>
          <w:kern w:val="0"/>
          <w:sz w:val="26"/>
          <w:szCs w:val="28"/>
          <w:highlight w:val="none"/>
          <w:lang w:val="en-US" w:eastAsia="zh-CN" w:bidi="ar-SA"/>
        </w:rPr>
      </w:pPr>
    </w:p>
    <w:p>
      <w:pPr>
        <w:tabs>
          <w:tab w:val="left" w:pos="2580"/>
          <w:tab w:val="center" w:pos="5121"/>
        </w:tabs>
        <w:snapToGrid w:val="0"/>
        <w:spacing w:line="360" w:lineRule="auto"/>
        <w:jc w:val="center"/>
        <w:outlineLvl w:val="0"/>
        <w:rPr>
          <w:rFonts w:hint="eastAsia" w:ascii="宋体" w:hAnsi="宋体" w:eastAsia="宋体" w:cs="宋体"/>
          <w:b/>
          <w:bCs/>
          <w:color w:val="auto"/>
          <w:kern w:val="0"/>
          <w:sz w:val="32"/>
          <w:szCs w:val="32"/>
          <w:highlight w:val="none"/>
        </w:rPr>
      </w:pPr>
      <w:bookmarkStart w:id="495" w:name="_Toc20458"/>
      <w:r>
        <w:rPr>
          <w:rFonts w:hint="eastAsia" w:ascii="宋体" w:hAnsi="宋体" w:eastAsia="宋体" w:cs="宋体"/>
          <w:b/>
          <w:bCs/>
          <w:color w:val="auto"/>
          <w:kern w:val="0"/>
          <w:sz w:val="32"/>
          <w:szCs w:val="32"/>
          <w:highlight w:val="none"/>
        </w:rPr>
        <w:t>第一部分　合同协议书</w:t>
      </w:r>
      <w:bookmarkEnd w:id="495"/>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lang w:eastAsia="zh-CN"/>
        </w:rPr>
        <w:t>佛山市机场建设开发有限公司</w:t>
      </w:r>
    </w:p>
    <w:p>
      <w:pPr>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承包人</w:t>
      </w:r>
      <w:r>
        <w:rPr>
          <w:rFonts w:hint="eastAsia" w:ascii="宋体" w:hAnsi="宋体" w:eastAsia="宋体" w:cs="宋体"/>
          <w:b/>
          <w:color w:val="auto"/>
          <w:kern w:val="0"/>
          <w:sz w:val="24"/>
          <w:szCs w:val="24"/>
          <w:highlight w:val="none"/>
        </w:rPr>
        <w:t>（全称）：_____________________________</w:t>
      </w:r>
    </w:p>
    <w:p>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highlight w:val="none"/>
          <w:u w:val="single"/>
          <w:lang w:eastAsia="zh-CN"/>
        </w:rPr>
        <w:t>佛山市机场建设开发有限公司</w:t>
      </w:r>
      <w:r>
        <w:rPr>
          <w:rFonts w:hint="eastAsia" w:ascii="宋体" w:hAnsi="宋体" w:eastAsia="宋体" w:cs="Times New Roman"/>
          <w:color w:val="auto"/>
          <w:sz w:val="24"/>
          <w:highlight w:val="none"/>
        </w:rPr>
        <w:t>（以下简称发包人）通过公开招标，确定</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承包人</w:t>
      </w:r>
      <w:r>
        <w:rPr>
          <w:rFonts w:hint="eastAsia" w:ascii="宋体" w:hAnsi="宋体" w:eastAsia="宋体" w:cs="Times New Roman"/>
          <w:color w:val="auto"/>
          <w:sz w:val="24"/>
          <w:highlight w:val="none"/>
        </w:rPr>
        <w:t>）为</w:t>
      </w:r>
      <w:r>
        <w:rPr>
          <w:rFonts w:hint="eastAsia" w:ascii="宋体" w:hAnsi="宋体" w:eastAsia="宋体" w:cs="Times New Roman"/>
          <w:color w:val="auto"/>
          <w:sz w:val="24"/>
          <w:highlight w:val="none"/>
          <w:u w:val="single"/>
          <w:lang w:eastAsia="zh-CN"/>
        </w:rPr>
        <w:t>珠三角枢纽（广州新）机场可行性研究阶段勘察服务项目（包组三）</w:t>
      </w:r>
      <w:r>
        <w:rPr>
          <w:rFonts w:hint="eastAsia" w:ascii="宋体" w:hAnsi="宋体" w:eastAsia="宋体" w:cs="宋体"/>
          <w:color w:val="auto"/>
          <w:sz w:val="24"/>
          <w:highlight w:val="none"/>
        </w:rPr>
        <w:t>的实施单位。</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民法典</w:t>
      </w:r>
      <w:r>
        <w:rPr>
          <w:rFonts w:hint="eastAsia" w:ascii="宋体" w:hAnsi="宋体" w:eastAsia="宋体" w:cs="宋体"/>
          <w:color w:val="auto"/>
          <w:kern w:val="0"/>
          <w:sz w:val="24"/>
          <w:szCs w:val="24"/>
          <w:highlight w:val="none"/>
        </w:rPr>
        <w:t>》、《中华人民共和国建筑法》、</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kern w:val="0"/>
          <w:sz w:val="24"/>
          <w:szCs w:val="24"/>
          <w:highlight w:val="none"/>
        </w:rPr>
        <w:t>等相关法律法规的规定，遵循平等、自愿、公平和诚实信用的原则，双方就</w:t>
      </w:r>
      <w:r>
        <w:rPr>
          <w:rFonts w:hint="eastAsia" w:ascii="宋体" w:hAnsi="宋体" w:eastAsia="宋体" w:cs="宋体"/>
          <w:color w:val="auto"/>
          <w:kern w:val="0"/>
          <w:sz w:val="24"/>
          <w:szCs w:val="24"/>
          <w:highlight w:val="none"/>
          <w:u w:val="single"/>
          <w:lang w:eastAsia="zh-CN"/>
        </w:rPr>
        <w:t>本项目包组三</w:t>
      </w:r>
      <w:r>
        <w:rPr>
          <w:rFonts w:hint="eastAsia" w:ascii="宋体" w:hAnsi="宋体" w:eastAsia="宋体" w:cs="宋体"/>
          <w:color w:val="auto"/>
          <w:kern w:val="0"/>
          <w:sz w:val="24"/>
          <w:szCs w:val="24"/>
          <w:highlight w:val="none"/>
        </w:rPr>
        <w:t>有关事项协商一致，达成如下协议。</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1.工程名称：</w:t>
      </w:r>
      <w:r>
        <w:rPr>
          <w:rFonts w:hint="eastAsia" w:ascii="宋体" w:hAnsi="宋体" w:eastAsia="宋体" w:cs="宋体"/>
          <w:color w:val="auto"/>
          <w:kern w:val="0"/>
          <w:sz w:val="24"/>
          <w:szCs w:val="24"/>
          <w:highlight w:val="none"/>
          <w:u w:val="single"/>
          <w:lang w:val="en-US" w:eastAsia="zh-CN"/>
        </w:rPr>
        <w:t>珠三角枢纽（广州新）机场可行性研究阶段勘察服务项目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2.工程地点：</w:t>
      </w:r>
      <w:r>
        <w:rPr>
          <w:rFonts w:hint="eastAsia" w:ascii="Times New Roman" w:hAnsi="宋体" w:eastAsia="宋体" w:cs="仿宋_GB2312"/>
          <w:color w:val="auto"/>
          <w:sz w:val="24"/>
          <w:szCs w:val="24"/>
          <w:highlight w:val="none"/>
          <w:u w:val="single"/>
          <w:lang w:eastAsia="zh-CN"/>
        </w:rPr>
        <w:t>佛山更合镇东北部、肇庆市蛟塘镇西侧</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3.工程规模、特征：</w:t>
      </w:r>
      <w:r>
        <w:rPr>
          <w:rFonts w:hint="eastAsia" w:ascii="宋体" w:hAnsi="宋体" w:eastAsia="宋体" w:cs="宋体"/>
          <w:color w:val="auto"/>
          <w:kern w:val="0"/>
          <w:sz w:val="24"/>
          <w:szCs w:val="24"/>
          <w:highlight w:val="none"/>
          <w:u w:val="single"/>
          <w:lang w:eastAsia="zh-CN"/>
        </w:rPr>
        <w:t>详见“</w:t>
      </w:r>
      <w:r>
        <w:rPr>
          <w:rFonts w:hint="eastAsia" w:ascii="宋体" w:hAnsi="宋体" w:eastAsia="宋体" w:cs="宋体"/>
          <w:color w:val="auto"/>
          <w:kern w:val="0"/>
          <w:sz w:val="24"/>
          <w:szCs w:val="24"/>
          <w:highlight w:val="none"/>
          <w:u w:val="single"/>
          <w:lang w:val="en-US" w:eastAsia="zh-CN"/>
        </w:rPr>
        <w:t>珠三角枢纽（广州新）机场可行性研究阶段勘察服务项目</w:t>
      </w:r>
      <w:r>
        <w:rPr>
          <w:rFonts w:hint="eastAsia" w:ascii="宋体" w:hAnsi="宋体" w:eastAsia="宋体" w:cs="宋体"/>
          <w:color w:val="auto"/>
          <w:kern w:val="0"/>
          <w:sz w:val="24"/>
          <w:szCs w:val="24"/>
          <w:highlight w:val="none"/>
          <w:u w:val="single"/>
          <w:lang w:eastAsia="zh-CN"/>
        </w:rPr>
        <w:t>包组三技术条款”</w:t>
      </w:r>
      <w:r>
        <w:rPr>
          <w:rFonts w:hint="eastAsia" w:ascii="宋体" w:hAnsi="宋体" w:eastAsia="宋体" w:cs="宋体"/>
          <w:color w:val="auto"/>
          <w:kern w:val="0"/>
          <w:sz w:val="24"/>
          <w:szCs w:val="24"/>
          <w:highlight w:val="none"/>
          <w:u w:val="single"/>
          <w:lang w:val="en-US" w:eastAsia="zh-CN"/>
        </w:rPr>
        <w:t>（以下简称“技术要求”）</w:t>
      </w:r>
      <w:r>
        <w:rPr>
          <w:rFonts w:hint="eastAsia" w:ascii="Times New Roman" w:hAnsi="宋体" w:eastAsia="宋体" w:cs="仿宋_GB2312"/>
          <w:color w:val="auto"/>
          <w:sz w:val="24"/>
          <w:szCs w:val="24"/>
          <w:highlight w:val="none"/>
          <w:u w:val="single"/>
          <w:lang w:eastAsia="zh-CN"/>
        </w:rPr>
        <w:t>。</w:t>
      </w:r>
      <w:r>
        <w:rPr>
          <w:rFonts w:hint="eastAsia" w:ascii="宋体" w:hAnsi="宋体" w:eastAsia="宋体" w:cs="宋体"/>
          <w:color w:val="auto"/>
          <w:kern w:val="0"/>
          <w:sz w:val="24"/>
          <w:szCs w:val="24"/>
          <w:highlight w:val="none"/>
        </w:rPr>
        <w:t xml:space="preserve">  </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二、勘察</w:t>
      </w:r>
      <w:r>
        <w:rPr>
          <w:rFonts w:hint="eastAsia" w:ascii="宋体" w:hAnsi="宋体" w:eastAsia="宋体" w:cs="宋体"/>
          <w:b/>
          <w:color w:val="auto"/>
          <w:kern w:val="0"/>
          <w:sz w:val="24"/>
          <w:szCs w:val="24"/>
          <w:highlight w:val="none"/>
          <w:lang w:eastAsia="zh-CN"/>
        </w:rPr>
        <w:t>内容</w:t>
      </w:r>
      <w:r>
        <w:rPr>
          <w:rFonts w:hint="eastAsia" w:ascii="宋体" w:hAnsi="宋体" w:eastAsia="宋体" w:cs="宋体"/>
          <w:b/>
          <w:color w:val="auto"/>
          <w:kern w:val="0"/>
          <w:sz w:val="24"/>
          <w:szCs w:val="24"/>
          <w:highlight w:val="none"/>
        </w:rPr>
        <w:t>、技术要求及工作量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1.勘察</w:t>
      </w:r>
      <w:r>
        <w:rPr>
          <w:rFonts w:hint="eastAsia" w:ascii="宋体" w:hAnsi="宋体"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技术要求：</w:t>
      </w:r>
      <w:r>
        <w:rPr>
          <w:rFonts w:hint="eastAsia" w:ascii="宋体" w:hAnsi="宋体" w:eastAsia="宋体" w:cs="宋体"/>
          <w:color w:val="auto"/>
          <w:kern w:val="0"/>
          <w:sz w:val="24"/>
          <w:szCs w:val="24"/>
          <w:highlight w:val="none"/>
          <w:u w:val="single"/>
          <w:lang w:eastAsia="zh-CN"/>
        </w:rPr>
        <w:t>详见技术要求</w:t>
      </w:r>
      <w:r>
        <w:rPr>
          <w:rFonts w:hint="eastAsia" w:ascii="Times New Roman" w:hAnsi="宋体" w:eastAsia="宋体" w:cs="宋体"/>
          <w:color w:val="auto"/>
          <w:sz w:val="24"/>
          <w:highlight w:val="none"/>
        </w:rPr>
        <w:t>。</w:t>
      </w:r>
    </w:p>
    <w:p>
      <w:pPr>
        <w:adjustRightInd w:val="0"/>
        <w:snapToGrid w:val="0"/>
        <w:spacing w:line="360" w:lineRule="auto"/>
        <w:ind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eastAsia="宋体" w:cs="宋体"/>
          <w:color w:val="auto"/>
          <w:kern w:val="0"/>
          <w:sz w:val="24"/>
          <w:szCs w:val="24"/>
          <w:highlight w:val="none"/>
        </w:rPr>
        <w:t>3.工作量：</w:t>
      </w:r>
      <w:r>
        <w:rPr>
          <w:rFonts w:hint="eastAsia" w:ascii="宋体" w:hAnsi="宋体" w:eastAsia="宋体" w:cs="宋体"/>
          <w:color w:val="auto"/>
          <w:kern w:val="0"/>
          <w:sz w:val="24"/>
          <w:szCs w:val="24"/>
          <w:highlight w:val="none"/>
          <w:u w:val="single"/>
          <w:lang w:eastAsia="zh-CN"/>
        </w:rPr>
        <w:t>详见技术要求</w:t>
      </w:r>
      <w:r>
        <w:rPr>
          <w:rFonts w:hint="eastAsia" w:ascii="宋体" w:hAnsi="宋体" w:eastAsia="宋体" w:cs="Times New Roman"/>
          <w:color w:val="auto"/>
          <w:sz w:val="24"/>
          <w:highlight w:val="none"/>
          <w:u w:val="single"/>
          <w:lang w:val="en-US" w:eastAsia="zh-CN"/>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三、合同工期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1.开工日期：_______</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_______</w:t>
      </w:r>
      <w:r>
        <w:rPr>
          <w:rFonts w:hint="eastAsia" w:ascii="宋体" w:hAnsi="宋体" w:eastAsia="宋体" w:cs="宋体"/>
          <w:color w:val="auto"/>
          <w:kern w:val="0"/>
          <w:sz w:val="24"/>
          <w:szCs w:val="24"/>
          <w:highlight w:val="none"/>
          <w:lang w:eastAsia="zh-CN"/>
        </w:rPr>
        <w:t>日，具体以甲方发出开工令之日为准。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2.成果提交日期：</w:t>
      </w:r>
      <w:r>
        <w:rPr>
          <w:rFonts w:hint="eastAsia" w:ascii="宋体" w:hAnsi="宋体" w:eastAsia="宋体" w:cs="宋体"/>
          <w:color w:val="auto"/>
          <w:kern w:val="0"/>
          <w:sz w:val="24"/>
          <w:highlight w:val="none"/>
          <w:u w:val="single"/>
          <w:lang w:val="en-US" w:eastAsia="zh-CN"/>
        </w:rPr>
        <w:t>自发包人发出开工令之日起60日历天内提交最终勘察成果报告，包括：本包组勘察服务报告（含试验测试成果资料）、工程物探报告及其他专题勘察报告资料</w:t>
      </w:r>
      <w:r>
        <w:rPr>
          <w:rFonts w:hint="eastAsia" w:ascii="宋体" w:hAnsi="宋体" w:eastAsia="宋体" w:cs="宋体"/>
          <w:color w:val="auto"/>
          <w:kern w:val="0"/>
          <w:sz w:val="24"/>
          <w:szCs w:val="24"/>
          <w:highlight w:val="none"/>
          <w:u w:val="single"/>
          <w:lang w:val="en-US" w:eastAsia="zh-CN"/>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3.合同工期（总日历天数）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60天。</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四、质量标准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质量标准： </w:t>
      </w:r>
      <w:r>
        <w:rPr>
          <w:rFonts w:hint="eastAsia" w:ascii="宋体" w:hAnsi="宋体" w:eastAsia="宋体" w:cs="宋体"/>
          <w:color w:val="auto"/>
          <w:kern w:val="0"/>
          <w:sz w:val="24"/>
          <w:szCs w:val="24"/>
          <w:highlight w:val="none"/>
          <w:u w:val="single"/>
          <w:lang w:val="en-US" w:eastAsia="zh-CN"/>
        </w:rPr>
        <w:t>本工程的勘察过程和成果均必须符合中华人民共和国国家标准</w:t>
      </w:r>
      <w:r>
        <w:rPr>
          <w:rFonts w:hint="eastAsia" w:ascii="宋体" w:hAnsi="宋体" w:eastAsia="宋体" w:cs="宋体"/>
          <w:color w:val="auto"/>
          <w:kern w:val="0"/>
          <w:sz w:val="24"/>
          <w:highlight w:val="none"/>
          <w:lang w:val="en-US" w:eastAsia="zh-CN"/>
        </w:rPr>
        <w:t>、</w:t>
      </w:r>
      <w:r>
        <w:rPr>
          <w:rFonts w:hint="eastAsia" w:ascii="宋体" w:hAnsi="宋体" w:eastAsia="宋体" w:cs="宋体"/>
          <w:kern w:val="0"/>
          <w:sz w:val="24"/>
          <w:highlight w:val="none"/>
          <w:u w:val="single"/>
        </w:rPr>
        <w:t>中国</w:t>
      </w:r>
      <w:r>
        <w:rPr>
          <w:rFonts w:ascii="宋体" w:hAnsi="宋体" w:eastAsia="宋体" w:cs="宋体"/>
          <w:kern w:val="0"/>
          <w:sz w:val="24"/>
          <w:highlight w:val="none"/>
          <w:u w:val="single"/>
        </w:rPr>
        <w:t>民航局</w:t>
      </w:r>
      <w:r>
        <w:rPr>
          <w:rFonts w:hint="eastAsia" w:ascii="宋体" w:hAnsi="宋体" w:eastAsia="宋体" w:cs="宋体"/>
          <w:color w:val="auto"/>
          <w:kern w:val="0"/>
          <w:sz w:val="24"/>
          <w:szCs w:val="24"/>
          <w:highlight w:val="none"/>
          <w:u w:val="single"/>
          <w:lang w:val="en-US" w:eastAsia="zh-CN"/>
        </w:rPr>
        <w:t>和建设部颁布的有关勘察方面的现行标准、规范、规程、定额、办法、示例，以及广东省、佛山市下发的有关勘察方面的文件和规定。在勘察过程中，如果国家或有关部门颁发了新的技术标准或规范，应采用新的标准或规范进行勘察。承包人勘察前应将勘察方案上报发包人审核及批准后方可实施</w:t>
      </w:r>
      <w:r>
        <w:rPr>
          <w:rFonts w:hint="eastAsia" w:ascii="宋体" w:hAnsi="宋体" w:eastAsia="宋体" w:cs="仿宋_GB2312"/>
          <w:color w:val="auto"/>
          <w:sz w:val="24"/>
          <w:szCs w:val="24"/>
          <w:highlight w:val="none"/>
          <w:u w:val="single"/>
        </w:rPr>
        <w:t>。</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签约合同价</w:t>
      </w:r>
      <w:r>
        <w:rPr>
          <w:rFonts w:hint="eastAsia" w:ascii="宋体" w:hAnsi="宋体" w:eastAsia="宋体" w:cs="宋体"/>
          <w:color w:val="auto"/>
          <w:kern w:val="0"/>
          <w:sz w:val="24"/>
          <w:szCs w:val="24"/>
          <w:highlight w:val="none"/>
        </w:rPr>
        <w:t>：人民币（大写）____________ (¥__________元)</w:t>
      </w:r>
      <w:r>
        <w:rPr>
          <w:rFonts w:hint="eastAsia" w:ascii="宋体" w:hAnsi="宋体" w:eastAsia="宋体" w:cs="仿宋_GB2312"/>
          <w:b w:val="0"/>
          <w:bCs w:val="0"/>
          <w:color w:val="auto"/>
          <w:sz w:val="24"/>
          <w:szCs w:val="24"/>
          <w:highlight w:val="none"/>
          <w:lang w:eastAsia="zh-CN"/>
        </w:rPr>
        <w:t>【含岩溶勘察部分预留金（或称暂列金额）人民币（大写）柒拾万元整（¥</w:t>
      </w:r>
      <w:r>
        <w:rPr>
          <w:rFonts w:hint="eastAsia" w:ascii="宋体" w:hAnsi="宋体" w:eastAsia="宋体" w:cs="仿宋_GB2312"/>
          <w:b w:val="0"/>
          <w:bCs w:val="0"/>
          <w:color w:val="auto"/>
          <w:sz w:val="24"/>
          <w:szCs w:val="24"/>
          <w:highlight w:val="none"/>
          <w:lang w:val="en-US" w:eastAsia="zh-CN"/>
        </w:rPr>
        <w:t>700,000.00</w:t>
      </w:r>
      <w:r>
        <w:rPr>
          <w:rFonts w:hint="eastAsia" w:ascii="宋体" w:hAnsi="宋体" w:eastAsia="宋体" w:cs="仿宋_GB2312"/>
          <w:b w:val="0"/>
          <w:bCs w:val="0"/>
          <w:color w:val="auto"/>
          <w:sz w:val="24"/>
          <w:szCs w:val="24"/>
          <w:highlight w:val="none"/>
          <w:lang w:eastAsia="zh-CN"/>
        </w:rPr>
        <w:t>元）】</w:t>
      </w:r>
    </w:p>
    <w:p>
      <w:pPr>
        <w:widowControl w:val="0"/>
        <w:spacing w:after="120" w:afterLines="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其中，机场工作区岩土工程初步勘察工作签约合同价：人民币（大写）____________ (¥__________元)；签约单价人民币（大写）____________ (¥__________元/延米)，</w:t>
      </w:r>
      <w:r>
        <w:rPr>
          <w:rFonts w:hint="eastAsia" w:ascii="宋体" w:hAnsi="宋体" w:eastAsia="宋体" w:cs="仿宋_GB2312"/>
          <w:b w:val="0"/>
          <w:bCs w:val="0"/>
          <w:color w:val="auto"/>
          <w:kern w:val="2"/>
          <w:sz w:val="24"/>
          <w:szCs w:val="24"/>
          <w:highlight w:val="none"/>
          <w:lang w:val="en-US" w:eastAsia="zh-CN" w:bidi="ar-SA"/>
        </w:rPr>
        <w:t>钻孔总进尺暂按13600米计算，</w:t>
      </w:r>
      <w:r>
        <w:rPr>
          <w:rFonts w:hint="eastAsia" w:ascii="宋体" w:hAnsi="宋体" w:eastAsia="宋体" w:cs="宋体"/>
          <w:color w:val="auto"/>
          <w:kern w:val="0"/>
          <w:sz w:val="24"/>
          <w:szCs w:val="24"/>
          <w:highlight w:val="none"/>
          <w:lang w:val="en-US" w:eastAsia="zh-CN" w:bidi="ar-SA"/>
        </w:rPr>
        <w:t>固定单价包干；</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合同价款形式：</w:t>
      </w:r>
      <w:r>
        <w:rPr>
          <w:rFonts w:hint="eastAsia" w:ascii="宋体" w:hAnsi="宋体" w:eastAsia="宋体" w:cs="宋体"/>
          <w:color w:val="auto"/>
          <w:sz w:val="24"/>
          <w:szCs w:val="24"/>
          <w:highlight w:val="none"/>
          <w:u w:val="single"/>
          <w:lang w:eastAsia="zh-CN"/>
        </w:rPr>
        <w:t>机场工作区岩土工程初步勘察工作部分采用固定单价包干，按实结算，但最终结算金额不得超出本包组签约合同价。</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六、合同文件构成</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组成本合同的文件包括：</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在合同履行过程中形成的与合同有关的文件构成合同文件组成部分。</w:t>
      </w:r>
    </w:p>
    <w:p>
      <w:pPr>
        <w:tabs>
          <w:tab w:val="left" w:pos="54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七、承诺</w:t>
      </w:r>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1.发包人承诺按照法律规定履行项目审批手续，按照合同约定提供工程勘察条件和相关资料，并按照合同约定的期限和方式支付合同价款。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承诺按照法律法规和技术标准规定及合同约定提供勘察技术服务。　</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八、词语定义</w:t>
      </w:r>
    </w:p>
    <w:p>
      <w:pPr>
        <w:tabs>
          <w:tab w:val="left" w:pos="540"/>
          <w:tab w:val="left" w:pos="720"/>
        </w:tabs>
        <w:adjustRightInd w:val="0"/>
        <w:snapToGri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本合同协议书中词语含义与合同第二部分《通用合同条款》中的词语含义相同。</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九、签订时间</w:t>
      </w:r>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lang w:val="en-US"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十、签订地点</w:t>
      </w:r>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lang w:eastAsia="zh-CN"/>
        </w:rPr>
        <w:t>佛山市</w:t>
      </w:r>
      <w:r>
        <w:rPr>
          <w:rFonts w:hint="eastAsia" w:ascii="宋体" w:hAnsi="宋体" w:eastAsia="宋体" w:cs="宋体"/>
          <w:bCs/>
          <w:color w:val="auto"/>
          <w:sz w:val="24"/>
          <w:szCs w:val="24"/>
          <w:highlight w:val="none"/>
        </w:rPr>
        <w:t>签订。</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十一、合同生效</w:t>
      </w:r>
    </w:p>
    <w:p>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lang w:eastAsia="zh-CN"/>
        </w:rPr>
        <w:t>发</w:t>
      </w:r>
      <w:r>
        <w:rPr>
          <w:rFonts w:hint="eastAsia" w:ascii="宋体" w:hAnsi="宋体" w:eastAsia="宋体" w:cs="Times New Roman"/>
          <w:bCs/>
          <w:color w:val="auto"/>
          <w:sz w:val="24"/>
          <w:highlight w:val="none"/>
          <w:u w:val="single"/>
        </w:rPr>
        <w:t>包人和</w:t>
      </w:r>
      <w:r>
        <w:rPr>
          <w:rFonts w:hint="eastAsia" w:ascii="宋体" w:hAnsi="宋体" w:eastAsia="宋体" w:cs="Times New Roman"/>
          <w:bCs/>
          <w:color w:val="auto"/>
          <w:sz w:val="24"/>
          <w:highlight w:val="none"/>
          <w:u w:val="single"/>
          <w:lang w:eastAsia="zh-CN"/>
        </w:rPr>
        <w:t>承包人</w:t>
      </w:r>
      <w:r>
        <w:rPr>
          <w:rFonts w:hint="eastAsia" w:ascii="宋体" w:hAnsi="宋体" w:eastAsia="宋体" w:cs="Times New Roman"/>
          <w:bCs/>
          <w:color w:val="auto"/>
          <w:sz w:val="24"/>
          <w:highlight w:val="none"/>
          <w:u w:val="single"/>
        </w:rPr>
        <w:t>的法定代表人或其授权代理人在协议书上签字并盖单位</w:t>
      </w:r>
      <w:r>
        <w:rPr>
          <w:rFonts w:hint="eastAsia" w:ascii="宋体" w:hAnsi="宋体" w:eastAsia="宋体" w:cs="Times New Roman"/>
          <w:bCs/>
          <w:color w:val="auto"/>
          <w:sz w:val="24"/>
          <w:highlight w:val="none"/>
          <w:u w:val="single"/>
          <w:lang w:eastAsia="zh-CN"/>
        </w:rPr>
        <w:t>公</w:t>
      </w:r>
      <w:r>
        <w:rPr>
          <w:rFonts w:hint="eastAsia" w:ascii="宋体" w:hAnsi="宋体" w:eastAsia="宋体" w:cs="Times New Roman"/>
          <w:bCs/>
          <w:color w:val="auto"/>
          <w:sz w:val="24"/>
          <w:highlight w:val="none"/>
          <w:u w:val="single"/>
        </w:rPr>
        <w:t>章后</w:t>
      </w:r>
      <w:r>
        <w:rPr>
          <w:rFonts w:hint="eastAsia" w:ascii="宋体" w:hAnsi="宋体" w:eastAsia="宋体" w:cs="宋体"/>
          <w:bCs/>
          <w:color w:val="auto"/>
          <w:sz w:val="24"/>
          <w:szCs w:val="24"/>
          <w:highlight w:val="none"/>
        </w:rPr>
        <w:t>生效。</w:t>
      </w:r>
    </w:p>
    <w:p>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十二、合同份数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pPr>
        <w:spacing w:line="360" w:lineRule="auto"/>
        <w:rPr>
          <w:rFonts w:hint="eastAsia" w:ascii="Times New Roman" w:hAnsi="宋体" w:eastAsia="宋体" w:cs="宋体"/>
          <w:b/>
          <w:bCs/>
          <w:color w:val="auto"/>
          <w:sz w:val="24"/>
          <w:szCs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6"/>
        <w:gridCol w:w="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b/>
                <w:highlight w:val="none"/>
              </w:rPr>
              <w:t>甲方（盖章）：佛山市机场建设开发有限公司</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b/>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法定代表人</w:t>
            </w:r>
          </w:p>
          <w:p>
            <w:pPr>
              <w:spacing w:line="560" w:lineRule="exact"/>
              <w:rPr>
                <w:rFonts w:ascii="宋体" w:hAnsi="宋体" w:eastAsia="宋体" w:cs="Times New Roman"/>
                <w:highlight w:val="none"/>
              </w:rPr>
            </w:pPr>
            <w:r>
              <w:rPr>
                <w:rFonts w:hint="eastAsia" w:ascii="宋体" w:hAnsi="宋体" w:eastAsia="宋体" w:cs="Times New Roman"/>
                <w:highlight w:val="none"/>
              </w:rPr>
              <w:t>或委托代理人：</w:t>
            </w:r>
            <w:r>
              <w:rPr>
                <w:rFonts w:hint="eastAsia" w:ascii="宋体" w:hAnsi="宋体" w:eastAsia="宋体" w:cs="Times New Roman"/>
                <w:highlight w:val="none"/>
                <w:u w:val="single"/>
              </w:rPr>
              <w:t xml:space="preserve">                         </w:t>
            </w:r>
          </w:p>
        </w:tc>
        <w:tc>
          <w:tcPr>
            <w:tcW w:w="4520"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法定代表人</w:t>
            </w:r>
          </w:p>
          <w:p>
            <w:pPr>
              <w:spacing w:line="560" w:lineRule="exact"/>
              <w:rPr>
                <w:rFonts w:ascii="宋体" w:hAnsi="宋体" w:eastAsia="宋体" w:cs="Times New Roman"/>
                <w:highlight w:val="none"/>
              </w:rPr>
            </w:pPr>
            <w:r>
              <w:rPr>
                <w:rFonts w:hint="eastAsia" w:ascii="宋体" w:hAnsi="宋体" w:eastAsia="宋体" w:cs="Times New Roman"/>
                <w:highlight w:val="none"/>
              </w:rPr>
              <w:t>或委托代理人：</w:t>
            </w:r>
            <w:r>
              <w:rPr>
                <w:rFonts w:hint="eastAsia" w:ascii="宋体" w:hAnsi="宋体" w:eastAsia="宋体" w:cs="Times New Roman"/>
                <w:highlight w:val="none"/>
                <w:u w:val="single"/>
              </w:rPr>
              <w:t xml:space="preserve">          </w:t>
            </w:r>
            <w:r>
              <w:rPr>
                <w:rFonts w:hint="eastAsia" w:ascii="宋体" w:hAnsi="宋体" w:eastAsia="宋体" w:cs="Times New Roman"/>
                <w:highlight w:val="none"/>
                <w:u w:val="single"/>
                <w:lang w:val="en-US" w:eastAsia="zh-CN"/>
              </w:rPr>
              <w:t xml:space="preserve">   </w:t>
            </w:r>
            <w:r>
              <w:rPr>
                <w:rFonts w:hint="eastAsia" w:ascii="宋体" w:hAnsi="宋体" w:eastAsia="宋体" w:cs="Times New Roman"/>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地址：佛山市禅城区季华五路2</w:t>
            </w:r>
            <w:r>
              <w:rPr>
                <w:rFonts w:ascii="宋体" w:hAnsi="宋体" w:eastAsia="宋体" w:cs="Times New Roman"/>
                <w:highlight w:val="none"/>
              </w:rPr>
              <w:t>0</w:t>
            </w:r>
            <w:r>
              <w:rPr>
                <w:rFonts w:hint="eastAsia" w:ascii="宋体" w:hAnsi="宋体" w:eastAsia="宋体" w:cs="Times New Roman"/>
                <w:highlight w:val="none"/>
              </w:rPr>
              <w:t>号</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日期：</w:t>
            </w:r>
            <w:r>
              <w:rPr>
                <w:rFonts w:hint="eastAsia" w:ascii="宋体" w:hAnsi="宋体" w:eastAsia="宋体" w:cs="Times New Roman"/>
                <w:highlight w:val="none"/>
                <w:lang w:val="en-US" w:eastAsia="zh-CN"/>
              </w:rPr>
              <w:t>2022</w:t>
            </w:r>
            <w:r>
              <w:rPr>
                <w:rFonts w:hint="eastAsia" w:ascii="宋体" w:hAnsi="宋体" w:eastAsia="宋体" w:cs="Times New Roman"/>
                <w:highlight w:val="none"/>
              </w:rPr>
              <w:t xml:space="preserve"> 年</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月</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日</w:t>
            </w: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日期：</w:t>
            </w:r>
            <w:r>
              <w:rPr>
                <w:rFonts w:hint="eastAsia" w:ascii="宋体" w:hAnsi="宋体" w:eastAsia="宋体" w:cs="Times New Roman"/>
                <w:highlight w:val="none"/>
                <w:lang w:val="en-US" w:eastAsia="zh-CN"/>
              </w:rPr>
              <w:t>2022</w:t>
            </w:r>
            <w:r>
              <w:rPr>
                <w:rFonts w:hint="eastAsia" w:ascii="宋体" w:hAnsi="宋体" w:eastAsia="宋体" w:cs="Times New Roman"/>
                <w:highlight w:val="none"/>
              </w:rPr>
              <w:t>年</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月</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经办人：</w:t>
            </w:r>
            <w:r>
              <w:rPr>
                <w:rFonts w:hint="eastAsia" w:ascii="宋体" w:hAnsi="宋体" w:eastAsia="宋体" w:cs="Times New Roman"/>
                <w:highlight w:val="none"/>
                <w:lang w:val="en-US" w:eastAsia="zh-CN"/>
              </w:rPr>
              <w:t xml:space="preserve"> </w:t>
            </w:r>
          </w:p>
          <w:p>
            <w:pPr>
              <w:spacing w:line="560" w:lineRule="exact"/>
              <w:rPr>
                <w:rFonts w:hint="eastAsia" w:ascii="宋体" w:hAnsi="宋体" w:eastAsia="宋体" w:cs="Times New Roman"/>
                <w:highlight w:val="none"/>
              </w:rPr>
            </w:pPr>
            <w:r>
              <w:rPr>
                <w:rFonts w:hint="eastAsia" w:ascii="宋体" w:hAnsi="宋体" w:eastAsia="宋体" w:cs="Times New Roman"/>
                <w:highlight w:val="none"/>
              </w:rPr>
              <w:t>校核人：</w:t>
            </w:r>
            <w:r>
              <w:rPr>
                <w:rFonts w:hint="eastAsia" w:ascii="宋体" w:hAnsi="宋体" w:eastAsia="宋体" w:cs="Times New Roman"/>
                <w:highlight w:val="none"/>
                <w:lang w:val="en-US" w:eastAsia="zh-CN"/>
              </w:rPr>
              <w:t xml:space="preserve"> </w:t>
            </w:r>
          </w:p>
        </w:tc>
        <w:tc>
          <w:tcPr>
            <w:tcW w:w="4520" w:type="dxa"/>
            <w:noWrap w:val="0"/>
            <w:vAlign w:val="top"/>
          </w:tcPr>
          <w:p>
            <w:pPr>
              <w:spacing w:line="560" w:lineRule="exact"/>
              <w:rPr>
                <w:rFonts w:hint="eastAsia" w:ascii="宋体" w:hAnsi="宋体" w:eastAsia="宋体" w:cs="Times New Roman"/>
                <w:highlight w:val="none"/>
              </w:rPr>
            </w:pPr>
            <w:r>
              <w:rPr>
                <w:rFonts w:hint="eastAsia" w:ascii="宋体" w:hAnsi="宋体" w:eastAsia="宋体" w:cs="Times New Roman"/>
                <w:highlight w:val="none"/>
              </w:rPr>
              <w:t>经办人：</w:t>
            </w:r>
          </w:p>
          <w:p>
            <w:pPr>
              <w:spacing w:line="560" w:lineRule="exact"/>
              <w:rPr>
                <w:rFonts w:ascii="宋体" w:hAnsi="宋体" w:eastAsia="宋体" w:cs="Times New Roman"/>
                <w:highlight w:val="none"/>
              </w:rPr>
            </w:pPr>
            <w:r>
              <w:rPr>
                <w:rFonts w:hint="eastAsia" w:ascii="宋体" w:hAnsi="宋体" w:eastAsia="宋体" w:cs="Times New Roman"/>
                <w:highlight w:val="none"/>
              </w:rPr>
              <w:t>开户名称：</w:t>
            </w:r>
            <w:r>
              <w:rPr>
                <w:rFonts w:hint="eastAsia" w:ascii="宋体" w:hAnsi="宋体" w:eastAsia="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银行</w:t>
            </w:r>
            <w:r>
              <w:rPr>
                <w:rFonts w:hint="eastAsia" w:ascii="宋体" w:hAnsi="宋体" w:eastAsia="宋体" w:cs="Times New Roman"/>
                <w:highlight w:val="none"/>
                <w:lang w:eastAsia="zh-CN"/>
              </w:rPr>
              <w:t>账号</w:t>
            </w:r>
            <w:r>
              <w:rPr>
                <w:rFonts w:hint="eastAsia" w:ascii="宋体" w:hAnsi="宋体" w:eastAsia="宋体" w:cs="Times New Roman"/>
                <w:highlight w:val="none"/>
              </w:rPr>
              <w:t>：</w:t>
            </w:r>
            <w:r>
              <w:rPr>
                <w:rFonts w:hint="eastAsia" w:ascii="宋体" w:hAnsi="宋体" w:eastAsia="宋体" w:cs="Times New Roman"/>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6" w:type="dxa"/>
            <w:noWrap w:val="0"/>
            <w:vAlign w:val="top"/>
          </w:tcPr>
          <w:p>
            <w:pPr>
              <w:spacing w:line="560" w:lineRule="exact"/>
              <w:rPr>
                <w:rFonts w:ascii="宋体" w:hAnsi="宋体" w:eastAsia="宋体" w:cs="Times New Roman"/>
                <w:highlight w:val="none"/>
              </w:rPr>
            </w:pPr>
          </w:p>
        </w:tc>
        <w:tc>
          <w:tcPr>
            <w:tcW w:w="4520" w:type="dxa"/>
            <w:noWrap w:val="0"/>
            <w:vAlign w:val="top"/>
          </w:tcPr>
          <w:p>
            <w:pPr>
              <w:spacing w:line="560" w:lineRule="exact"/>
              <w:rPr>
                <w:rFonts w:ascii="宋体" w:hAnsi="宋体" w:eastAsia="宋体" w:cs="Times New Roman"/>
                <w:highlight w:val="none"/>
              </w:rPr>
            </w:pPr>
            <w:r>
              <w:rPr>
                <w:rFonts w:hint="eastAsia" w:ascii="宋体" w:hAnsi="宋体" w:eastAsia="宋体" w:cs="Times New Roman"/>
                <w:highlight w:val="none"/>
              </w:rPr>
              <w:t>开 户 行：</w:t>
            </w:r>
            <w:r>
              <w:rPr>
                <w:rFonts w:hint="eastAsia" w:ascii="宋体" w:hAnsi="宋体" w:eastAsia="宋体" w:cs="Times New Roman"/>
                <w:highlight w:val="none"/>
                <w:lang w:val="en-US" w:eastAsia="zh-CN"/>
              </w:rPr>
              <w:t xml:space="preserve"> </w:t>
            </w:r>
          </w:p>
        </w:tc>
      </w:tr>
    </w:tbl>
    <w:p>
      <w:pPr>
        <w:widowControl w:val="0"/>
        <w:spacing w:after="120" w:afterLines="0"/>
        <w:ind w:firstLine="240" w:firstLineChars="100"/>
        <w:jc w:val="both"/>
        <w:rPr>
          <w:rFonts w:hint="eastAsia" w:ascii="Times New Roman" w:hAnsi="宋体" w:eastAsia="宋体" w:cs="宋体"/>
          <w:color w:val="auto"/>
          <w:kern w:val="2"/>
          <w:sz w:val="24"/>
          <w:szCs w:val="24"/>
          <w:highlight w:val="none"/>
          <w:lang w:val="en-US" w:eastAsia="zh-CN" w:bidi="ar-SA"/>
        </w:rPr>
      </w:pPr>
    </w:p>
    <w:p>
      <w:pPr>
        <w:widowControl w:val="0"/>
        <w:spacing w:after="120" w:afterLines="0"/>
        <w:ind w:firstLine="240" w:firstLineChars="100"/>
        <w:jc w:val="both"/>
        <w:rPr>
          <w:rFonts w:hint="eastAsia" w:ascii="Times New Roman" w:hAnsi="宋体" w:eastAsia="宋体" w:cs="宋体"/>
          <w:color w:val="auto"/>
          <w:kern w:val="2"/>
          <w:sz w:val="24"/>
          <w:szCs w:val="24"/>
          <w:highlight w:val="none"/>
          <w:lang w:val="en-US" w:eastAsia="zh-CN" w:bidi="ar-SA"/>
        </w:rPr>
      </w:pPr>
    </w:p>
    <w:p>
      <w:pPr>
        <w:jc w:val="right"/>
        <w:rPr>
          <w:rFonts w:hint="eastAsia" w:ascii="华文中宋" w:hAnsi="华文中宋" w:eastAsia="华文中宋" w:cs="Times New Roman"/>
          <w:color w:val="auto"/>
          <w:sz w:val="44"/>
          <w:szCs w:val="44"/>
          <w:highlight w:val="none"/>
        </w:rPr>
      </w:pPr>
      <w:r>
        <w:rPr>
          <w:rFonts w:hint="eastAsia" w:ascii="Times New Roman" w:hAnsi="宋体" w:eastAsia="宋体" w:cs="Times New Roman"/>
          <w:color w:val="auto"/>
          <w:sz w:val="24"/>
          <w:highlight w:val="none"/>
        </w:rPr>
        <w:t xml:space="preserve">  </w:t>
      </w: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Times New Roman" w:hAnsi="宋体" w:eastAsia="宋体" w:cs="Times New Roman"/>
          <w:color w:val="auto"/>
          <w:sz w:val="24"/>
          <w:highlight w:val="none"/>
        </w:rPr>
        <w:t xml:space="preserve">  </w:t>
      </w:r>
    </w:p>
    <w:p>
      <w:pPr>
        <w:snapToGrid w:val="0"/>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br w:type="page"/>
      </w:r>
      <w:bookmarkStart w:id="496" w:name="_Toc5990"/>
      <w:r>
        <w:rPr>
          <w:rFonts w:hint="eastAsia" w:ascii="宋体" w:hAnsi="宋体" w:eastAsia="宋体" w:cs="宋体"/>
          <w:b/>
          <w:bCs/>
          <w:color w:val="auto"/>
          <w:kern w:val="0"/>
          <w:sz w:val="32"/>
          <w:szCs w:val="32"/>
          <w:highlight w:val="none"/>
        </w:rPr>
        <w:t>第二部分　通用合同条款</w:t>
      </w:r>
      <w:bookmarkEnd w:id="496"/>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第1条 一般约定</w:t>
      </w:r>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 词语定义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下列词语除专用合同条款另有约定外，应具有本条所赋予的含义。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合同协议书：指构成合同的由发包人和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共同签署的称为“合同协议书”的书面文件。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通用合同条款：是根据法律、行政法规规定及建设工程勘察的需要订立，通用于建设工程勘察的合同条款。</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专用合同条款：是发包人与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根据法律、行政法规规定，结合具体工程实际，经协商达成一致意见的合同条款，是对通用合同条款的细化、完善、补充、修改或另行约定。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发包人：指与</w:t>
      </w:r>
      <w:r>
        <w:rPr>
          <w:rFonts w:hint="eastAsia" w:ascii="宋体" w:hAnsi="宋体" w:eastAsia="宋体" w:cs="宋体"/>
          <w:color w:val="auto"/>
          <w:kern w:val="0"/>
          <w:sz w:val="24"/>
          <w:szCs w:val="24"/>
          <w:highlight w:val="none"/>
          <w:lang w:eastAsia="zh-CN"/>
        </w:rPr>
        <w:t>承包人签订</w:t>
      </w:r>
      <w:r>
        <w:rPr>
          <w:rFonts w:hint="eastAsia" w:ascii="宋体" w:hAnsi="宋体" w:eastAsia="宋体" w:cs="宋体"/>
          <w:color w:val="auto"/>
          <w:kern w:val="0"/>
          <w:sz w:val="24"/>
          <w:szCs w:val="24"/>
          <w:highlight w:val="none"/>
        </w:rPr>
        <w:t>合同协议书的当事人以及取得该当事人资格的合法继承人。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：指在合同协议书中约定，被发包人接受的具有工程勘察资质的当事人以及取得该当事人资格的合法继承人。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 工程：指发包人与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在合同协议书中约定的勘察范围内的项目。</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 勘察任务书：指由发包人就工程勘察范围、内容和技术标准等提出要求的书面文件。勘察任务书构成合同文件组成部分。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 合同价款：指合同当事人在合同协议书中约定，发包人用以支付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完成合同约定范围内工程勘察工作的款项。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1.1.10 费用：指为履行合同所发生的或将要发生的</w:t>
      </w:r>
      <w:r>
        <w:rPr>
          <w:rFonts w:hint="eastAsia" w:ascii="宋体" w:hAnsi="宋体" w:eastAsia="宋体" w:cs="宋体"/>
          <w:color w:val="auto"/>
          <w:kern w:val="0"/>
          <w:sz w:val="24"/>
          <w:szCs w:val="24"/>
          <w:highlight w:val="none"/>
          <w:lang w:eastAsia="zh-CN"/>
        </w:rPr>
        <w:t>必需的</w:t>
      </w:r>
      <w:r>
        <w:rPr>
          <w:rFonts w:hint="eastAsia" w:ascii="宋体" w:hAnsi="宋体" w:eastAsia="宋体" w:cs="宋体"/>
          <w:color w:val="auto"/>
          <w:kern w:val="0"/>
          <w:sz w:val="24"/>
          <w:szCs w:val="24"/>
          <w:highlight w:val="none"/>
        </w:rPr>
        <w:t>支出。</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工期：指合同当事人在合同协议书中约定，按总日历天数（包括法定节假日）计算的工作天数。</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开工日期：指合同当事人在合同中约定，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开始工作的绝对或相对日期。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成果提交日期：指合同当事人在合同中约定，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完成合同范围内工作并提交成果资料的绝对或相对日期。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图纸：指由发包人提供或由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提供并经发包人认可，满足</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开展工作需要的所有图件，包括相关说明和资料。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作业场地：指工程勘察作业的场所以及发包人具体指定的供工程勘察作业使用的其他场所。</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1.1.18 索赔：指在合同履行过程中，一方违反合同约定，直接或间接地给另一方造成实际损失，受损方向违约方提出经济赔偿和（或）工期顺延的要求。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不利物质条件：指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在作业场地遇到的不可预见的自然物质条件、非自然的物质障碍和污染物。</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1.1.20 后期服务：指</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提交成果资料后，为发包人提供的后续技术服务工作和程序性工作，如报告成果咨询、基槽检验、现场交桩和竣工验收等。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 合同文件及优先解释顺序</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合同文件应能相互解释，互为说明。除专用合同条款另有约定外，组成本合同的文件及优先解释顺序如下：</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上述合同文件包括合同当事人就该项合同文件所作出的补充和修改，属于同一类内容的文件，应以最新签署的为准。</w:t>
      </w:r>
    </w:p>
    <w:p>
      <w:pPr>
        <w:keepNext w:val="0"/>
        <w:keepLines w:val="0"/>
        <w:pageBreakBefore w:val="0"/>
        <w:widowControl w:val="0"/>
        <w:tabs>
          <w:tab w:val="left" w:pos="180"/>
        </w:tabs>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1.2.2 当合同文件内容含糊不清或不相一致时，在不影响工作正常进行的情况下，由发包人和</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kern w:val="0"/>
          <w:sz w:val="24"/>
          <w:szCs w:val="24"/>
          <w:highlight w:val="none"/>
        </w:rPr>
        <w:t>协商解决。双方协商不成时，按第16条〔争议解决〕的约定处理。</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 适用法律法规、技术标准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 适用法律法规</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本合同文件适用中华人民共和国法律、行政法规、部门规章以及工程所在地的地方性法规、自治条例、单行条例和地方政府规章等。其他需要明示的规范性文件，由合同当事人在专用合同条款中约定。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适用技术标准</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适用于工程的现行有效国家标准、行业标准、工程所在地的地方标准以及相应的规范、规程为本合同文件适用的技术标准。合同当事人有特别要求的，应在专用合同条款中约定。</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发包人要求使用国外技术标准的，应在专用合同条款中约定所使用技术标准的名称及提供方，并约定技术标准原文版、中译本的份数、时间及费用承担等事项。</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 语言文字</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本合同文件使用汉语语言文字书写、解释和说明。如专用合同条款约定使用两种以上（含两种）语言时，汉语为优先解释和说明本合同的语言。</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 联络</w:t>
      </w:r>
    </w:p>
    <w:p>
      <w:pPr>
        <w:tabs>
          <w:tab w:val="left" w:pos="540"/>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与合同有关的批准文件、通知、证明、证书、指示、指令、要求、请求、意见、确定和决定等，均应采用书面形式或合同双方确认的其他形式，并应在合同约定的期限内送达接收人。</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1.5.2 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应在专用合同条款中约定各自的送达接收人、送达形式及联系方式。合同当事人指定的接收人、送达地点或联系方式发生变动的，应提前3天以书面形式通知对方，否则视为未发生变动。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1.5.3 发包人、</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应及时签收对方送达至约定送达地点和指定接收人的来往信函；如确有充分证据证明一方无正当理由拒不签收的，视为拒绝签收一方认可往来信函的内容。</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 严禁贿赂</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合同当事人不得以贿赂或变相贿赂的方式，谋取非法利益或损害对方权益。因一方的贿赂造成对方损失的，应赔偿损失并承担相应的法律责任。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 保密</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除法律法规规定或合同另有约定外，未经发包人同意，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不得将发包人提供的图纸、文件以及声明需要保密的资料信息等商业秘密泄露给第三方。</w:t>
      </w:r>
    </w:p>
    <w:p>
      <w:pPr>
        <w:snapToGrid w:val="0"/>
        <w:spacing w:line="360" w:lineRule="auto"/>
        <w:ind w:firstLine="552" w:firstLineChars="23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除法律法规规定或合同另有约定外，未经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同意，发包人不得将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提供的技术文件、成果资料、技术秘密及声明需要保密的资料信息等商业秘密泄露给第三方。</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第2条 发包人</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2.1 发包人权利</w:t>
      </w:r>
    </w:p>
    <w:p>
      <w:pPr>
        <w:tabs>
          <w:tab w:val="left" w:pos="540"/>
        </w:tabs>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2.1.1 发包人对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的勘察工作有权依照合同约定实施监督，并对勘察成果予以验收。</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2.1.2 </w:t>
      </w:r>
      <w:r>
        <w:rPr>
          <w:rFonts w:hint="eastAsia" w:ascii="宋体" w:hAnsi="宋体" w:eastAsia="宋体" w:cs="宋体"/>
          <w:color w:val="auto"/>
          <w:sz w:val="24"/>
          <w:szCs w:val="24"/>
          <w:highlight w:val="none"/>
        </w:rPr>
        <w:t>发包人对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无法胜任工程勘察工作的人员有权提出更换。</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2.1.3 发包人拥有</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为其项目编制的所有文件资料的使用权，包括投标文件、成果资料和数据等。</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 发包人义务</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2.2.1 </w:t>
      </w:r>
      <w:r>
        <w:rPr>
          <w:rFonts w:hint="eastAsia" w:ascii="宋体" w:hAnsi="宋体" w:eastAsia="宋体" w:cs="宋体"/>
          <w:color w:val="auto"/>
          <w:sz w:val="24"/>
          <w:szCs w:val="24"/>
          <w:highlight w:val="none"/>
        </w:rPr>
        <w:t>发包人应以书面形式向</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明确勘察任务及技术要求。</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2.2.2 </w:t>
      </w:r>
      <w:r>
        <w:rPr>
          <w:rFonts w:hint="eastAsia" w:ascii="宋体" w:hAnsi="宋体" w:eastAsia="宋体" w:cs="宋体"/>
          <w:color w:val="auto"/>
          <w:sz w:val="24"/>
          <w:szCs w:val="24"/>
          <w:highlight w:val="none"/>
        </w:rPr>
        <w:t>发包人应提供开展工程勘察工作所需要的图纸及技术资料，包括总平面图、地形图、已有水准点和坐标控制点等，若上述资料由</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负责搜集时，发包人应承担相关费用。</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2.2.3 </w:t>
      </w:r>
      <w:r>
        <w:rPr>
          <w:rFonts w:hint="eastAsia" w:ascii="宋体" w:hAnsi="宋体" w:eastAsia="宋体" w:cs="宋体"/>
          <w:color w:val="auto"/>
          <w:sz w:val="24"/>
          <w:szCs w:val="24"/>
          <w:highlight w:val="none"/>
        </w:rPr>
        <w:t>发包人应提供工程勘察作业所需的批准及许可文件，包括立项批复、占用和挖掘道路许可等。</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提供具备条件的作业场地及进场通道（包括土地征用、障碍物清除、场地平整、提供水电接口和青苗赔偿等）并承担相关费用。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提供作业场地内地下埋藏物（包括地下管线、地下构筑物等）的资料、图纸，没有资料、图纸的地区，发包人应委托专业机构查清地下埋藏物。若因发包人未提供上述资料、图纸，或提供的资料、图纸不实，致使</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在工程勘察工作过程中发生人身伤害或造成经济损失时，由发包人承担赔偿责任。</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2.2.6 </w:t>
      </w:r>
      <w:r>
        <w:rPr>
          <w:rFonts w:hint="eastAsia" w:ascii="宋体" w:hAnsi="宋体" w:eastAsia="宋体" w:cs="宋体"/>
          <w:color w:val="auto"/>
          <w:sz w:val="24"/>
          <w:szCs w:val="24"/>
          <w:highlight w:val="none"/>
        </w:rPr>
        <w:t>发包人应按照法律法规规定为</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安全生产提供条件并支付安全生产防护费用，发包人不得要求</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违反安全生产管理规定进行作业。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2.2.7 </w:t>
      </w:r>
      <w:r>
        <w:rPr>
          <w:rFonts w:hint="eastAsia" w:ascii="宋体" w:hAnsi="宋体" w:eastAsia="宋体" w:cs="宋体"/>
          <w:color w:val="auto"/>
          <w:sz w:val="24"/>
          <w:szCs w:val="24"/>
          <w:highlight w:val="none"/>
        </w:rPr>
        <w:t>若勘察现场需要看守，特别是在有毒、有害等危险现场作业时，发包人应派人负责安全保卫工作；按国家有关规定，对从事危险作业的现场人员进行保健防护，并承担费用。发包人对安全文明</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有特殊要求时，应在专用合同条款中另行约定。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发包人应对</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满足质量标准的已完工作，按照合同约定及时支付相应的工程勘察合同价款及费用。</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 发包人代表</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发包人应在专用合同条款中明确其负责工程勘察的发包人代表的姓名、职务、联系方式及授权范围等事项。发包人代表在发包人的授权范围内，负责处理合同履行过程中与发包人有关的具体事宜。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第3条 承包人</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在工程勘察期间，根据项目条件和技术标准、法律法规规定等方面的变化，有权向发包人提出增减合同工作量或修改技术方案的建议。</w:t>
      </w:r>
    </w:p>
    <w:p>
      <w:pPr>
        <w:tabs>
          <w:tab w:val="left" w:pos="5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sz w:val="24"/>
          <w:szCs w:val="24"/>
          <w:highlight w:val="none"/>
        </w:rPr>
        <w:t>除建设工程主体部分的勘察外，</w:t>
      </w:r>
      <w:r>
        <w:rPr>
          <w:rFonts w:hint="eastAsia" w:ascii="宋体" w:hAnsi="宋体" w:eastAsia="宋体" w:cs="宋体"/>
          <w:color w:val="auto"/>
          <w:sz w:val="24"/>
          <w:szCs w:val="24"/>
          <w:highlight w:val="none"/>
          <w:lang w:eastAsia="zh-CN"/>
        </w:rPr>
        <w:t>根据合同约定或</w:t>
      </w:r>
      <w:r>
        <w:rPr>
          <w:rFonts w:hint="eastAsia" w:ascii="宋体" w:hAnsi="宋体" w:eastAsia="宋体" w:cs="宋体"/>
          <w:color w:val="auto"/>
          <w:sz w:val="24"/>
          <w:szCs w:val="24"/>
          <w:highlight w:val="none"/>
        </w:rPr>
        <w:t>经发包人同意，</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可以将建设工程其他部分的勘察分包给</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具有相应资质等级的建设工程勘察单位。发包人对分包的特殊要求应在专用合同条款中另行约定。</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3.1.3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对其编制的所有文件资料，包括投标文件、成果资料、数据和专利技术等拥有知识产权。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义务</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应按勘察任务书和技术要求并依据有关技术标准进行工程勘察工作。</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应建立质量保证体系，按本合同约定的时间提交质量合格的成果资料，并对其质量负责。</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3.2.3 </w:t>
      </w:r>
      <w:r>
        <w:rPr>
          <w:rFonts w:hint="eastAsia" w:ascii="宋体" w:hAnsi="宋体" w:eastAsia="宋体" w:cs="宋体"/>
          <w:color w:val="auto"/>
          <w:kern w:val="0"/>
          <w:sz w:val="24"/>
          <w:szCs w:val="24"/>
          <w:highlight w:val="none"/>
          <w:lang w:eastAsia="zh-CN"/>
        </w:rPr>
        <w:t>承包人按照发包人要求的份数、形式</w:t>
      </w:r>
      <w:r>
        <w:rPr>
          <w:rFonts w:hint="eastAsia" w:ascii="宋体" w:hAnsi="宋体" w:eastAsia="宋体" w:cs="宋体"/>
          <w:color w:val="auto"/>
          <w:kern w:val="0"/>
          <w:sz w:val="24"/>
          <w:szCs w:val="24"/>
          <w:highlight w:val="none"/>
        </w:rPr>
        <w:t>提交成果资料后，</w:t>
      </w:r>
      <w:r>
        <w:rPr>
          <w:rFonts w:hint="eastAsia" w:ascii="宋体" w:hAnsi="宋体" w:eastAsia="宋体" w:cs="宋体"/>
          <w:color w:val="auto"/>
          <w:kern w:val="0"/>
          <w:sz w:val="24"/>
          <w:szCs w:val="24"/>
          <w:highlight w:val="none"/>
          <w:lang w:eastAsia="zh-CN"/>
        </w:rPr>
        <w:t>并对成果资料的质量负责，提交成果资料后承包人</w:t>
      </w:r>
      <w:r>
        <w:rPr>
          <w:rFonts w:hint="eastAsia" w:ascii="宋体" w:hAnsi="宋体" w:eastAsia="宋体" w:cs="宋体"/>
          <w:color w:val="auto"/>
          <w:kern w:val="0"/>
          <w:sz w:val="24"/>
          <w:szCs w:val="24"/>
          <w:highlight w:val="none"/>
        </w:rPr>
        <w:t>应为发包人继续提供后期服务。</w:t>
      </w:r>
    </w:p>
    <w:p>
      <w:pPr>
        <w:tabs>
          <w:tab w:val="left" w:pos="540"/>
        </w:tabs>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3.2.4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在工程勘察期间遇到地下文物时，应及时向发包人和文物主管部门报告并妥善保护。</w:t>
      </w:r>
    </w:p>
    <w:p>
      <w:pPr>
        <w:tabs>
          <w:tab w:val="left" w:pos="540"/>
        </w:tabs>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3.2.5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开展工程勘察活动时应遵守有关</w:t>
      </w:r>
      <w:r>
        <w:rPr>
          <w:rFonts w:hint="eastAsia" w:ascii="宋体" w:hAnsi="宋体" w:eastAsia="宋体" w:cs="宋体"/>
          <w:color w:val="auto"/>
          <w:sz w:val="24"/>
          <w:szCs w:val="24"/>
          <w:highlight w:val="none"/>
        </w:rPr>
        <w:t>职业健康及</w:t>
      </w:r>
      <w:r>
        <w:rPr>
          <w:rFonts w:hint="eastAsia" w:ascii="宋体" w:hAnsi="宋体" w:eastAsia="宋体" w:cs="宋体"/>
          <w:color w:val="auto"/>
          <w:kern w:val="0"/>
          <w:sz w:val="24"/>
          <w:szCs w:val="24"/>
          <w:highlight w:val="none"/>
        </w:rPr>
        <w:t>安全生产方面</w:t>
      </w:r>
      <w:r>
        <w:rPr>
          <w:rFonts w:hint="eastAsia" w:ascii="宋体" w:hAnsi="宋体" w:eastAsia="宋体" w:cs="宋体"/>
          <w:color w:val="auto"/>
          <w:sz w:val="24"/>
          <w:szCs w:val="24"/>
          <w:highlight w:val="none"/>
        </w:rPr>
        <w:t>的各项法律法规的规定</w:t>
      </w:r>
      <w:r>
        <w:rPr>
          <w:rFonts w:hint="eastAsia" w:ascii="宋体" w:hAnsi="宋体" w:eastAsia="宋体" w:cs="宋体"/>
          <w:color w:val="auto"/>
          <w:kern w:val="0"/>
          <w:sz w:val="24"/>
          <w:szCs w:val="24"/>
          <w:highlight w:val="none"/>
        </w:rPr>
        <w:t>，采取安全防护措施，确保人员、设备和设施的安全。</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3.2.6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在燃气管道、热力管道、动力设备、输水管道、输电线路、临街交通要</w:t>
      </w:r>
      <w:r>
        <w:rPr>
          <w:rFonts w:hint="eastAsia" w:ascii="宋体" w:hAnsi="宋体" w:eastAsia="宋体" w:cs="宋体"/>
          <w:color w:val="auto"/>
          <w:sz w:val="24"/>
          <w:szCs w:val="24"/>
          <w:highlight w:val="none"/>
        </w:rPr>
        <w:t>道及地下通道（地下隧道）附近等风险性较大的地点，以及在易燃易爆地段及放射、有毒环境中进</w:t>
      </w:r>
      <w:r>
        <w:rPr>
          <w:rFonts w:hint="eastAsia" w:ascii="宋体" w:hAnsi="宋体" w:eastAsia="宋体" w:cs="宋体"/>
          <w:color w:val="auto"/>
          <w:kern w:val="0"/>
          <w:sz w:val="24"/>
          <w:szCs w:val="24"/>
          <w:highlight w:val="none"/>
        </w:rPr>
        <w:t>行工程勘察作业时，应编制安全防护方案并制定应急预案。</w:t>
      </w:r>
    </w:p>
    <w:p>
      <w:pPr>
        <w:tabs>
          <w:tab w:val="left" w:pos="540"/>
        </w:tabs>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应在勘察方案中列明环境保护的具体措施，并在合同履行期间采取合理措施保护作业现场环境。</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3.3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p>
    <w:p>
      <w:pPr>
        <w:tabs>
          <w:tab w:val="left" w:pos="360"/>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接受任务时，应在专用合同条款中明确其负责工程勘察的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代表的姓名、职务、联系方式及授权范围等事项。</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代表在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的授权范围内，负责处理合同履行过程中与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有关的具体事宜。</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第4条 工期</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4.1 开工及延期开工</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应按合同约定的工期进行工程勘察工作，并接受发包人对工程勘察工作进度的监督、检查。</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4.1.2 因发包人原因不能按照合同约定的日期开工，发包人应以书面形式通知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，推迟开工日期并相应顺延工期。</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4.2 成果提交日期</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应按照合同约定的日期或双方同意顺延的工期提交成果资料，具体可在专用合同条款中约定。</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4.3 发包人造成的工期延误</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因以下情形造成工期延误，</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有权要求发包人延长工期、增加合同价款和（或）补偿费用：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（1）发包人未能按合同约定提供图纸及开工条件；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）变更导致合同工作量增加；</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）发包人增加合同工作内容；</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）发包人改变工程勘察技术要求；</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）发包人导致工期延误的其他情形。</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4.3.2 </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4.4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造成的工期延误</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因以下情形不能按照合同约定的日期或双方同意顺延的工期提交成果资料的，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未按合同约定开工日期开展工作造成工期延误的；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管理不善、组织不力造成工期延误的；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（3）因弥补</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自身原因导致的质量缺陷而造成工期延误的；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成果资料不合格返工造成工期延误的；</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导致工期延误的其他情形。</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4.5 恶劣气候条件</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恶劣气候条件影响现场作业，导致现场作业难以进行，造成工期延误的，</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有权要求发包人延长工期，具体可参照第4.3.2款处理。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第5条 成果资料</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5.1 成果质量</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5.1.1 成果质量应符合相关技术标准</w:t>
      </w:r>
      <w:r>
        <w:rPr>
          <w:rFonts w:hint="eastAsia" w:ascii="宋体" w:hAnsi="宋体" w:eastAsia="宋体" w:cs="宋体"/>
          <w:color w:val="auto"/>
          <w:kern w:val="0"/>
          <w:sz w:val="24"/>
          <w:szCs w:val="24"/>
          <w:highlight w:val="none"/>
          <w:lang w:eastAsia="zh-CN"/>
        </w:rPr>
        <w:t>和深度规定</w:t>
      </w:r>
      <w:r>
        <w:rPr>
          <w:rFonts w:hint="eastAsia" w:ascii="宋体" w:hAnsi="宋体" w:eastAsia="宋体" w:cs="宋体"/>
          <w:color w:val="auto"/>
          <w:kern w:val="0"/>
          <w:sz w:val="24"/>
          <w:szCs w:val="24"/>
          <w:highlight w:val="none"/>
        </w:rPr>
        <w:t>，且满足合同约定的质量要求。</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5.1.2 双方对工程勘察成果质量有争议时，由双方同意的第三方机构鉴定，所需费用及因此造成的损失，由责任方承担；双方均有责任</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，由双方根据其责任分别承担。</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5.2 成果份数</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应向发包人提交成果资料四份，发包人要求增加的份数，在专用合同条款中另行约定，发包人另行支付相应的费用。</w:t>
      </w:r>
    </w:p>
    <w:p>
      <w:pPr>
        <w:tabs>
          <w:tab w:val="left" w:pos="540"/>
        </w:tabs>
        <w:adjustRightInd w:val="0"/>
        <w:snapToGrid w:val="0"/>
        <w:spacing w:before="260" w:beforeLines="0" w:after="260" w:afterLines="0" w:line="360" w:lineRule="auto"/>
        <w:ind w:firstLine="482" w:firstLineChars="200"/>
        <w:jc w:val="left"/>
        <w:outlineLvl w:val="2"/>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5.3 成果交付</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按照约定时间和地点向发包人交付成果资料，发包人应出具书面签收单，内容包括成果名称、成果组成、成果份数、提交和签收日期、提交人与接收人的亲笔签名等。</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5.4 成果验收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向发包人提交成果资料后，如需对勘察成果组织验收的，发包人应及时组织验收。</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发包人14天内无正当理由不予组织验收，视为验收通过。</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第6条 后期服务</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6.1 后续技术服务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应派专业技术人员为发包人提供后续技术服务，发包人应为其提供必要的工作和生活条件，后续技术服务的内容、费用和时限应由双方在专用合同条款中另行约定。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6.2 竣工验收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工程竣工验收时，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应按发包人要求参加竣工验收工作，并提供竣工验收所需相关资料。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第7条 合同价款与支付</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7.1 合同价款与调整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依照法定程序进行招标工程的合同价款由发包人和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依据中标价格载明在合同协议书中；非招标工程的合同价款由发包人和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议定，并载明在合同协议书中。合同价款在合同协议书中约定后，除合同条款约定的合同价款调整因素外，任何一方不得擅自改变。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7.1.2 合同当事人可任选下列一种合同价款的形式，双方可在专用合同条款中约定：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双方在专用合同条款中约定合同价款包含的风险范围和风险费用的计算方法，在约定的风险范围内合同价款不再调整。风险范围以外的合同价款调整因素和方法，应在专用合同条款中约定。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（2）单价合同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合同价款根据工作量的变化而调整，合同单价在风险范围内一般不予调整，双方可在专用合同条款中约定合同单价调整因素和方法。</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（3）其他合同价款形式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7.1.3 需调整合同价款时，合同一方应及时将调整原因、调整金额以书面形式通知对方，双方共同确认调整金额后作为追加或减少的合同价款，与进度款同期支付。</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一方在收到对方的通知后7天内不予确认也不提出修改意见，视为已经同意该项调整。合同当事人就调整事项不能达成一致的，则按照第16条〔争议解决〕的约定处理。</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7.2 定金或预付款</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7.2.1 实行定金或预付款的，双方应在专用合同条款中约定发包人向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支付定金或预付款数额，支付时间应不迟于约定的开工日期前7天。发包人不按约定支付，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向发包人发出要求支付的通知，发包人收到通知后仍不能按要求支付，发包人</w:t>
      </w:r>
      <w:r>
        <w:rPr>
          <w:rFonts w:hint="eastAsia" w:ascii="宋体" w:hAnsi="宋体" w:eastAsia="宋体" w:cs="宋体"/>
          <w:color w:val="auto"/>
          <w:kern w:val="0"/>
          <w:sz w:val="24"/>
          <w:szCs w:val="24"/>
          <w:highlight w:val="none"/>
          <w:lang w:eastAsia="zh-CN"/>
        </w:rPr>
        <w:t>需</w:t>
      </w:r>
      <w:r>
        <w:rPr>
          <w:rFonts w:hint="eastAsia" w:ascii="宋体" w:hAnsi="宋体" w:eastAsia="宋体" w:cs="宋体"/>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定金或预付款在进度款中抵扣，抵扣办法可在专用合同条款中约定。</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7.3 进度款支付</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发包人应按照专用合同条款约定的进度款支付方式、支付条件和支付时间进行支付。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7.3.2 第7.1款〔合同价款与调整〕和第8.2款〔变更合同价款确定〕确定调整的合同价款及其他条款中约定的追加或减少的合同价款，应与进度款同期调整支付。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7.3.3 发包人超过约定的支付时间不支付进度款，</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可向发包人发出要求付款的通知，发包人收到</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通知后仍不能按要求付款，可与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协商签订延期付款协议，经</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同意后可延期支付。</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7.3.4 发包人不按合同约定支付进度款，双方又未达成延期付款协议，</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可停止工程勘察作业和后期服务，由发包人承担违约责任。</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7.4 合同价款结算</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提交成果资料</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28天内，依据第7.1款〔合同价款与调整〕和第8.2款〔变更合同价款确定〕的约定进行最终合同价款确定，并予以全额支付。</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第8条 变更与调整</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 变更范围与确认</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本合同变更是指在合同签订日后发生的以下变更：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（1）法律法规及技术标准的变化引起的变更；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（2）规划方案或设计条件的变化引起的变更；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（3）不利物质条件引起的变更；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（4）发包人的要求变化引起的变更；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（5）因政府临时禁令引起的变更；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（6）其他专用合同条款中约定的变更。</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当引起变更的情形出现，除专用合同条款对期限另有约定外，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应在7天内就调整后的技术方案以书面形式向发包人提出变更要求，发包人应在收到报告后7天内予以确认，逾期不予确认也不提出修改意见，视为同意变更。</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8.2 变更合同价款确定</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变更合同价款按下列方法进行：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（1）合同中已有适用于变更工程的价格，按合同已有的价格变更合同价款；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（2）合同中只有类似于变更工程的价格，可以参照类似价格变更合同价款；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（3）合同中没有适用或类似于变更工程的价格，由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提出适当的变更价格，经发包人确认后执行。</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8.2.2 除专用合同条款对期限另有约定外，一方应在双方确定变更事项后14天内向对方提出变更合同价款报告，否则视为该项变更不涉及合同价款的变更。</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8.2.3 除专用合同条款对期限另有约定外，一方应在收到对方提交的变更合同价款报告之日起14天内予以确认。逾期无正当理由不予确认的，则视为该项变更合同价款报告已被确认。</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8.2.4 一方不同意对方提出的合同价款变更，按第16条〔争议解决〕的约定处理。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8.2.5 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自身原因导致的变更，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无权要求追加合同价款。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第9条 知识产权</w:t>
      </w:r>
    </w:p>
    <w:p>
      <w:pPr>
        <w:tabs>
          <w:tab w:val="left" w:pos="54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9.1 除专用合同条款另有约定外，发包人提供给</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的图纸、发包人为实施工程自行编制或委托编制的反映发包人要求或其他类似性质的文件的著作权属于发包人，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可以为实现本合同目的而复制、使用此类文件，但不能用于与本合同无关的其他事项。未经发包人书面同意，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9.2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为实施工程所编制的成果文件的著作权属于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，发包人可因本工程的需要而复制、使用此类文件，但不能擅自修改或用于与本合同无关的其他事项。未经</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书面同意，发包人不得为了本合同以外的目的而复制、使用上述文件或将之提供给任何第三方。</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9.3 合同当事人保证在履行本合同过程中不侵犯对方及第三方的知识产权。</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在工程勘察时，因侵犯他人的专利权或其他知识产权所引起的责任，由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承担；因发包人提供的基础资料导致侵权的，由发包人承担责任。</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9.4 在不损害对方利益情况下，合同当事人双方均有权在申报奖项、制作宣传印刷品及出版物时使用有关项目的文字和图片材料。</w:t>
      </w:r>
    </w:p>
    <w:p>
      <w:pPr>
        <w:tabs>
          <w:tab w:val="left" w:pos="720"/>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9.5 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在合同签订前和签订时已确定采用的专利、专有技术、技术秘密的使用费已包含在合同价款中。</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第10条 不可抗力</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10.1 不可抗力的确认</w:t>
      </w:r>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不可抗力是在订立合同时不可合理预见，在履行合同中不可避免的发生且不能克服的自然灾害和社会突发事件，如地震、海啸、瘟疫、洪水、骚乱、暴动、战争以及专用条款约定的其他自然灾害和社会突发事件。</w:t>
      </w:r>
    </w:p>
    <w:p>
      <w:pPr>
        <w:tabs>
          <w:tab w:val="left" w:pos="720"/>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不可抗力发生后，发包人和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应收集不可抗力发生及造成损失的证据。合同当事双方对是否属于不可抗力或其损失发生争议时，按第16条〔争议解决〕的约定处理。</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10.2 不可抗力的通知</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遇有不可抗力发生时，发包人和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应立即通知对方，双方应共同采取措施减少损失。除专用合同条款对期限另有约定外，不可抗力持续发生，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应每隔7天向发包人报告一次受害损失情况。</w:t>
      </w:r>
    </w:p>
    <w:p>
      <w:pPr>
        <w:tabs>
          <w:tab w:val="left" w:pos="16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10.2.2 除专用合同条款对期限另有约定外，不可抗力结束后2天内，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向发包人通报受害损失情况及预计清理和修复的费用；不可抗力结束后14天内，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向发包人提交清理和修复费用的正式报告及有关资料。</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10.3 不可抗力后果的承担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因不可抗力发生的费用及延误的工期由双方按以下方法分别承担：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人员伤亡由合同当事人双方自行负责，并承担相应费用；</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机械设备损坏及停工损失，由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（3）停工期间，</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应发包人要求留在作业场地的管理人员及保卫人员的费用由发包人承担；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（4）作业场地发生的清理、修复费用由发包人承担；</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（5）延误的工期相应顺延。</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因合同一方迟延履行合同后发生不可抗力的，不能免除迟延履行方的相应责任。</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第11条 合同生效与终止</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11.1 双方在合同协议书中约定合同生效方式。</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11.2 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履行合同全部义务，合同价款支付完毕，本合同即告终止。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11.3 合同的权利义务终止后，合同当事人应遵循诚实信用原则，履行通知、协助和保密等义务。</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第12条 合同解除</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12.1</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有下列情形之一的，发包人、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可以解除合同：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（1）因不可抗力致使合同无法履行；</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（2）发生未按第7.2款〔定金或预付款〕或第7.3款〔进度款支付〕约定按时支付合同价款的情况，停止作业超过28天，</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有权解除合同，由发包人承担违约责任；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将其承包的全部工程转包给他人或者肢解以后以分包的名义分别转包给他人，发包人有权解除合同，由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承担违约责任；</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（4）发包人和</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协商一致可以解除合同的其他情形。</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12.2 一方依据第12.1款约定要求解除合同的，应以书面形式向对方发出解除合同的通知，并在发出通知前不少于14天告知对方，通知到达对方时合同解除。对解除合同有争议的，按第16条〔争议解决〕的约定处理。</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12.3 因不可抗力致使合同无法履行时，发包人应按合同约定向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支付已完工作量相对应比例的合同价款后解除合同。</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12.4 合同解除后，</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应按发包人要求将自有设备和人员撤出作业场地，发包人应为</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撤出提供必要条件。</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第13条 责任与保险</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13.1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应运用一切合理的专业技术和经验，按照公认的职业标准尽其全部职责和谨慎、勤勉地履行其在本合同项下的责任和义务。</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13.2 合同当事人可按照法律法规的要求在专用合同条款中约定履行本合同所需要的工程勘察责任保险，并使其于合同责任期内保持有效。</w:t>
      </w:r>
    </w:p>
    <w:p>
      <w:pPr>
        <w:tabs>
          <w:tab w:val="left" w:pos="54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13.3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应依照法律法规的规定为勘察作业人员参加工伤保险、人身意外伤害险和其他保险。</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第14条 违约</w:t>
      </w:r>
    </w:p>
    <w:p>
      <w:pPr>
        <w:keepNext w:val="0"/>
        <w:keepLines w:val="0"/>
        <w:widowControl w:val="0"/>
        <w:tabs>
          <w:tab w:val="left" w:pos="180"/>
          <w:tab w:val="left" w:pos="3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14.1 发包人违约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发包人违约情形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（2）发包人未按第7.2款〔定金或预付款〕约定按时支付定金或预付款；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（3）发包人未按第7.3款〔进度款支付〕约定按时支付进度款；</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（4）发包人不履行合同义务或不按合同约定履行义务的其他情形。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未开始勘察工作的，不退还发包人已付的定金或发包人按照专用合同条款约定向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支付违约金；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已开始勘察工作的，若完成计划工作量不足50%的，发包人应支付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合同价款的50%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完成计划工作量超过50%的，发包人应支付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合同价款的100%。</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（2）发包人发生其他违约情形时，发包人应承担由此增加的费用和工期延误损失，并给予</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合理赔偿。双方可在专用合同条款内约定发包人赔偿</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损失的计算方法或者发包人应支付违约金的数额或计算方法。</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14.2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14.2.1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原因不能按照合同约定的日期或合同当事人同意顺延的工期提交成果资料；</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不履行合同义务或未按约定履行合同义务的其他情形。</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因自身原因要求终止或解除合同，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应双倍返还发包人已支付的定金或</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按照专用合同条款约定向发包人支付违约金。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原因造成工期延误的，应按专用合同条款约定向发包人支付违约金。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原因造成成果资料质量达不到合同约定的质量标准，</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应负责无偿给予补充完善使其达到质量合格。因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除负责采取补救措施外，应通过所投工程勘察责任保险向发包人承担赔偿责任或根据直接经济损失程度按专用合同条款约定向发包人支付赔偿金。</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发生其他违约情形时，</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应承担违约责任并赔偿因其违约给发包人造成的损失，双方可在专用合同条款内约定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赔偿发包人损失的计算方法和赔偿金额。</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第15条 索赔</w:t>
      </w:r>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15.1 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未按合同约定履行义务或发生错误以及应由</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承担责任的其他情形，造成工期延误及发包人的经济损失，除专用合同条款另有约定外，发包人可按下列程序以书面形式向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提出经济损失的索赔报告及有关资料；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在收到发包人送交的索赔报告和有关资料后28天内未予答复或未对发包人作进一步要求，视为该项索赔已被认可；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（5）当该违约事件持续进行时，发包人应阶段性向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发出索赔意向，在违约事件终了后21天内，向</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送交索赔的有关资料和最终索赔报告。索赔答复程序与本款第（3）、（4）项约定相同。</w:t>
      </w:r>
    </w:p>
    <w:p>
      <w:pPr>
        <w:tabs>
          <w:tab w:val="left" w:pos="1260"/>
        </w:tabs>
        <w:adjustRightInd w:val="0"/>
        <w:snapToGrid w:val="0"/>
        <w:spacing w:line="360" w:lineRule="auto"/>
        <w:ind w:firstLine="480" w:firstLineChars="200"/>
        <w:jc w:val="left"/>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 xml:space="preserve">15.2 </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发包人未按合同约定履行义务或发生错误以及应由发包人承担责任的其他情形，造成工期延误和（或）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不能及时得到合同价款及</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的经济损失，除专用合同条款另有约定外，</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可按下列程序以书面形式向发包人索赔：</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（1）违约事件发生后7天内，</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可向发包人发出要求其采取有效措施纠正违约行为的通知；发包人收到通知14天内仍不履行合同义务，</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有权停止作业，并向发包人发出索赔意向通知。</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（2）发出索赔意向通知后14天内，向发包人提出延长工期和（或）补偿经济损失的索赔报告及有关资料；</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送交的索赔报告和有关资料或补充索赔理由、证据后，于28天内给予答复；</w:t>
      </w:r>
    </w:p>
    <w:p>
      <w:pPr>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（4）发包人在收到</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送交的索赔报告和有关资料后28天内未予答复或未对</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作进一步要求，视为该项索赔已被认可；</w:t>
      </w:r>
    </w:p>
    <w:p>
      <w:pPr>
        <w:tabs>
          <w:tab w:val="left" w:pos="1260"/>
        </w:tabs>
        <w:adjustRightInd w:val="0"/>
        <w:snapToGrid w:val="0"/>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（5）当该索赔事件持续进行时，</w:t>
      </w:r>
      <w:r>
        <w:rPr>
          <w:rFonts w:hint="eastAsia" w:ascii="宋体" w:hAnsi="宋体" w:eastAsia="宋体" w:cs="宋体"/>
          <w:b w:val="0"/>
          <w:bCs/>
          <w:color w:val="auto"/>
          <w:kern w:val="0"/>
          <w:sz w:val="24"/>
          <w:szCs w:val="24"/>
          <w:highlight w:val="none"/>
          <w:lang w:eastAsia="zh-CN"/>
        </w:rPr>
        <w:t>承包人</w:t>
      </w:r>
      <w:r>
        <w:rPr>
          <w:rFonts w:hint="eastAsia" w:ascii="宋体" w:hAnsi="宋体" w:eastAsia="宋体" w:cs="宋体"/>
          <w:b w:val="0"/>
          <w:bCs/>
          <w:color w:val="auto"/>
          <w:kern w:val="0"/>
          <w:sz w:val="24"/>
          <w:szCs w:val="24"/>
          <w:highlight w:val="none"/>
        </w:rPr>
        <w:t>应阶段性向发包人发出索赔意向，在索赔事件终了后21天内，向发包人送交索赔的有关资料和最终索赔报告。索赔答复程序与本款第（3）、（4）项约定相同。</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第16条 争议解决</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16.1 和解</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因本合同以及与本合同有关事项发生争议的，双方可以就争议自行和解。自行和解达成协议的，经签字并盖章后作为合同补充文件，双方均应遵照执行。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16.2 调解</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因本合同以及与本合同有关事项发生争议的，双方可以就争议请求行政主管部门、行业协会或其他第三方进行调解。调解达成协议的，经签字并盖章后作为合同补充文件，双方均应遵照执行。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16.3 仲裁或诉讼</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因本合同以及与本合同有关事项发生争议的，当事人不愿和解、调解或者和解、调解不成的，双方可以在专用合同条款内约定以下一种方式解决争议：</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（1）双方达成仲裁协议，向约定的仲裁委员会申请仲裁；</w:t>
      </w:r>
    </w:p>
    <w:p>
      <w:pPr>
        <w:adjustRightInd w:val="0"/>
        <w:snapToGrid w:val="0"/>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宋体"/>
          <w:color w:val="auto"/>
          <w:kern w:val="0"/>
          <w:sz w:val="24"/>
          <w:szCs w:val="24"/>
          <w:highlight w:val="none"/>
          <w:lang w:eastAsia="zh-CN"/>
        </w:rPr>
        <w:t>项目所在地</w:t>
      </w:r>
      <w:r>
        <w:rPr>
          <w:rFonts w:hint="eastAsia" w:ascii="宋体" w:hAnsi="宋体" w:eastAsia="宋体" w:cs="宋体"/>
          <w:color w:val="auto"/>
          <w:kern w:val="0"/>
          <w:sz w:val="24"/>
          <w:szCs w:val="24"/>
          <w:highlight w:val="none"/>
        </w:rPr>
        <w:t>有管辖权的人民法院起诉。</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第17条 补充条款</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双方根据有关法律法规规定，结合实际经协商一致，可对通用合同条款内容具体化、补充或修改，并在专用合同条款内约定。</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pPr>
        <w:snapToGrid w:val="0"/>
        <w:spacing w:line="360" w:lineRule="auto"/>
        <w:jc w:val="center"/>
        <w:outlineLvl w:val="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497" w:name="_Toc509"/>
      <w:r>
        <w:rPr>
          <w:rFonts w:hint="eastAsia" w:ascii="宋体" w:hAnsi="宋体" w:eastAsia="宋体" w:cs="宋体"/>
          <w:b/>
          <w:bCs/>
          <w:color w:val="auto"/>
          <w:kern w:val="0"/>
          <w:sz w:val="32"/>
          <w:szCs w:val="32"/>
          <w:highlight w:val="none"/>
        </w:rPr>
        <w:t>第三部分　专用合同条款</w:t>
      </w:r>
      <w:bookmarkEnd w:id="497"/>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第1条 一般约定</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 词语定义</w:t>
      </w:r>
    </w:p>
    <w:p>
      <w:pPr>
        <w:snapToGrid w:val="0"/>
        <w:spacing w:line="360" w:lineRule="auto"/>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协议书中相关词语的含义与通用条件中的定义与解释相同。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 合同文件及优先解释顺序</w:t>
      </w:r>
    </w:p>
    <w:p>
      <w:pPr>
        <w:widowControl/>
        <w:spacing w:line="360" w:lineRule="auto"/>
        <w:ind w:firstLine="480" w:firstLineChars="200"/>
        <w:rPr>
          <w:rFonts w:hint="eastAsia" w:ascii="Times New Roman"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1.2.1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合同文件组成及优先解释顺序：</w:t>
      </w:r>
      <w:r>
        <w:rPr>
          <w:rFonts w:hint="eastAsia" w:ascii="Times New Roman" w:hAnsi="宋体" w:eastAsia="宋体" w:cs="Times New Roman"/>
          <w:color w:val="auto"/>
          <w:sz w:val="24"/>
          <w:highlight w:val="none"/>
          <w:u w:val="single"/>
        </w:rPr>
        <w:t>构成本合同的文件可视为是能互相说明的，如果合同文件存在歧义或不一致，则根据如下优先次序来判断：</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合同实施期间双方以书面形式签订的合同补充协议和修正协议；</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本合同及附件；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中标通知书；</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招标文件及相关澄清修正说明；</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投标文件及附件；</w:t>
      </w:r>
    </w:p>
    <w:p>
      <w:pPr>
        <w:widowControl/>
        <w:spacing w:line="360" w:lineRule="auto"/>
        <w:ind w:left="210" w:firstLine="216"/>
        <w:rPr>
          <w:rFonts w:hint="eastAsia" w:ascii="宋体" w:hAnsi="宋体" w:eastAsia="宋体" w:cs="宋体"/>
          <w:color w:val="auto"/>
          <w:sz w:val="24"/>
          <w:highlight w:val="none"/>
          <w:u w:val="single"/>
          <w:lang w:eastAsia="zh-CN"/>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标准、规范及有关技术文件</w:t>
      </w:r>
      <w:r>
        <w:rPr>
          <w:rFonts w:hint="eastAsia" w:ascii="宋体" w:hAnsi="宋体" w:eastAsia="宋体" w:cs="宋体"/>
          <w:color w:val="auto"/>
          <w:sz w:val="24"/>
          <w:highlight w:val="none"/>
          <w:u w:val="single"/>
          <w:lang w:eastAsia="zh-CN"/>
        </w:rPr>
        <w:t>；</w:t>
      </w:r>
    </w:p>
    <w:p>
      <w:pPr>
        <w:widowControl/>
        <w:spacing w:line="360" w:lineRule="auto"/>
        <w:ind w:left="210" w:firstLine="216"/>
        <w:rPr>
          <w:rFonts w:hint="eastAsia" w:ascii="宋体" w:hAnsi="宋体" w:eastAsia="宋体" w:cs="宋体"/>
          <w:color w:val="auto"/>
          <w:sz w:val="24"/>
          <w:highlight w:val="none"/>
          <w:u w:val="single"/>
        </w:rPr>
      </w:pP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highlight w:val="none"/>
          <w:u w:val="single"/>
        </w:rPr>
        <w:t>组成合同的其他文件。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Times New Roman" w:hAnsi="宋体" w:eastAsia="宋体" w:cs="Times New Roman"/>
          <w:color w:val="auto"/>
          <w:sz w:val="24"/>
          <w:highlight w:val="none"/>
          <w:u w:val="single"/>
        </w:rPr>
        <w:t>如</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在投标文件及附件中作出有比招标文件及相关澄清修正说明和本合同及附件更有利于发包人的响应（即发包人有权视情况适用有利于己方的条款或文件而不遵循上述解释顺序），则投标文件及附件中更有利于发包人的相关条款内容的解释顺序优于招标文件及相关澄清修正说明和本合同及附件，</w:t>
      </w:r>
      <w:r>
        <w:rPr>
          <w:rFonts w:hint="eastAsia" w:ascii="Times New Roman" w:hAnsi="宋体" w:eastAsia="宋体" w:cs="Times New Roman"/>
          <w:color w:val="auto"/>
          <w:sz w:val="24"/>
          <w:highlight w:val="none"/>
          <w:u w:val="single"/>
          <w:lang w:eastAsia="zh-CN"/>
        </w:rPr>
        <w:t>承包人</w:t>
      </w:r>
      <w:r>
        <w:rPr>
          <w:rFonts w:hint="eastAsia" w:ascii="Times New Roman" w:hAnsi="宋体" w:eastAsia="宋体" w:cs="Times New Roman"/>
          <w:color w:val="auto"/>
          <w:sz w:val="24"/>
          <w:highlight w:val="none"/>
          <w:u w:val="single"/>
        </w:rPr>
        <w:t>须按这些响应承诺履行。</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 适用法律法规、技术标准</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适用法律法规</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需要明示的规范性文件：</w:t>
      </w:r>
      <w:r>
        <w:rPr>
          <w:rFonts w:hint="eastAsia" w:ascii="宋体" w:hAnsi="宋体" w:eastAsia="宋体" w:cs="Times New Roman"/>
          <w:color w:val="auto"/>
          <w:sz w:val="24"/>
          <w:szCs w:val="24"/>
          <w:highlight w:val="none"/>
          <w:u w:val="single"/>
        </w:rPr>
        <w:t>本合同适用中华人民共和国法律、行政法规、部门规章以及工程所在地的地方性法规、自治条例、单行条例和地方政府规章等。</w:t>
      </w:r>
    </w:p>
    <w:p>
      <w:pPr>
        <w:adjustRightInd/>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适用技术标准</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特别要求：</w:t>
      </w:r>
      <w:r>
        <w:rPr>
          <w:rFonts w:hint="eastAsia" w:ascii="宋体" w:hAnsi="宋体" w:eastAsia="宋体" w:cs="宋体"/>
          <w:color w:val="auto"/>
          <w:kern w:val="0"/>
          <w:sz w:val="24"/>
          <w:szCs w:val="24"/>
          <w:highlight w:val="none"/>
          <w:u w:val="single"/>
          <w:lang w:val="en-US" w:eastAsia="zh-CN"/>
        </w:rPr>
        <w:t>/</w:t>
      </w:r>
    </w:p>
    <w:p>
      <w:pPr>
        <w:tabs>
          <w:tab w:val="left" w:pos="7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使用国外技术标准的名称、提供方、原文版、中译本的份数、时间及费用承担：</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tabs>
          <w:tab w:val="left" w:pos="18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 语言文字</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本合同除使用汉语外，还使用</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rPr>
        <w:t>语言文字。</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 联络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发包人接收文件的地点：____________________________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发包人指定的接收人：___________________________________</w:t>
      </w:r>
    </w:p>
    <w:p>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发包人指定的联系方式：___________________________________</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接收文件的地点：___________________________________</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指定的接收人：_____________________________________</w:t>
      </w:r>
    </w:p>
    <w:p>
      <w:pPr>
        <w:tabs>
          <w:tab w:val="left" w:pos="720"/>
          <w:tab w:val="left" w:pos="90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kern w:val="0"/>
          <w:sz w:val="24"/>
          <w:szCs w:val="24"/>
          <w:highlight w:val="none"/>
        </w:rPr>
        <w:t>指定的联系方式：___________________________________</w:t>
      </w:r>
    </w:p>
    <w:p>
      <w:pPr>
        <w:spacing w:line="360" w:lineRule="auto"/>
        <w:ind w:firstLine="480" w:firstLineChars="200"/>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1.5.</w:t>
      </w:r>
      <w:r>
        <w:rPr>
          <w:rFonts w:hint="eastAsia" w:ascii="宋体" w:hAnsi="宋体" w:eastAsia="宋体" w:cs="Times New Roman"/>
          <w:color w:val="auto"/>
          <w:kern w:val="0"/>
          <w:sz w:val="24"/>
          <w:highlight w:val="none"/>
        </w:rPr>
        <w:t>4联络路径：</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应将书面函件直接报送发包人指定的接收人，发包人通过发包人代表向</w:t>
      </w:r>
      <w:r>
        <w:rPr>
          <w:rFonts w:hint="eastAsia" w:ascii="宋体" w:hAnsi="宋体" w:eastAsia="宋体" w:cs="Times New Roman"/>
          <w:color w:val="auto"/>
          <w:kern w:val="0"/>
          <w:sz w:val="24"/>
          <w:highlight w:val="none"/>
          <w:lang w:eastAsia="zh-CN"/>
        </w:rPr>
        <w:t>承包人</w:t>
      </w:r>
      <w:r>
        <w:rPr>
          <w:rFonts w:hint="eastAsia" w:ascii="宋体" w:hAnsi="宋体" w:eastAsia="宋体" w:cs="Times New Roman"/>
          <w:color w:val="auto"/>
          <w:kern w:val="0"/>
          <w:sz w:val="24"/>
          <w:highlight w:val="none"/>
        </w:rPr>
        <w:t>发布书面指令。</w:t>
      </w:r>
    </w:p>
    <w:p>
      <w:pPr>
        <w:spacing w:line="360" w:lineRule="auto"/>
        <w:ind w:firstLine="480" w:firstLineChars="200"/>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rPr>
        <w:t>1.5.5协议双方根据合同所约定的地址送达书面通知，上述送达地址适用于本协议相关的各类通知、协议、文书的送达，以及合同发生纠纷时相关文件和法律文书的送达，同时包括争议进入民事诉讼程序后一审、二审、再审和执行程序及其他程序中相关文件的送达。如一方需变更送达地址的，需提前三天向对方发出书面通知，否则，仍以本合同确定的地址送达书面通知</w:t>
      </w:r>
      <w:r>
        <w:rPr>
          <w:rFonts w:hint="eastAsia" w:ascii="宋体" w:hAnsi="宋体" w:eastAsia="宋体" w:cs="Times New Roman"/>
          <w:color w:val="auto"/>
          <w:kern w:val="0"/>
          <w:sz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 保密</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合同当事人关于保密的约定：</w:t>
      </w:r>
      <w:r>
        <w:rPr>
          <w:rFonts w:hint="eastAsia" w:ascii="宋体" w:hAnsi="宋体" w:eastAsia="宋体" w:cs="宋体"/>
          <w:color w:val="auto"/>
          <w:kern w:val="0"/>
          <w:sz w:val="24"/>
          <w:szCs w:val="24"/>
          <w:highlight w:val="none"/>
          <w:u w:val="single"/>
        </w:rPr>
        <w:t>除法律法规规定或合同另有约定外，未经发包人同意，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不得将发包人提供的图纸、文件以及声明需要保密的资料信息等商业秘密泄露给第三方。除法律法规规定或合同另有约定外，未经</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同意，发包人不得将</w:t>
      </w:r>
      <w:r>
        <w:rPr>
          <w:rFonts w:hint="eastAsia" w:ascii="宋体" w:hAnsi="宋体" w:eastAsia="宋体" w:cs="宋体"/>
          <w:color w:val="auto"/>
          <w:kern w:val="0"/>
          <w:sz w:val="24"/>
          <w:szCs w:val="24"/>
          <w:highlight w:val="none"/>
          <w:u w:val="single"/>
          <w:lang w:eastAsia="zh-CN"/>
        </w:rPr>
        <w:t>承包人</w:t>
      </w:r>
      <w:r>
        <w:rPr>
          <w:rFonts w:hint="eastAsia" w:ascii="宋体" w:hAnsi="宋体" w:eastAsia="宋体" w:cs="宋体"/>
          <w:color w:val="auto"/>
          <w:kern w:val="0"/>
          <w:sz w:val="24"/>
          <w:szCs w:val="24"/>
          <w:highlight w:val="none"/>
          <w:u w:val="single"/>
        </w:rPr>
        <w:t>提供的技术文件、成果资料、技术秘密及声明需要保密的资料信息等商业秘密泄露给第三方。</w:t>
      </w:r>
      <w:r>
        <w:rPr>
          <w:rFonts w:hint="eastAsia" w:ascii="宋体" w:hAnsi="宋体" w:eastAsia="宋体" w:cs="宋体"/>
          <w:color w:val="auto"/>
          <w:kern w:val="0"/>
          <w:sz w:val="24"/>
          <w:szCs w:val="24"/>
          <w:highlight w:val="none"/>
          <w:u w:val="single"/>
          <w:lang w:eastAsia="zh-CN"/>
        </w:rPr>
        <w:t>承包人须与发包人签订保密协议。</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第2条 发包人</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 发包人义务</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2.2.2 发包人委托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搜集的资料：</w:t>
      </w:r>
      <w:r>
        <w:rPr>
          <w:rFonts w:hint="eastAsia" w:ascii="宋体" w:hAnsi="宋体" w:eastAsia="宋体" w:cs="宋体"/>
          <w:color w:val="auto"/>
          <w:kern w:val="0"/>
          <w:sz w:val="24"/>
          <w:highlight w:val="none"/>
          <w:u w:val="single"/>
          <w:lang w:val="en-US" w:eastAsia="zh-CN"/>
        </w:rPr>
        <w:t xml:space="preserve">                   </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 删除通用合同条款中本款内容。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2.2.4、2.2.5 、2.2.6、2.2.7删除通用合同条款中本款内容，修订为如下内容：</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2.2.4 </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CN"/>
        </w:rPr>
        <w:t>不</w:t>
      </w:r>
      <w:r>
        <w:rPr>
          <w:rFonts w:hint="eastAsia" w:ascii="宋体" w:hAnsi="宋体" w:eastAsia="宋体" w:cs="宋体"/>
          <w:sz w:val="24"/>
          <w:highlight w:val="none"/>
          <w:u w:val="single"/>
        </w:rPr>
        <w:t>提供进场通道</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场地外围通道</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场地内部通道及交通运输设备由</w:t>
      </w:r>
      <w:r>
        <w:rPr>
          <w:rFonts w:hint="eastAsia" w:ascii="宋体" w:hAnsi="宋体" w:eastAsia="宋体" w:cs="宋体"/>
          <w:sz w:val="24"/>
          <w:highlight w:val="none"/>
          <w:u w:val="single"/>
          <w:lang w:eastAsia="zh-CN"/>
        </w:rPr>
        <w:t>承包人</w:t>
      </w:r>
      <w:r>
        <w:rPr>
          <w:rFonts w:hint="eastAsia" w:ascii="宋体" w:hAnsi="宋体" w:eastAsia="宋体" w:cs="宋体"/>
          <w:sz w:val="24"/>
          <w:highlight w:val="none"/>
          <w:u w:val="single"/>
        </w:rPr>
        <w:t>自行解决，相关费用已包含在合同价款中，发包人不再单列付费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2.2.5</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发包人不提供作业场地内地下埋藏物（包括地下管线、地下构筑物等）的资料、图纸，</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人应自行调查了解（发包人给予必要协助），相关费用已包含在合同价款中，发包人不再单列付费。</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人在实施工程勘察工作过程中如发生人身伤害或造成经济损失时，须自行承担赔偿责任</w:t>
      </w:r>
      <w:r>
        <w:rPr>
          <w:rFonts w:hint="eastAsia" w:ascii="宋体" w:hAnsi="宋体" w:eastAsia="宋体" w:cs="宋体"/>
          <w:sz w:val="24"/>
          <w:highlight w:val="none"/>
          <w:u w:val="single"/>
          <w:lang w:eastAsia="zh-CN"/>
        </w:rPr>
        <w:t>。</w:t>
      </w:r>
      <w:r>
        <w:rPr>
          <w:rFonts w:hint="eastAsia" w:ascii="宋体" w:hAnsi="宋体" w:cs="宋体"/>
          <w:sz w:val="24"/>
          <w:highlight w:val="none"/>
          <w:u w:val="single"/>
          <w:lang w:val="en-US" w:eastAsia="zh-Hans"/>
        </w:rPr>
        <w:t>若给发包人造成损失的</w:t>
      </w:r>
      <w:r>
        <w:rPr>
          <w:rFonts w:hint="default" w:ascii="宋体" w:hAnsi="宋体" w:cs="宋体"/>
          <w:sz w:val="24"/>
          <w:highlight w:val="none"/>
          <w:u w:val="single"/>
          <w:lang w:eastAsia="zh-Hans"/>
        </w:rPr>
        <w:t>，</w:t>
      </w:r>
      <w:r>
        <w:rPr>
          <w:rFonts w:hint="eastAsia" w:ascii="宋体" w:hAnsi="宋体" w:cs="宋体"/>
          <w:sz w:val="24"/>
          <w:highlight w:val="none"/>
          <w:u w:val="single"/>
          <w:lang w:val="en-US" w:eastAsia="zh-Hans"/>
        </w:rPr>
        <w:t>承包人须赔偿发包人的一切损失</w:t>
      </w:r>
      <w:r>
        <w:rPr>
          <w:rFonts w:hint="eastAsia" w:ascii="宋体" w:hAnsi="宋体" w:eastAsia="宋体" w:cs="宋体"/>
          <w:sz w:val="24"/>
          <w:highlight w:val="none"/>
          <w:u w:val="singl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u w:val="single"/>
        </w:rPr>
        <w:t>2.2.6</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人实施勘察作业所需的安全生产防护费用已包含在合同价款中，发包人不再单列付费</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2.2.7 发包人对安全文明施工的特别要求：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承包</w:t>
      </w:r>
      <w:r>
        <w:rPr>
          <w:rFonts w:hint="eastAsia" w:ascii="宋体" w:hAnsi="宋体" w:eastAsia="宋体" w:cs="宋体"/>
          <w:sz w:val="24"/>
          <w:highlight w:val="none"/>
          <w:u w:val="single"/>
        </w:rPr>
        <w:t>人在实施勘察工作过程中，须遵照执行国家、省、市</w:t>
      </w:r>
      <w:r>
        <w:rPr>
          <w:rFonts w:hint="eastAsia" w:ascii="宋体" w:hAnsi="宋体" w:eastAsia="宋体" w:cs="宋体"/>
          <w:sz w:val="24"/>
          <w:highlight w:val="none"/>
          <w:u w:val="single"/>
          <w:lang w:eastAsia="zh-CN"/>
        </w:rPr>
        <w:t>及相关地区</w:t>
      </w:r>
      <w:r>
        <w:rPr>
          <w:rFonts w:hint="eastAsia" w:ascii="宋体" w:hAnsi="宋体" w:eastAsia="宋体" w:cs="宋体"/>
          <w:sz w:val="24"/>
          <w:highlight w:val="none"/>
          <w:u w:val="single"/>
        </w:rPr>
        <w:t>颁布的关于安全生产、文明施工管理相关规定，所需费用已包含在合同价款中，发包人不再单列付费</w:t>
      </w:r>
      <w:r>
        <w:rPr>
          <w:rFonts w:hint="eastAsia" w:ascii="宋体" w:hAnsi="宋体" w:eastAsia="宋体" w:cs="宋体"/>
          <w:sz w:val="24"/>
          <w:highlight w:val="none"/>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 发包人代表</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姓名：________ 职务：__________ 联系方式：_________________</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授权范围：</w:t>
      </w:r>
      <w:r>
        <w:rPr>
          <w:rFonts w:hint="eastAsia" w:ascii="宋体" w:hAnsi="宋体" w:eastAsia="宋体" w:cs="宋体"/>
          <w:b w:val="0"/>
          <w:bCs/>
          <w:color w:val="auto"/>
          <w:kern w:val="0"/>
          <w:sz w:val="24"/>
          <w:szCs w:val="24"/>
          <w:highlight w:val="none"/>
          <w:lang w:val="en-US" w:eastAsia="zh-CN" w:bidi="ar-SA"/>
        </w:rPr>
        <w:t>代表发包人协调与本包组有关事宜，并行使合同约定的发包人权利，履行合同约定发包人的职责，具体的授权范围以书面的授权委托书为准。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第3条 承包人</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权利</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3.1.2 关于分包的约定：</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3.2 承包人义务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（1）承包人</w:t>
      </w:r>
      <w:r>
        <w:rPr>
          <w:rFonts w:hint="eastAsia" w:ascii="宋体" w:hAnsi="宋体" w:eastAsia="宋体" w:cs="宋体"/>
          <w:color w:val="auto"/>
          <w:sz w:val="24"/>
          <w:szCs w:val="24"/>
          <w:highlight w:val="none"/>
        </w:rPr>
        <w:t>应遵守法律和有关技术标准的强制性规定，完成合同约定范围内的</w:t>
      </w:r>
      <w:r>
        <w:rPr>
          <w:rFonts w:hint="eastAsia" w:ascii="宋体" w:hAnsi="宋体" w:eastAsia="宋体" w:cs="宋体"/>
          <w:color w:val="auto"/>
          <w:sz w:val="24"/>
          <w:szCs w:val="24"/>
          <w:highlight w:val="none"/>
          <w:lang w:eastAsia="zh-CN"/>
        </w:rPr>
        <w:t>勘察工作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提供符合技术标准及合同要求的工程</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文件，提供</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配合服务。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包组勘察须组织</w:t>
      </w:r>
      <w:r>
        <w:rPr>
          <w:rFonts w:hint="eastAsia" w:ascii="宋体" w:hAnsi="宋体" w:eastAsia="宋体" w:cs="宋体"/>
          <w:color w:val="auto"/>
          <w:sz w:val="24"/>
          <w:highlight w:val="none"/>
        </w:rPr>
        <w:t>相关专家评审</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，评审会务所发生的费用</w:t>
      </w:r>
      <w:r>
        <w:rPr>
          <w:rFonts w:hint="eastAsia" w:ascii="宋体" w:hAnsi="宋体" w:eastAsia="宋体" w:cs="宋体"/>
          <w:color w:val="auto"/>
          <w:sz w:val="24"/>
          <w:highlight w:val="none"/>
          <w:lang w:eastAsia="zh-CN"/>
        </w:rPr>
        <w:t>（包括但不限于</w:t>
      </w:r>
      <w:r>
        <w:rPr>
          <w:rFonts w:hint="eastAsia" w:ascii="宋体" w:hAnsi="宋体" w:eastAsia="宋体" w:cs="宋体"/>
          <w:color w:val="auto"/>
          <w:sz w:val="24"/>
          <w:highlight w:val="none"/>
        </w:rPr>
        <w:t>会务费、专家评审费、场地租用费、住宿费、修改成果须重新评审的费用等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包含在</w:t>
      </w:r>
      <w:r>
        <w:rPr>
          <w:rFonts w:hint="eastAsia" w:ascii="宋体" w:hAnsi="宋体" w:eastAsia="宋体" w:cs="宋体"/>
          <w:color w:val="auto"/>
          <w:sz w:val="24"/>
          <w:highlight w:val="none"/>
          <w:lang w:eastAsia="zh-CN"/>
        </w:rPr>
        <w:t>合同价</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不另行支付。</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（3）</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在开展勘察工作前若须按发包人的要求对勘察场地进行临时围挡搭设的，围挡搭设需符合相关文件的要求及属地环保部门的相关规定。若当地相关行政部门认为承包人设置的围挡不符合佛山市或相关围蔽围挡的相关规定，</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无条件改正，且发生的一切费用已包含在合同价中，发包人不再另行支付。若围蔽围挡侵害第三人权利，承包人须承担由此产生的责任，包括赔偿第三人的损失，若同时给发包人造成损失的，承包人须承担发包人的一切损失。</w:t>
      </w:r>
    </w:p>
    <w:p>
      <w:pPr>
        <w:keepNext w:val="0"/>
        <w:keepLines w:val="0"/>
        <w:pageBreakBefore w:val="0"/>
        <w:widowControl w:val="0"/>
        <w:kinsoku/>
        <w:wordWrap/>
        <w:overflowPunct/>
        <w:topLinePunct w:val="0"/>
        <w:bidi w:val="0"/>
        <w:snapToGrid/>
        <w:spacing w:after="120" w:afterLines="0" w:line="360" w:lineRule="auto"/>
        <w:ind w:firstLine="480" w:firstLineChars="200"/>
        <w:jc w:val="both"/>
        <w:textAlignment w:val="auto"/>
        <w:rPr>
          <w:rFonts w:hint="eastAsia" w:ascii="Times New Roman" w:hAnsi="宋体" w:eastAsia="宋体" w:cs="宋体"/>
          <w:color w:val="auto"/>
          <w:kern w:val="2"/>
          <w:sz w:val="24"/>
          <w:szCs w:val="24"/>
          <w:highlight w:val="none"/>
          <w:u w:val="single"/>
          <w:lang w:val="en-US" w:eastAsia="zh-CN" w:bidi="ar-SA"/>
        </w:rPr>
      </w:pPr>
      <w:r>
        <w:rPr>
          <w:rFonts w:hint="eastAsia" w:ascii="宋体" w:hAnsi="Times New Roman" w:eastAsia="宋体" w:cs="宋体"/>
          <w:color w:val="auto"/>
          <w:kern w:val="0"/>
          <w:sz w:val="24"/>
          <w:szCs w:val="24"/>
          <w:highlight w:val="none"/>
          <w:lang w:val="en-US" w:eastAsia="zh-CN" w:bidi="ar-SA"/>
        </w:rPr>
        <w:t>（4）</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勘测现场，</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的人员安全责任及费用由</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负责。</w:t>
      </w:r>
      <w:r>
        <w:rPr>
          <w:rFonts w:hint="eastAsia" w:ascii="宋体" w:hAnsi="Times New Roman" w:eastAsia="宋体" w:cs="宋体"/>
          <w:color w:val="auto"/>
          <w:kern w:val="0"/>
          <w:sz w:val="24"/>
          <w:szCs w:val="24"/>
          <w:highlight w:val="none"/>
          <w:u w:val="single"/>
          <w:lang w:val="en-US" w:eastAsia="zh-CN" w:bidi="ar-SA"/>
        </w:rPr>
        <w:t>承包人</w:t>
      </w:r>
      <w:r>
        <w:rPr>
          <w:rFonts w:hint="eastAsia" w:ascii="Times New Roman" w:hAnsi="宋体" w:eastAsia="宋体" w:cs="宋体"/>
          <w:color w:val="auto"/>
          <w:kern w:val="2"/>
          <w:sz w:val="24"/>
          <w:szCs w:val="24"/>
          <w:highlight w:val="none"/>
          <w:u w:val="single"/>
          <w:lang w:val="en-US" w:eastAsia="zh-CN" w:bidi="ar-SA"/>
        </w:rPr>
        <w:t>应对场地进场考察，因勘察需要搭建工棚、安装水电、清理勘察场地、疏通积水、铺设便道、现状道路恢复、绿化恢复、地勘孔封堵等一切费用由承包人负责，发包人将不另行支付。</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lang w:eastAsia="zh-CN"/>
        </w:rPr>
      </w:pPr>
      <w:r>
        <w:rPr>
          <w:rFonts w:hint="eastAsia" w:ascii="宋体" w:hAnsi="Times New Roman" w:eastAsia="宋体" w:cs="宋体"/>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须参加并接受有关部门对项目勘察、实施等工作的监督、检查或审查</w:t>
      </w:r>
      <w:r>
        <w:rPr>
          <w:rFonts w:hint="eastAsia" w:ascii="Times New Roman" w:hAnsi="宋体" w:eastAsia="宋体" w:cs="宋体"/>
          <w:color w:val="auto"/>
          <w:sz w:val="24"/>
          <w:szCs w:val="24"/>
          <w:highlight w:val="none"/>
          <w:u w:val="single"/>
          <w:lang w:val="en-US" w:eastAsia="zh-CN"/>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（6）</w:t>
      </w:r>
      <w:r>
        <w:rPr>
          <w:rFonts w:hint="eastAsia" w:ascii="宋体" w:hAnsi="Times New Roman" w:eastAsia="宋体" w:cs="宋体"/>
          <w:color w:val="auto"/>
          <w:kern w:val="0"/>
          <w:sz w:val="24"/>
          <w:szCs w:val="24"/>
          <w:highlight w:val="none"/>
          <w:u w:val="single"/>
          <w:lang w:val="en-US" w:eastAsia="zh-CN"/>
        </w:rPr>
        <w:t>承包人须基于现场条件、各包组协调情况，深化编制勘察大纲，并应在报得发包人同意后分阶段分批次实施勘察工作。</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宋体" w:eastAsia="宋体" w:cs="宋体"/>
          <w:color w:val="auto"/>
          <w:sz w:val="24"/>
          <w:szCs w:val="24"/>
          <w:highlight w:val="none"/>
          <w:u w:val="single"/>
          <w:lang w:eastAsia="zh-CN"/>
        </w:rPr>
      </w:pPr>
      <w:r>
        <w:rPr>
          <w:rFonts w:hint="eastAsia" w:ascii="宋体" w:hAnsi="Times New Roman" w:eastAsia="宋体" w:cs="宋体"/>
          <w:color w:val="auto"/>
          <w:kern w:val="0"/>
          <w:sz w:val="24"/>
          <w:szCs w:val="24"/>
          <w:highlight w:val="none"/>
          <w:lang w:val="en-US" w:eastAsia="zh-CN"/>
        </w:rPr>
        <w:t>（7）</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必须主动与发包人沟通，按时办理各事项的审査、批复手续（发包人提供协助）并确保手续的按时完成。在报批过程中</w:t>
      </w:r>
      <w:r>
        <w:rPr>
          <w:rFonts w:hint="eastAsia" w:ascii="Times New Roman" w:hAnsi="宋体" w:eastAsia="宋体" w:cs="宋体"/>
          <w:color w:val="auto"/>
          <w:sz w:val="24"/>
          <w:szCs w:val="24"/>
          <w:highlight w:val="none"/>
          <w:u w:val="single"/>
          <w:lang w:eastAsia="zh-CN"/>
        </w:rPr>
        <w:t>因组织</w:t>
      </w:r>
      <w:r>
        <w:rPr>
          <w:rFonts w:hint="eastAsia" w:ascii="Times New Roman" w:hAnsi="宋体" w:eastAsia="宋体" w:cs="宋体"/>
          <w:color w:val="auto"/>
          <w:sz w:val="24"/>
          <w:szCs w:val="24"/>
          <w:highlight w:val="none"/>
          <w:u w:val="single"/>
        </w:rPr>
        <w:t>会议</w:t>
      </w:r>
      <w:r>
        <w:rPr>
          <w:rFonts w:hint="eastAsia" w:ascii="Times New Roman" w:hAnsi="宋体" w:eastAsia="宋体" w:cs="宋体"/>
          <w:color w:val="auto"/>
          <w:sz w:val="24"/>
          <w:szCs w:val="24"/>
          <w:highlight w:val="none"/>
          <w:u w:val="single"/>
          <w:lang w:eastAsia="zh-CN"/>
        </w:rPr>
        <w:t>或</w:t>
      </w:r>
      <w:r>
        <w:rPr>
          <w:rFonts w:hint="eastAsia" w:ascii="Times New Roman" w:hAnsi="宋体" w:eastAsia="宋体" w:cs="宋体"/>
          <w:color w:val="auto"/>
          <w:sz w:val="24"/>
          <w:szCs w:val="24"/>
          <w:highlight w:val="none"/>
          <w:u w:val="single"/>
        </w:rPr>
        <w:t>专家评审</w:t>
      </w:r>
      <w:r>
        <w:rPr>
          <w:rFonts w:hint="eastAsia" w:ascii="Times New Roman" w:hAnsi="宋体" w:eastAsia="宋体" w:cs="宋体"/>
          <w:color w:val="auto"/>
          <w:sz w:val="24"/>
          <w:szCs w:val="24"/>
          <w:highlight w:val="none"/>
          <w:u w:val="single"/>
          <w:lang w:eastAsia="zh-CN"/>
        </w:rPr>
        <w:t>所产生的一切费</w:t>
      </w:r>
      <w:r>
        <w:rPr>
          <w:rFonts w:hint="eastAsia" w:ascii="Times New Roman" w:hAnsi="宋体" w:eastAsia="宋体" w:cs="宋体"/>
          <w:color w:val="auto"/>
          <w:sz w:val="24"/>
          <w:szCs w:val="24"/>
          <w:highlight w:val="none"/>
          <w:u w:val="single"/>
        </w:rPr>
        <w:t>用由</w:t>
      </w:r>
      <w:r>
        <w:rPr>
          <w:rFonts w:hint="eastAsia" w:ascii="宋体" w:hAnsi="Times New Roman" w:eastAsia="宋体" w:cs="宋体"/>
          <w:color w:val="auto"/>
          <w:kern w:val="0"/>
          <w:sz w:val="24"/>
          <w:szCs w:val="24"/>
          <w:highlight w:val="none"/>
          <w:u w:val="single"/>
          <w:lang w:val="en-US" w:eastAsia="zh-CN"/>
        </w:rPr>
        <w:t>承包人</w:t>
      </w:r>
      <w:r>
        <w:rPr>
          <w:rFonts w:hint="eastAsia" w:ascii="Times New Roman" w:hAnsi="宋体" w:eastAsia="宋体" w:cs="宋体"/>
          <w:color w:val="auto"/>
          <w:sz w:val="24"/>
          <w:szCs w:val="24"/>
          <w:highlight w:val="none"/>
          <w:u w:val="single"/>
        </w:rPr>
        <w:t>支付</w:t>
      </w:r>
      <w:r>
        <w:rPr>
          <w:rFonts w:hint="eastAsia" w:ascii="Times New Roman"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Times New Roman" w:eastAsia="宋体" w:cs="Times New Roman"/>
          <w:color w:val="auto"/>
          <w:highlight w:val="none"/>
        </w:rPr>
      </w:pPr>
      <w:r>
        <w:rPr>
          <w:rFonts w:hint="eastAsia" w:ascii="宋体" w:hAnsi="Times New Roman" w:eastAsia="宋体" w:cs="宋体"/>
          <w:kern w:val="0"/>
          <w:sz w:val="24"/>
          <w:highlight w:val="none"/>
        </w:rPr>
        <w:t>（8）</w:t>
      </w:r>
      <w:r>
        <w:rPr>
          <w:rFonts w:hint="eastAsia" w:ascii="宋体" w:hAnsi="Times New Roman" w:eastAsia="宋体" w:cs="宋体"/>
          <w:kern w:val="0"/>
          <w:sz w:val="24"/>
          <w:highlight w:val="none"/>
          <w:u w:val="single"/>
        </w:rPr>
        <w:t>承包人</w:t>
      </w:r>
      <w:r>
        <w:rPr>
          <w:rFonts w:ascii="宋体" w:hAnsi="Times New Roman" w:eastAsia="宋体" w:cs="宋体"/>
          <w:kern w:val="0"/>
          <w:sz w:val="24"/>
          <w:highlight w:val="none"/>
          <w:u w:val="single"/>
        </w:rPr>
        <w:t>应接受</w:t>
      </w:r>
      <w:r>
        <w:rPr>
          <w:rFonts w:hint="eastAsia" w:ascii="宋体" w:hAnsi="Times New Roman" w:eastAsia="宋体" w:cs="宋体"/>
          <w:kern w:val="0"/>
          <w:sz w:val="24"/>
          <w:highlight w:val="none"/>
          <w:u w:val="single"/>
          <w:lang w:eastAsia="zh-CN"/>
        </w:rPr>
        <w:t>本项目包组一</w:t>
      </w:r>
      <w:r>
        <w:rPr>
          <w:rFonts w:hint="eastAsia" w:ascii="宋体" w:hAnsi="Times New Roman" w:eastAsia="宋体" w:cs="宋体"/>
          <w:kern w:val="0"/>
          <w:sz w:val="24"/>
          <w:highlight w:val="none"/>
          <w:u w:val="single"/>
        </w:rPr>
        <w:t>承包人</w:t>
      </w:r>
      <w:r>
        <w:rPr>
          <w:rFonts w:ascii="宋体" w:hAnsi="Times New Roman" w:eastAsia="宋体" w:cs="宋体"/>
          <w:kern w:val="0"/>
          <w:sz w:val="24"/>
          <w:highlight w:val="none"/>
          <w:u w:val="single"/>
        </w:rPr>
        <w:t>的统筹协调，配合将本</w:t>
      </w:r>
      <w:r>
        <w:rPr>
          <w:rFonts w:hint="eastAsia" w:ascii="宋体" w:hAnsi="Times New Roman" w:eastAsia="宋体" w:cs="宋体"/>
          <w:kern w:val="0"/>
          <w:sz w:val="24"/>
          <w:highlight w:val="none"/>
          <w:u w:val="single"/>
          <w:lang w:eastAsia="zh-CN"/>
        </w:rPr>
        <w:t>包组</w:t>
      </w:r>
      <w:r>
        <w:rPr>
          <w:rFonts w:ascii="宋体" w:hAnsi="Times New Roman" w:eastAsia="宋体" w:cs="宋体"/>
          <w:kern w:val="0"/>
          <w:sz w:val="24"/>
          <w:highlight w:val="none"/>
          <w:u w:val="single"/>
        </w:rPr>
        <w:t>的勘察和研究成果提交汇总</w:t>
      </w:r>
      <w:r>
        <w:rPr>
          <w:rFonts w:hint="eastAsia" w:ascii="Times New Roman" w:hAnsi="宋体" w:eastAsia="宋体" w:cs="宋体"/>
          <w:color w:val="auto"/>
          <w:sz w:val="24"/>
          <w:szCs w:val="24"/>
          <w:highlight w:val="none"/>
          <w:u w:val="single"/>
        </w:rPr>
        <w:t>。</w:t>
      </w:r>
    </w:p>
    <w:p>
      <w:pPr>
        <w:keepNext w:val="0"/>
        <w:keepLines w:val="0"/>
        <w:widowControl w:val="0"/>
        <w:snapToGrid w:val="0"/>
        <w:spacing w:line="360" w:lineRule="auto"/>
        <w:ind w:firstLine="482" w:firstLineChars="200"/>
        <w:jc w:val="both"/>
        <w:outlineLvl w:val="2"/>
        <w:rPr>
          <w:rFonts w:hint="eastAsia" w:ascii="宋体" w:hAnsi="Times New Roman"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3.3 承包人代表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代表</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_______ 职务：_________ 联系方式：__________________</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授权范围：处理与本</w:t>
      </w:r>
      <w:r>
        <w:rPr>
          <w:rFonts w:hint="eastAsia" w:ascii="宋体" w:hAnsi="宋体" w:eastAsia="宋体" w:cs="宋体"/>
          <w:color w:val="auto"/>
          <w:kern w:val="0"/>
          <w:sz w:val="24"/>
          <w:szCs w:val="24"/>
          <w:highlight w:val="none"/>
          <w:lang w:eastAsia="zh-CN"/>
        </w:rPr>
        <w:t>包组</w:t>
      </w:r>
      <w:r>
        <w:rPr>
          <w:rFonts w:hint="eastAsia" w:ascii="宋体" w:hAnsi="宋体" w:eastAsia="宋体" w:cs="宋体"/>
          <w:color w:val="auto"/>
          <w:kern w:val="0"/>
          <w:sz w:val="24"/>
          <w:szCs w:val="24"/>
          <w:highlight w:val="none"/>
        </w:rPr>
        <w:t>有关的一切事务</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第4条 工期</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4.2成果提交日期</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highlight w:val="none"/>
          <w:u w:val="single"/>
          <w:lang w:val="en-US" w:eastAsia="zh-CN"/>
        </w:rPr>
        <w:t>自发包人发出开工令之日起60日历天内提交最终勘察成果报告，包括：本包组勘察服务报告（含试验测试成果资料）、工程物探报告及其他专题勘察报告资料</w:t>
      </w:r>
      <w:r>
        <w:rPr>
          <w:rFonts w:hint="eastAsia" w:ascii="宋体" w:hAnsi="宋体" w:eastAsia="宋体" w:cs="宋体"/>
          <w:color w:val="auto"/>
          <w:kern w:val="0"/>
          <w:sz w:val="24"/>
          <w:szCs w:val="24"/>
          <w:highlight w:val="none"/>
          <w:u w:val="singl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双方约定工期顺延的其他情况：</w:t>
      </w:r>
      <w:r>
        <w:rPr>
          <w:rFonts w:hint="eastAsia" w:ascii="宋体" w:hAnsi="宋体" w:eastAsia="宋体" w:cs="宋体"/>
          <w:color w:val="auto"/>
          <w:kern w:val="0"/>
          <w:sz w:val="24"/>
          <w:highlight w:val="none"/>
          <w:u w:val="single"/>
        </w:rPr>
        <w:t>勘察成果提交日期，最终以满足发包人要求的进度为准。</w:t>
      </w:r>
    </w:p>
    <w:p>
      <w:pPr>
        <w:keepNext w:val="0"/>
        <w:keepLines w:val="0"/>
        <w:widowControl w:val="0"/>
        <w:tabs>
          <w:tab w:val="left" w:pos="1260"/>
        </w:tabs>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4.3 发包人造成的工期延误</w:t>
      </w:r>
    </w:p>
    <w:p>
      <w:pPr>
        <w:tabs>
          <w:tab w:val="left" w:pos="900"/>
        </w:tabs>
        <w:adjustRightInd w:val="0"/>
        <w:snapToGrid w:val="0"/>
        <w:spacing w:line="360" w:lineRule="auto"/>
        <w:ind w:firstLine="480" w:firstLineChars="200"/>
        <w:jc w:val="left"/>
        <w:rPr>
          <w:rFonts w:hint="eastAsia" w:ascii="宋体" w:hAnsi="宋体" w:eastAsia="宋体" w:cs="Times New Roman"/>
          <w:color w:val="auto"/>
          <w:sz w:val="24"/>
          <w:highlight w:val="none"/>
          <w:u w:val="single"/>
        </w:rPr>
      </w:pPr>
      <w:r>
        <w:rPr>
          <w:rFonts w:hint="eastAsia" w:ascii="宋体" w:hAnsi="宋体" w:eastAsia="宋体" w:cs="宋体"/>
          <w:color w:val="auto"/>
          <w:kern w:val="0"/>
          <w:sz w:val="24"/>
          <w:szCs w:val="24"/>
          <w:highlight w:val="none"/>
        </w:rPr>
        <w:t>4.3.</w:t>
      </w:r>
      <w:r>
        <w:rPr>
          <w:rFonts w:hint="eastAsia" w:ascii="宋体" w:hAnsi="宋体" w:eastAsia="宋体" w:cs="宋体"/>
          <w:color w:val="auto"/>
          <w:kern w:val="0"/>
          <w:sz w:val="24"/>
          <w:szCs w:val="24"/>
          <w:highlight w:val="none"/>
          <w:lang w:val="en-US" w:eastAsia="zh-CN"/>
        </w:rPr>
        <w:t xml:space="preserve">1 </w:t>
      </w:r>
      <w:r>
        <w:rPr>
          <w:rFonts w:hint="eastAsia" w:ascii="宋体" w:hAnsi="宋体" w:eastAsia="宋体" w:cs="宋体"/>
          <w:color w:val="auto"/>
          <w:sz w:val="24"/>
          <w:szCs w:val="24"/>
          <w:highlight w:val="none"/>
        </w:rPr>
        <w:t>双方就工期顺延确定期限的约定：</w:t>
      </w:r>
      <w:r>
        <w:rPr>
          <w:rFonts w:hint="eastAsia" w:ascii="宋体" w:hAnsi="宋体" w:eastAsia="宋体" w:cs="Times New Roman"/>
          <w:color w:val="auto"/>
          <w:sz w:val="24"/>
          <w:highlight w:val="none"/>
          <w:u w:val="single"/>
        </w:rPr>
        <w:t>发包人造成的工期延误的，工期顺延，</w:t>
      </w:r>
      <w:r>
        <w:rPr>
          <w:rFonts w:hint="eastAsia" w:ascii="宋体" w:hAnsi="宋体" w:eastAsia="宋体" w:cs="Times New Roman"/>
          <w:color w:val="auto"/>
          <w:sz w:val="24"/>
          <w:highlight w:val="none"/>
          <w:u w:val="single"/>
          <w:lang w:eastAsia="zh-CN"/>
        </w:rPr>
        <w:t>发包人无需向承包人</w:t>
      </w:r>
      <w:r>
        <w:rPr>
          <w:rFonts w:hint="eastAsia" w:ascii="宋体" w:hAnsi="宋体" w:eastAsia="宋体" w:cs="Times New Roman"/>
          <w:color w:val="auto"/>
          <w:sz w:val="24"/>
          <w:highlight w:val="none"/>
          <w:u w:val="single"/>
        </w:rPr>
        <w:t>补偿费用。</w:t>
      </w:r>
    </w:p>
    <w:p>
      <w:pPr>
        <w:tabs>
          <w:tab w:val="left" w:pos="900"/>
        </w:tabs>
        <w:adjustRightInd w:val="0"/>
        <w:snapToGrid w:val="0"/>
        <w:spacing w:line="360" w:lineRule="auto"/>
        <w:ind w:firstLine="480" w:firstLineChars="200"/>
        <w:jc w:val="left"/>
        <w:rPr>
          <w:rFonts w:hint="default" w:ascii="Times New Roman" w:hAnsi="Times New Roman" w:eastAsia="宋体" w:cs="Times New Roman"/>
          <w:highlight w:val="none"/>
          <w:lang w:val="en-US" w:eastAsia="zh-CN"/>
        </w:rPr>
      </w:pPr>
      <w:r>
        <w:rPr>
          <w:rFonts w:hint="eastAsia" w:ascii="宋体" w:hAnsi="宋体" w:eastAsia="宋体" w:cs="Times New Roman"/>
          <w:color w:val="auto"/>
          <w:sz w:val="24"/>
          <w:highlight w:val="none"/>
          <w:u w:val="single"/>
          <w:lang w:val="en-US" w:eastAsia="zh-CN"/>
        </w:rPr>
        <w:t>4.3.2 承包人没有按照通用条款约定的期限（即通用条款第4.3.1款情形发生后7天内）向发包人提出报告的，</w:t>
      </w:r>
      <w:r>
        <w:rPr>
          <w:rFonts w:hint="eastAsia" w:ascii="宋体" w:hAnsi="宋体" w:eastAsia="宋体" w:cs="Times New Roman"/>
          <w:color w:val="auto"/>
          <w:sz w:val="24"/>
          <w:highlight w:val="none"/>
          <w:u w:val="single"/>
          <w:lang w:val="en-US" w:eastAsia="zh-Hans"/>
        </w:rPr>
        <w:t>视为工期没有延误，承包人仍应按照约定提交成果资料。</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第5条 成果资料</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5.2 成果份数</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承包人应向发包人提交勘察报告审定稿一式拾份及全部成果的可编辑电子文件（*.dwg、*.doc、*.xls、*.jpg等格式）</w:t>
      </w:r>
      <w:r>
        <w:rPr>
          <w:rFonts w:hint="eastAsia" w:ascii="宋体" w:hAnsi="宋体" w:eastAsia="宋体" w:cs="宋体"/>
          <w:color w:val="auto"/>
          <w:kern w:val="0"/>
          <w:sz w:val="24"/>
          <w:szCs w:val="24"/>
          <w:highlight w:val="none"/>
        </w:rPr>
        <w:t>；承包人须按照发包人要求提供相关过程汇报和审查成果，不另行增加费用；发包人可按需要求</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增加份数，</w:t>
      </w:r>
      <w:r>
        <w:rPr>
          <w:rFonts w:hint="eastAsia" w:ascii="宋体" w:hAnsi="宋体" w:eastAsia="宋体" w:cs="宋体"/>
          <w:kern w:val="0"/>
          <w:sz w:val="24"/>
          <w:highlight w:val="none"/>
        </w:rPr>
        <w:t>承包人</w:t>
      </w:r>
      <w:r>
        <w:rPr>
          <w:rFonts w:ascii="宋体" w:hAnsi="宋体" w:eastAsia="宋体" w:cs="宋体"/>
          <w:kern w:val="0"/>
          <w:sz w:val="24"/>
          <w:highlight w:val="none"/>
        </w:rPr>
        <w:t>应无条件配合并不另行增加费用</w:t>
      </w:r>
      <w:r>
        <w:rPr>
          <w:rFonts w:hint="eastAsia" w:ascii="宋体" w:hAnsi="宋体" w:eastAsia="宋体" w:cs="宋体"/>
          <w:kern w:val="0"/>
          <w:sz w:val="24"/>
          <w:highlight w:val="none"/>
        </w:rPr>
        <w:t>；</w:t>
      </w:r>
      <w:r>
        <w:rPr>
          <w:rFonts w:hint="eastAsia" w:ascii="宋体" w:hAnsi="宋体" w:eastAsia="宋体" w:cs="宋体"/>
          <w:color w:val="auto"/>
          <w:kern w:val="0"/>
          <w:sz w:val="24"/>
          <w:szCs w:val="24"/>
          <w:highlight w:val="none"/>
        </w:rPr>
        <w:t>电子文件釆用光盘刻录，同时</w:t>
      </w:r>
      <w:r>
        <w:rPr>
          <w:rFonts w:hint="eastAsia" w:ascii="宋体" w:hAnsi="宋体" w:eastAsia="宋体" w:cs="宋体"/>
          <w:color w:val="auto"/>
          <w:kern w:val="0"/>
          <w:sz w:val="24"/>
          <w:szCs w:val="24"/>
          <w:highlight w:val="none"/>
          <w:lang w:eastAsia="zh-CN"/>
        </w:rPr>
        <w:t>按技术要求</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图件</w:t>
      </w:r>
      <w:r>
        <w:rPr>
          <w:rFonts w:hint="eastAsia" w:ascii="宋体" w:hAnsi="宋体" w:eastAsia="宋体" w:cs="宋体"/>
          <w:color w:val="auto"/>
          <w:kern w:val="0"/>
          <w:sz w:val="24"/>
          <w:szCs w:val="24"/>
          <w:highlight w:val="none"/>
          <w:lang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5.4 成果验收</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双方就成果验收期限的约定：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lang w:eastAsia="zh-CN"/>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第6条 后期服务</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6.1 后续技术服务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后续技术服务内容约定: </w:t>
      </w:r>
      <w:r>
        <w:rPr>
          <w:rFonts w:hint="eastAsia" w:ascii="宋体" w:hAnsi="宋体" w:eastAsia="宋体" w:cs="宋体"/>
          <w:color w:val="auto"/>
          <w:kern w:val="0"/>
          <w:sz w:val="24"/>
          <w:highlight w:val="none"/>
          <w:u w:val="single"/>
          <w:lang w:eastAsia="zh-CN"/>
        </w:rPr>
        <w:t>承包人应积极配合发包人进行各项后续技术服务工作，并按发包人要求派遣合格的勘察代表参与做好勘察后续服务。</w:t>
      </w:r>
    </w:p>
    <w:p>
      <w:pPr>
        <w:tabs>
          <w:tab w:val="left" w:pos="54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后续技术服务费用约定：</w:t>
      </w:r>
      <w:r>
        <w:rPr>
          <w:rFonts w:hint="eastAsia" w:ascii="宋体" w:hAnsi="宋体" w:eastAsia="宋体" w:cs="宋体"/>
          <w:color w:val="auto"/>
          <w:kern w:val="0"/>
          <w:sz w:val="24"/>
          <w:highlight w:val="none"/>
          <w:u w:val="single"/>
        </w:rPr>
        <w:t>不增加合同费用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后续技术服务时限约定：</w:t>
      </w:r>
      <w:r>
        <w:rPr>
          <w:rFonts w:hint="eastAsia" w:ascii="宋体" w:hAnsi="宋体" w:eastAsia="宋体" w:cs="宋体"/>
          <w:color w:val="auto"/>
          <w:kern w:val="0"/>
          <w:sz w:val="24"/>
          <w:highlight w:val="none"/>
          <w:u w:val="single"/>
        </w:rPr>
        <w:t>以满足项目初步设计审批要求为准。</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第7条 合同价款与支付</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7.1 合同价款与调整</w:t>
      </w:r>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双方约定的合同价款调整因素和方法：</w:t>
      </w:r>
      <w:r>
        <w:rPr>
          <w:rFonts w:hint="default" w:ascii="宋体" w:hAnsi="宋体" w:eastAsia="宋体" w:cs="宋体"/>
          <w:color w:val="auto"/>
          <w:kern w:val="0"/>
          <w:sz w:val="24"/>
          <w:highlight w:val="none"/>
          <w:u w:val="single"/>
          <w:lang w:val="en-US" w:eastAsia="zh-CN"/>
        </w:rPr>
        <w:t>机场</w:t>
      </w:r>
      <w:r>
        <w:rPr>
          <w:rFonts w:hint="eastAsia" w:ascii="宋体" w:hAnsi="宋体" w:eastAsia="宋体" w:cs="宋体"/>
          <w:color w:val="auto"/>
          <w:kern w:val="0"/>
          <w:sz w:val="24"/>
          <w:highlight w:val="none"/>
          <w:u w:val="single"/>
          <w:lang w:val="en-US" w:eastAsia="zh-CN"/>
        </w:rPr>
        <w:t>工作区岩土</w:t>
      </w:r>
      <w:r>
        <w:rPr>
          <w:rFonts w:hint="default" w:ascii="宋体" w:hAnsi="宋体" w:eastAsia="宋体" w:cs="宋体"/>
          <w:color w:val="auto"/>
          <w:kern w:val="0"/>
          <w:sz w:val="24"/>
          <w:highlight w:val="none"/>
          <w:u w:val="single"/>
          <w:lang w:val="en-US" w:eastAsia="zh-CN"/>
        </w:rPr>
        <w:t>工程初步勘察工作部分采用固定单价包干，按实结算，但最终结算金额不得超出本</w:t>
      </w:r>
      <w:r>
        <w:rPr>
          <w:rFonts w:hint="eastAsia" w:ascii="宋体" w:hAnsi="宋体" w:eastAsia="宋体" w:cs="宋体"/>
          <w:color w:val="auto"/>
          <w:kern w:val="0"/>
          <w:sz w:val="24"/>
          <w:highlight w:val="none"/>
          <w:u w:val="single"/>
          <w:lang w:val="en-US" w:eastAsia="zh-CN"/>
        </w:rPr>
        <w:t>包组</w:t>
      </w:r>
      <w:r>
        <w:rPr>
          <w:rFonts w:hint="default" w:ascii="宋体" w:hAnsi="宋体" w:eastAsia="宋体" w:cs="宋体"/>
          <w:color w:val="auto"/>
          <w:kern w:val="0"/>
          <w:sz w:val="24"/>
          <w:highlight w:val="none"/>
          <w:u w:val="single"/>
          <w:lang w:val="en-US" w:eastAsia="zh-CN"/>
        </w:rPr>
        <w:t>签约合同价</w:t>
      </w:r>
      <w:r>
        <w:rPr>
          <w:rFonts w:hint="eastAsia" w:ascii="宋体" w:hAnsi="宋体" w:eastAsia="宋体" w:cs="宋体"/>
          <w:color w:val="auto"/>
          <w:kern w:val="0"/>
          <w:sz w:val="24"/>
          <w:highlight w:val="none"/>
          <w:u w:val="single"/>
          <w:lang w:eastAsia="zh-CN"/>
        </w:rPr>
        <w:t>。</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7.1.1.1</w:t>
      </w:r>
      <w:r>
        <w:rPr>
          <w:rFonts w:hint="eastAsia" w:ascii="宋体" w:hAnsi="宋体" w:eastAsia="宋体" w:cs="宋体"/>
          <w:color w:val="auto"/>
          <w:kern w:val="0"/>
          <w:sz w:val="24"/>
          <w:highlight w:val="none"/>
        </w:rPr>
        <w:t>暂列金额：本合同的岩溶勘察部分预留金（或称暂列金额）人民币（大写）</w:t>
      </w:r>
      <w:r>
        <w:rPr>
          <w:rFonts w:hint="eastAsia" w:ascii="宋体" w:hAnsi="宋体" w:eastAsia="宋体" w:cs="宋体"/>
          <w:color w:val="auto"/>
          <w:kern w:val="0"/>
          <w:sz w:val="24"/>
          <w:highlight w:val="none"/>
          <w:lang w:eastAsia="zh-CN"/>
        </w:rPr>
        <w:t>柒拾</w:t>
      </w:r>
      <w:r>
        <w:rPr>
          <w:rFonts w:hint="eastAsia" w:ascii="宋体" w:hAnsi="宋体" w:eastAsia="宋体" w:cs="宋体"/>
          <w:color w:val="auto"/>
          <w:kern w:val="0"/>
          <w:sz w:val="24"/>
          <w:highlight w:val="none"/>
        </w:rPr>
        <w:t>万元整（¥</w:t>
      </w:r>
      <w:r>
        <w:rPr>
          <w:rFonts w:hint="eastAsia" w:ascii="宋体" w:hAnsi="宋体" w:eastAsia="宋体" w:cs="宋体"/>
          <w:color w:val="auto"/>
          <w:kern w:val="0"/>
          <w:sz w:val="24"/>
          <w:highlight w:val="none"/>
          <w:lang w:eastAsia="zh-CN"/>
        </w:rPr>
        <w:t>700,000.00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该</w:t>
      </w:r>
      <w:r>
        <w:rPr>
          <w:rFonts w:hint="eastAsia" w:ascii="宋体" w:hAnsi="宋体" w:eastAsia="宋体" w:cs="宋体"/>
          <w:color w:val="auto"/>
          <w:kern w:val="0"/>
          <w:sz w:val="24"/>
          <w:highlight w:val="none"/>
        </w:rPr>
        <w:t>项金额应按甲方的书面指示全部或部分地使用，或不予使用。</w:t>
      </w:r>
    </w:p>
    <w:p>
      <w:pPr>
        <w:tabs>
          <w:tab w:val="left" w:pos="900"/>
        </w:tabs>
        <w:adjustRightInd w:val="0"/>
        <w:snapToGrid w:val="0"/>
        <w:spacing w:line="360" w:lineRule="auto"/>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7.1.1.2</w:t>
      </w:r>
      <w:r>
        <w:rPr>
          <w:rFonts w:hint="eastAsia" w:ascii="宋体" w:hAnsi="宋体" w:eastAsia="宋体" w:cs="宋体"/>
          <w:color w:val="auto"/>
          <w:kern w:val="0"/>
          <w:sz w:val="24"/>
          <w:highlight w:val="none"/>
        </w:rPr>
        <w:t>当甲方委托乙方承担岩溶勘察的工作服务需使用暂列金额时，须经发包人</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监理工程师确认现场签证并按实际发生</w:t>
      </w:r>
      <w:r>
        <w:rPr>
          <w:rFonts w:hint="eastAsia" w:ascii="宋体" w:hAnsi="宋体" w:eastAsia="宋体" w:cs="宋体"/>
          <w:color w:val="auto"/>
          <w:kern w:val="0"/>
          <w:sz w:val="24"/>
          <w:highlight w:val="none"/>
          <w:lang w:eastAsia="zh-CN"/>
        </w:rPr>
        <w:t>量进行</w:t>
      </w:r>
      <w:r>
        <w:rPr>
          <w:rFonts w:hint="eastAsia" w:ascii="宋体" w:hAnsi="宋体" w:eastAsia="宋体" w:cs="宋体"/>
          <w:color w:val="auto"/>
          <w:kern w:val="0"/>
          <w:sz w:val="24"/>
          <w:highlight w:val="none"/>
        </w:rPr>
        <w:t>结算，如未发生上述的情况，结算时需扣减该费用。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w:t>
      </w:r>
      <w:r>
        <w:rPr>
          <w:rFonts w:hint="eastAsia" w:ascii="宋体" w:hAnsi="宋体" w:eastAsia="宋体" w:cs="宋体"/>
          <w:color w:val="auto"/>
          <w:kern w:val="0"/>
          <w:sz w:val="24"/>
          <w:szCs w:val="24"/>
          <w:highlight w:val="none"/>
          <w:lang w:val="en-US" w:eastAsia="zh-CN"/>
        </w:rPr>
        <w:t xml:space="preserve"> 合同价格形式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（1）采用总价合同，合同价款中包括的风险范围：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风险费用的计算方法：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风险范围以外合同价款调整因素和方法：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（2）采用单价合同，合同价款中包括的风险范围：</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风险范围以外合同单价调整因素和方法：</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（3）采用的其他合同价款形式及调整因素和方法：</w:t>
      </w:r>
      <w:r>
        <w:rPr>
          <w:rFonts w:hint="eastAsia" w:ascii="宋体" w:hAnsi="宋体" w:eastAsia="宋体" w:cs="宋体"/>
          <w:color w:val="auto"/>
          <w:kern w:val="0"/>
          <w:sz w:val="24"/>
          <w:szCs w:val="24"/>
          <w:highlight w:val="none"/>
          <w:u w:val="single"/>
          <w:lang w:val="en-US" w:eastAsia="zh-CN"/>
        </w:rPr>
        <w:t>另行商定</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7.1.3双方</w:t>
      </w:r>
      <w:r>
        <w:rPr>
          <w:rFonts w:hint="eastAsia" w:ascii="宋体" w:hAnsi="宋体" w:eastAsia="宋体" w:cs="宋体"/>
          <w:color w:val="auto"/>
          <w:sz w:val="24"/>
          <w:szCs w:val="24"/>
          <w:highlight w:val="none"/>
        </w:rPr>
        <w:t>就合同价款调整确认期限的约定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   。</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7.2 </w:t>
      </w:r>
      <w:r>
        <w:rPr>
          <w:rFonts w:hint="eastAsia" w:ascii="宋体" w:hAnsi="Times New Roman" w:eastAsia="宋体" w:cs="宋体"/>
          <w:b/>
          <w:bCs/>
          <w:color w:val="auto"/>
          <w:kern w:val="0"/>
          <w:sz w:val="24"/>
          <w:szCs w:val="24"/>
          <w:highlight w:val="none"/>
          <w:lang w:val="en-US" w:eastAsia="zh-CN" w:bidi="ar-SA"/>
        </w:rPr>
        <w:t>履约担保、</w:t>
      </w:r>
      <w:r>
        <w:rPr>
          <w:rFonts w:hint="eastAsia" w:ascii="宋体" w:hAnsi="宋体" w:eastAsia="宋体" w:cs="宋体"/>
          <w:b/>
          <w:bCs/>
          <w:color w:val="auto"/>
          <w:kern w:val="0"/>
          <w:sz w:val="24"/>
          <w:szCs w:val="24"/>
          <w:highlight w:val="none"/>
          <w:lang w:val="en-US" w:eastAsia="zh-CN" w:bidi="ar-SA"/>
        </w:rPr>
        <w:t>定金或预付款</w:t>
      </w:r>
    </w:p>
    <w:p>
      <w:pPr>
        <w:tabs>
          <w:tab w:val="left" w:pos="900"/>
        </w:tabs>
        <w:adjustRightInd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7.2.1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eastAsia="zh-CN"/>
        </w:rPr>
        <w:t>履约担保的比例：签约合同价的10%（在签订服务合同后10天内递交）。履约保证金形式：不可撤销银行保函或专业担保公司保函。</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出具银行保函的银行级别：国有商业银行或股份制商业银行的支行或以上级别银行。</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履约保证金的有效期：承包人应保证其履约保证金在约定退回之日前一直有效。</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eastAsia="zh-CN"/>
        </w:rPr>
      </w:pPr>
      <w:r>
        <w:rPr>
          <w:rFonts w:hint="eastAsia" w:ascii="宋体" w:hAnsi="Times New Roman" w:eastAsia="宋体" w:cs="宋体"/>
          <w:color w:val="auto"/>
          <w:kern w:val="0"/>
          <w:sz w:val="24"/>
          <w:szCs w:val="24"/>
          <w:highlight w:val="none"/>
          <w:u w:val="single"/>
          <w:lang w:eastAsia="zh-CN"/>
        </w:rPr>
        <w:t>履约保证金退回时间：于完成所有服务内容后</w:t>
      </w:r>
      <w:r>
        <w:rPr>
          <w:rFonts w:hint="eastAsia" w:ascii="宋体" w:hAnsi="Times New Roman" w:eastAsia="宋体" w:cs="宋体"/>
          <w:color w:val="auto"/>
          <w:kern w:val="0"/>
          <w:sz w:val="24"/>
          <w:szCs w:val="24"/>
          <w:highlight w:val="none"/>
          <w:u w:val="single"/>
          <w:lang w:val="en-US" w:eastAsia="zh-CN"/>
        </w:rPr>
        <w:t>10天内</w:t>
      </w:r>
      <w:r>
        <w:rPr>
          <w:rFonts w:hint="eastAsia" w:ascii="宋体" w:hAnsi="Times New Roman" w:eastAsia="宋体" w:cs="宋体"/>
          <w:color w:val="auto"/>
          <w:kern w:val="0"/>
          <w:sz w:val="24"/>
          <w:szCs w:val="24"/>
          <w:highlight w:val="none"/>
          <w:u w:val="single"/>
          <w:lang w:eastAsia="zh-CN"/>
        </w:rPr>
        <w:t>退还给承包人。</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履约保证金用于补偿发包人因承包人的过失导致未能达到合同约定的服务和质量等要求而蒙受的损失或承包人违反合同应承担的违约金。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u w:val="single"/>
          <w:lang w:val="en-US" w:eastAsia="zh-CN"/>
        </w:rPr>
      </w:pPr>
      <w:r>
        <w:rPr>
          <w:rFonts w:hint="eastAsia" w:ascii="宋体" w:hAnsi="Times New Roman" w:eastAsia="宋体" w:cs="宋体"/>
          <w:color w:val="auto"/>
          <w:kern w:val="0"/>
          <w:sz w:val="24"/>
          <w:szCs w:val="24"/>
          <w:highlight w:val="none"/>
          <w:u w:val="single"/>
          <w:lang w:val="en-US" w:eastAsia="zh-CN"/>
        </w:rPr>
        <w:t>在本包组合同执行期间，如因承包人的过失或工作不配合的原因造成发包人经济损失的，发包人有权根据损失的数额直接在履约保证金中扣除并书面通知承包人。承包人在收到发包人的通知后，应在3个工作日内补足被扣除的履约保证金。</w:t>
      </w:r>
    </w:p>
    <w:p>
      <w:pPr>
        <w:adjustRightInd w:val="0"/>
        <w:snapToGrid w:val="0"/>
        <w:spacing w:line="360" w:lineRule="auto"/>
        <w:ind w:firstLine="480" w:firstLineChars="200"/>
        <w:jc w:val="left"/>
        <w:rPr>
          <w:rFonts w:hint="eastAsia" w:ascii="宋体" w:hAnsi="Times New Roman" w:eastAsia="宋体" w:cs="宋体"/>
          <w:color w:val="auto"/>
          <w:kern w:val="0"/>
          <w:sz w:val="24"/>
          <w:szCs w:val="24"/>
          <w:highlight w:val="none"/>
          <w:lang w:eastAsia="zh-CN"/>
        </w:rPr>
      </w:pPr>
      <w:r>
        <w:rPr>
          <w:rFonts w:hint="eastAsia" w:ascii="宋体" w:hAnsi="Times New Roman" w:eastAsia="宋体" w:cs="宋体"/>
          <w:color w:val="auto"/>
          <w:kern w:val="0"/>
          <w:sz w:val="24"/>
          <w:szCs w:val="24"/>
          <w:highlight w:val="none"/>
          <w:u w:val="single"/>
          <w:lang w:val="en-US" w:eastAsia="zh-CN"/>
        </w:rPr>
        <w:t>承包人在合同履行期间不按合同约定履行义务的，发包人有权单方终止合同并没收全额履约保证金，由此产生的一切经济损失由承包人自行承担</w:t>
      </w:r>
      <w:r>
        <w:rPr>
          <w:rFonts w:hint="eastAsia" w:ascii="宋体" w:hAnsi="Times New Roman" w:eastAsia="宋体" w:cs="宋体"/>
          <w:color w:val="auto"/>
          <w:kern w:val="0"/>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7.2.1.2</w:t>
      </w:r>
      <w:r>
        <w:rPr>
          <w:rFonts w:hint="eastAsia" w:ascii="宋体" w:hAnsi="Times New Roman" w:eastAsia="宋体" w:cs="宋体"/>
          <w:color w:val="auto"/>
          <w:kern w:val="0"/>
          <w:sz w:val="24"/>
          <w:szCs w:val="24"/>
          <w:highlight w:val="none"/>
          <w:lang w:eastAsia="zh-CN"/>
        </w:rPr>
        <w:t>定金的比例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7.2.1.3</w:t>
      </w:r>
      <w:r>
        <w:rPr>
          <w:rFonts w:hint="eastAsia" w:ascii="宋体" w:hAnsi="宋体" w:eastAsia="宋体" w:cs="宋体"/>
          <w:color w:val="auto"/>
          <w:kern w:val="0"/>
          <w:sz w:val="24"/>
          <w:szCs w:val="24"/>
          <w:highlight w:val="none"/>
        </w:rPr>
        <w:t>发包人向</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支付预付款的金额：</w:t>
      </w:r>
      <w:r>
        <w:rPr>
          <w:rFonts w:hint="eastAsia" w:ascii="宋体" w:hAnsi="宋体" w:eastAsia="宋体" w:cs="宋体"/>
          <w:color w:val="auto"/>
          <w:kern w:val="0"/>
          <w:sz w:val="24"/>
          <w:szCs w:val="24"/>
          <w:highlight w:val="none"/>
          <w:u w:val="single"/>
          <w:lang w:val="en-US" w:eastAsia="zh-CN"/>
        </w:rPr>
        <w:t>工程勘察费签约合同价扣除暂列金额后的金额的10%</w:t>
      </w:r>
      <w:r>
        <w:rPr>
          <w:rFonts w:hint="eastAsia" w:ascii="宋体" w:hAnsi="宋体" w:eastAsia="宋体" w:cs="宋体"/>
          <w:color w:val="auto"/>
          <w:kern w:val="0"/>
          <w:sz w:val="24"/>
          <w:szCs w:val="24"/>
          <w:highlight w:val="none"/>
          <w:u w:val="none"/>
          <w:lang w:val="en-US" w:eastAsia="zh-CN"/>
        </w:rPr>
        <w:t>。</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7.2.2预付款在进度款中的抵扣办法：</w:t>
      </w:r>
      <w:r>
        <w:rPr>
          <w:rFonts w:hint="eastAsia" w:ascii="宋体" w:hAnsi="宋体" w:eastAsia="宋体" w:cs="宋体"/>
          <w:color w:val="auto"/>
          <w:kern w:val="0"/>
          <w:sz w:val="24"/>
          <w:szCs w:val="24"/>
          <w:highlight w:val="none"/>
          <w:u w:val="single"/>
          <w:lang w:val="en-US" w:eastAsia="zh-CN"/>
        </w:rPr>
        <w:t>发包人向承包人支付的预付款自动转为进度款，并在承包人第一次申请进度款时进行全额抵扣</w:t>
      </w:r>
      <w:r>
        <w:rPr>
          <w:rFonts w:hint="eastAsia" w:ascii="宋体" w:hAnsi="宋体" w:eastAsia="宋体" w:cs="宋体"/>
          <w:color w:val="auto"/>
          <w:kern w:val="0"/>
          <w:sz w:val="24"/>
          <w:szCs w:val="24"/>
          <w:highlight w:val="none"/>
          <w:u w:val="none"/>
          <w:lang w:val="en-US" w:eastAsia="zh-CN"/>
        </w:rPr>
        <w:t>。</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7.3 进度款支付</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7.3.1双方约定的进度款支付方式、支付条件和支付时间：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合同正式签署，承包人向发包人提出支付申请并获得同意起15个工作日内，发包人向承包人支付工程勘察费签约合同价扣除暂列金额后的金额的10%作为预付款。发包人向承包人支付的预付款自动转为进度款，并在承包人第一次申请进度款时进行全额抵扣。</w:t>
      </w:r>
    </w:p>
    <w:p>
      <w:pPr>
        <w:pStyle w:val="50"/>
        <w:keepNext w:val="0"/>
        <w:keepLines w:val="0"/>
        <w:pageBreakBefore w:val="0"/>
        <w:widowControl w:val="0"/>
        <w:numPr>
          <w:ilvl w:val="0"/>
          <w:numId w:val="0"/>
        </w:numPr>
        <w:shd w:val="clear" w:color="auto" w:fill="auto"/>
        <w:tabs>
          <w:tab w:val="left" w:pos="1045"/>
        </w:tabs>
        <w:kinsoku/>
        <w:wordWrap/>
        <w:overflowPunct/>
        <w:topLinePunct w:val="0"/>
        <w:autoSpaceDE/>
        <w:autoSpaceDN/>
        <w:bidi w:val="0"/>
        <w:spacing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val="en-US" w:eastAsia="zh-CN"/>
        </w:rPr>
        <w:t>2）</w:t>
      </w:r>
      <w:r>
        <w:rPr>
          <w:rFonts w:hint="eastAsia" w:cs="宋体"/>
          <w:color w:val="auto"/>
          <w:spacing w:val="0"/>
          <w:w w:val="100"/>
          <w:position w:val="0"/>
          <w:sz w:val="24"/>
          <w:szCs w:val="24"/>
          <w:highlight w:val="none"/>
          <w:u w:val="single"/>
          <w:lang w:val="en-US" w:eastAsia="zh-CN"/>
        </w:rPr>
        <w:t>根据勘察进度，承包人根据实际勘察进度向监理人书面上报已完成的并经确认的工程量及工程进度款（监理人在7日内审批并报发包人），发包人在收到监理人提交的工程量及工程进度款的确认材料并经审批确认后，在15</w:t>
      </w:r>
      <w:r>
        <w:rPr>
          <w:rFonts w:hint="eastAsia" w:ascii="宋体" w:hAnsi="宋体" w:eastAsia="宋体" w:cs="宋体"/>
          <w:color w:val="auto"/>
          <w:kern w:val="0"/>
          <w:sz w:val="24"/>
          <w:szCs w:val="24"/>
          <w:highlight w:val="none"/>
          <w:u w:val="single"/>
          <w:lang w:eastAsia="zh-CN"/>
        </w:rPr>
        <w:t>个工作</w:t>
      </w:r>
      <w:r>
        <w:rPr>
          <w:rFonts w:hint="eastAsia" w:cs="宋体"/>
          <w:color w:val="auto"/>
          <w:spacing w:val="0"/>
          <w:w w:val="100"/>
          <w:position w:val="0"/>
          <w:sz w:val="24"/>
          <w:szCs w:val="24"/>
          <w:highlight w:val="none"/>
          <w:u w:val="single"/>
          <w:lang w:val="en-US" w:eastAsia="zh-CN"/>
        </w:rPr>
        <w:t>日内支付实际完成工程款（含经监理人审核、发包人审批确认的暂列金额费用）的80%，当承包人累计申请支付的进度款（含预付款）达到合同金额的70%后不予支付进度款</w:t>
      </w:r>
      <w:r>
        <w:rPr>
          <w:rFonts w:hint="eastAsia" w:ascii="宋体" w:hAnsi="宋体" w:eastAsia="宋体" w:cs="宋体"/>
          <w:color w:val="auto"/>
          <w:spacing w:val="0"/>
          <w:w w:val="100"/>
          <w:positio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pacing w:val="0"/>
          <w:w w:val="100"/>
          <w:position w:val="0"/>
          <w:sz w:val="24"/>
          <w:szCs w:val="24"/>
          <w:highlight w:val="none"/>
          <w:u w:val="single"/>
          <w:lang w:val="en-US" w:eastAsia="zh-CN"/>
        </w:rPr>
        <w:t>（3）</w:t>
      </w:r>
      <w:r>
        <w:rPr>
          <w:rFonts w:hint="eastAsia" w:ascii="宋体" w:hAnsi="宋体" w:eastAsia="宋体" w:cs="宋体"/>
          <w:color w:val="auto"/>
          <w:sz w:val="24"/>
          <w:highlight w:val="none"/>
          <w:u w:val="single"/>
        </w:rPr>
        <w:t>承包人按要求完成全部勘察和测量工作，且提交的勘察报告和测量报告送审并通过专家审查合格后，承包人将所有勘察和测量成果提交给发包人，承包人向发包人提出支付申请并获得同意起15</w:t>
      </w:r>
      <w:r>
        <w:rPr>
          <w:rFonts w:hint="eastAsia" w:ascii="宋体" w:hAnsi="宋体" w:eastAsia="宋体" w:cs="宋体"/>
          <w:color w:val="auto"/>
          <w:kern w:val="0"/>
          <w:sz w:val="24"/>
          <w:szCs w:val="24"/>
          <w:highlight w:val="none"/>
          <w:u w:val="single"/>
          <w:lang w:eastAsia="zh-CN"/>
        </w:rPr>
        <w:t>个工作</w:t>
      </w:r>
      <w:r>
        <w:rPr>
          <w:rFonts w:hint="eastAsia" w:ascii="宋体" w:hAnsi="宋体" w:eastAsia="宋体" w:cs="宋体"/>
          <w:color w:val="auto"/>
          <w:sz w:val="24"/>
          <w:highlight w:val="none"/>
          <w:u w:val="single"/>
        </w:rPr>
        <w:t>日内，发包人向承包人支付至工程结算金额的90%</w:t>
      </w:r>
      <w:r>
        <w:rPr>
          <w:rFonts w:hint="eastAsia" w:ascii="宋体" w:hAnsi="宋体" w:eastAsia="宋体" w:cs="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（4）承包人完成了合同规定的全部勘察工作任务并提交了最终勘察报告，并按合同约定向发包人移交全部技术成果，且经发包人考核并完成勘察服务费结算，并配合发包人完成机场可行性研究和</w:t>
      </w:r>
      <w:r>
        <w:rPr>
          <w:rFonts w:hint="eastAsia" w:ascii="宋体" w:hAnsi="宋体" w:eastAsia="宋体" w:cs="宋体"/>
          <w:color w:val="auto"/>
          <w:sz w:val="24"/>
          <w:highlight w:val="none"/>
          <w:u w:val="single"/>
          <w:lang w:eastAsia="zh-CN"/>
        </w:rPr>
        <w:t>取得</w:t>
      </w:r>
      <w:r>
        <w:rPr>
          <w:rFonts w:hint="eastAsia" w:ascii="宋体" w:hAnsi="宋体" w:eastAsia="宋体" w:cs="宋体"/>
          <w:color w:val="auto"/>
          <w:sz w:val="24"/>
          <w:highlight w:val="none"/>
          <w:u w:val="single"/>
        </w:rPr>
        <w:t>岩土工程专业初步设计批复后，承包人向发包人提出支付申请并获得发包人同意之日起15</w:t>
      </w:r>
      <w:r>
        <w:rPr>
          <w:rFonts w:hint="eastAsia" w:ascii="宋体" w:hAnsi="宋体" w:eastAsia="宋体" w:cs="宋体"/>
          <w:color w:val="auto"/>
          <w:kern w:val="0"/>
          <w:sz w:val="24"/>
          <w:szCs w:val="24"/>
          <w:highlight w:val="none"/>
          <w:u w:val="single"/>
          <w:lang w:eastAsia="zh-CN"/>
        </w:rPr>
        <w:t>个工作</w:t>
      </w:r>
      <w:r>
        <w:rPr>
          <w:rFonts w:hint="eastAsia" w:ascii="宋体" w:hAnsi="宋体" w:eastAsia="宋体" w:cs="宋体"/>
          <w:color w:val="auto"/>
          <w:sz w:val="24"/>
          <w:highlight w:val="none"/>
          <w:u w:val="single"/>
        </w:rPr>
        <w:t>日内，支付至实际结算勘察费用的100%。</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lang w:eastAsia="zh-CN"/>
        </w:rPr>
      </w:pPr>
      <w:r>
        <w:rPr>
          <w:rFonts w:hint="eastAsia" w:ascii="宋体" w:hAnsi="宋体" w:eastAsia="宋体" w:cs="Times New Roman"/>
          <w:b w:val="0"/>
          <w:color w:val="auto"/>
          <w:sz w:val="24"/>
          <w:szCs w:val="20"/>
          <w:highlight w:val="none"/>
          <w:lang w:eastAsia="zh-CN"/>
        </w:rPr>
        <w:t>注：</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b w:val="0"/>
          <w:color w:val="auto"/>
          <w:sz w:val="24"/>
          <w:szCs w:val="20"/>
          <w:highlight w:val="none"/>
        </w:rPr>
      </w:pPr>
      <w:r>
        <w:rPr>
          <w:rFonts w:hint="eastAsia" w:ascii="宋体" w:hAnsi="宋体" w:eastAsia="宋体" w:cs="Times New Roman"/>
          <w:b w:val="0"/>
          <w:color w:val="auto"/>
          <w:sz w:val="24"/>
          <w:szCs w:val="20"/>
          <w:highlight w:val="none"/>
        </w:rPr>
        <w:t>1、所有款项的支付应提出申请，并附证明材料，经</w:t>
      </w:r>
      <w:r>
        <w:rPr>
          <w:rFonts w:hint="eastAsia" w:ascii="宋体" w:hAnsi="宋体" w:eastAsia="宋体" w:cs="Times New Roman"/>
          <w:b w:val="0"/>
          <w:color w:val="auto"/>
          <w:sz w:val="24"/>
          <w:szCs w:val="20"/>
          <w:highlight w:val="none"/>
          <w:lang w:eastAsia="zh-CN"/>
        </w:rPr>
        <w:t>发包</w:t>
      </w:r>
      <w:r>
        <w:rPr>
          <w:rFonts w:hint="eastAsia" w:ascii="宋体" w:hAnsi="宋体" w:eastAsia="宋体" w:cs="Times New Roman"/>
          <w:b w:val="0"/>
          <w:color w:val="auto"/>
          <w:sz w:val="24"/>
          <w:szCs w:val="20"/>
          <w:highlight w:val="none"/>
        </w:rPr>
        <w:t>人审核后才办理支付手续。</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Times New Roman"/>
          <w:color w:val="auto"/>
          <w:sz w:val="24"/>
          <w:szCs w:val="20"/>
          <w:highlight w:val="none"/>
        </w:rPr>
      </w:pPr>
      <w:r>
        <w:rPr>
          <w:rFonts w:hint="eastAsia" w:ascii="宋体" w:hAnsi="宋体" w:eastAsia="宋体" w:cs="Times New Roman"/>
          <w:b w:val="0"/>
          <w:color w:val="auto"/>
          <w:sz w:val="24"/>
          <w:szCs w:val="20"/>
          <w:highlight w:val="none"/>
        </w:rPr>
        <w:t>2、</w:t>
      </w:r>
      <w:r>
        <w:rPr>
          <w:rFonts w:hint="eastAsia" w:ascii="宋体" w:hAnsi="宋体" w:eastAsia="宋体" w:cs="Times New Roman"/>
          <w:b w:val="0"/>
          <w:color w:val="auto"/>
          <w:sz w:val="24"/>
          <w:szCs w:val="20"/>
          <w:highlight w:val="none"/>
          <w:lang w:eastAsia="zh-CN"/>
        </w:rPr>
        <w:t>承包人收取款项时应提供等额有效的增值税普通发票。承包人提供等额合法有效发票是发包人付款的前提条件。否则，因付款期限未届至，发包人有权拒绝付款且不承担任何违约责任，承包人仍应履行合同义务</w:t>
      </w:r>
      <w:r>
        <w:rPr>
          <w:rFonts w:hint="eastAsia" w:ascii="宋体" w:hAnsi="宋体" w:eastAsia="宋体" w:cs="Times New Roman"/>
          <w:b w:val="0"/>
          <w:color w:val="auto"/>
          <w:sz w:val="24"/>
          <w:szCs w:val="20"/>
          <w:highlight w:val="none"/>
        </w:rPr>
        <w:t>。</w:t>
      </w:r>
    </w:p>
    <w:p>
      <w:pPr>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7.4 合同价款结算</w:t>
      </w:r>
    </w:p>
    <w:p>
      <w:pPr>
        <w:keepNext w:val="0"/>
        <w:keepLines w:val="0"/>
        <w:pageBreakBefore w:val="0"/>
        <w:widowControl/>
        <w:numPr>
          <w:ilvl w:val="0"/>
          <w:numId w:val="157"/>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实际进尺量以</w:t>
      </w:r>
      <w:r>
        <w:rPr>
          <w:rFonts w:hint="default"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lang w:val="en-US" w:eastAsia="zh-CN"/>
        </w:rPr>
        <w:t>甲方</w:t>
      </w:r>
      <w:r>
        <w:rPr>
          <w:rFonts w:hint="eastAsia" w:ascii="Times New Roman" w:hAnsi="Times New Roman" w:eastAsia="宋体" w:cs="宋体"/>
          <w:color w:val="auto"/>
          <w:kern w:val="0"/>
          <w:sz w:val="24"/>
          <w:highlight w:val="none"/>
          <w:lang w:val="en-US" w:eastAsia="zh-CN"/>
        </w:rPr>
        <w:t>及监理人</w:t>
      </w:r>
      <w:r>
        <w:rPr>
          <w:rFonts w:hint="default" w:ascii="宋体" w:hAnsi="宋体" w:eastAsia="宋体" w:cs="宋体"/>
          <w:color w:val="auto"/>
          <w:kern w:val="0"/>
          <w:sz w:val="24"/>
          <w:highlight w:val="none"/>
          <w:lang w:val="en-US" w:eastAsia="zh-CN"/>
        </w:rPr>
        <w:t>确认的</w:t>
      </w:r>
      <w:r>
        <w:rPr>
          <w:rFonts w:hint="eastAsia" w:ascii="宋体" w:hAnsi="宋体" w:eastAsia="宋体" w:cs="宋体"/>
          <w:color w:val="auto"/>
          <w:kern w:val="0"/>
          <w:sz w:val="24"/>
          <w:highlight w:val="none"/>
          <w:lang w:val="en-US" w:eastAsia="zh-CN"/>
        </w:rPr>
        <w:t>为准</w:t>
      </w:r>
      <w:r>
        <w:rPr>
          <w:rFonts w:hint="eastAsia" w:ascii="宋体" w:hAnsi="宋体" w:eastAsia="宋体" w:cs="Times New Roman"/>
          <w:color w:val="auto"/>
          <w:sz w:val="24"/>
          <w:highlight w:val="none"/>
          <w:lang w:eastAsia="zh-CN"/>
        </w:rPr>
        <w:t>。</w:t>
      </w:r>
    </w:p>
    <w:p>
      <w:pPr>
        <w:keepNext w:val="0"/>
        <w:keepLines w:val="0"/>
        <w:pageBreakBefore w:val="0"/>
        <w:widowControl/>
        <w:numPr>
          <w:ilvl w:val="0"/>
          <w:numId w:val="157"/>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Times New Roman"/>
          <w:color w:val="auto"/>
          <w:sz w:val="24"/>
          <w:highlight w:val="none"/>
          <w:u w:val="none"/>
        </w:rPr>
      </w:pPr>
      <w:r>
        <w:rPr>
          <w:rFonts w:hint="eastAsia" w:ascii="宋体" w:hAnsi="宋体" w:eastAsia="宋体" w:cs="宋体"/>
          <w:color w:val="auto"/>
          <w:kern w:val="0"/>
          <w:sz w:val="24"/>
          <w:szCs w:val="24"/>
          <w:highlight w:val="none"/>
          <w:u w:val="none"/>
          <w:lang w:eastAsia="zh-CN"/>
        </w:rPr>
        <w:t>机场</w:t>
      </w:r>
      <w:r>
        <w:rPr>
          <w:rFonts w:hint="eastAsia" w:ascii="宋体" w:hAnsi="宋体" w:eastAsia="宋体" w:cs="宋体"/>
          <w:color w:val="auto"/>
          <w:sz w:val="24"/>
          <w:szCs w:val="24"/>
          <w:highlight w:val="none"/>
          <w:u w:val="none"/>
          <w:lang w:eastAsia="zh-CN"/>
        </w:rPr>
        <w:t>工作区</w:t>
      </w:r>
      <w:r>
        <w:rPr>
          <w:rFonts w:hint="eastAsia" w:ascii="宋体" w:hAnsi="宋体" w:eastAsia="宋体" w:cs="宋体"/>
          <w:color w:val="auto"/>
          <w:kern w:val="0"/>
          <w:sz w:val="24"/>
          <w:szCs w:val="24"/>
          <w:highlight w:val="none"/>
          <w:u w:val="none"/>
          <w:lang w:eastAsia="zh-CN"/>
        </w:rPr>
        <w:t>岩土工程初步勘察工作</w:t>
      </w:r>
      <w:r>
        <w:rPr>
          <w:rFonts w:hint="eastAsia" w:ascii="宋体" w:hAnsi="宋体" w:eastAsia="宋体" w:cs="Times New Roman"/>
          <w:color w:val="auto"/>
          <w:sz w:val="24"/>
          <w:highlight w:val="none"/>
          <w:u w:val="none"/>
          <w:lang w:eastAsia="zh-CN"/>
        </w:rPr>
        <w:t>结算价=</w:t>
      </w:r>
      <w:r>
        <w:rPr>
          <w:rFonts w:hint="eastAsia" w:ascii="宋体" w:hAnsi="宋体" w:eastAsia="宋体" w:cs="仿宋_GB2312"/>
          <w:b w:val="0"/>
          <w:bCs w:val="0"/>
          <w:color w:val="auto"/>
          <w:sz w:val="24"/>
          <w:szCs w:val="24"/>
          <w:highlight w:val="none"/>
          <w:u w:val="none"/>
          <w:lang w:eastAsia="zh-CN"/>
        </w:rPr>
        <w:t>机场工作区岩土工程初步勘察工作部分</w:t>
      </w:r>
      <w:r>
        <w:rPr>
          <w:rFonts w:hint="eastAsia" w:ascii="宋体" w:hAnsi="宋体" w:eastAsia="宋体" w:cs="宋体"/>
          <w:color w:val="auto"/>
          <w:kern w:val="0"/>
          <w:sz w:val="24"/>
          <w:szCs w:val="24"/>
          <w:highlight w:val="none"/>
          <w:u w:val="none"/>
          <w:lang w:val="en-US" w:eastAsia="zh-CN" w:bidi="ar"/>
        </w:rPr>
        <w:t>钻孔</w:t>
      </w:r>
      <w:r>
        <w:rPr>
          <w:rFonts w:hint="eastAsia" w:ascii="宋体" w:hAnsi="宋体" w:eastAsia="宋体" w:cs="Times New Roman"/>
          <w:color w:val="auto"/>
          <w:sz w:val="24"/>
          <w:highlight w:val="none"/>
          <w:u w:val="none"/>
          <w:lang w:eastAsia="zh-CN"/>
        </w:rPr>
        <w:t>中标综合单价×实际进尺量（需经过甲方及监理人确认）</w:t>
      </w:r>
      <w:r>
        <w:rPr>
          <w:rFonts w:hint="eastAsia" w:ascii="宋体" w:hAnsi="宋体" w:eastAsia="宋体" w:cs="Times New Roman"/>
          <w:color w:val="auto"/>
          <w:sz w:val="24"/>
          <w:highlight w:val="none"/>
          <w:u w:val="none"/>
        </w:rPr>
        <w:t>；</w:t>
      </w:r>
    </w:p>
    <w:p>
      <w:pPr>
        <w:keepNext w:val="0"/>
        <w:keepLines w:val="0"/>
        <w:pageBreakBefore w:val="0"/>
        <w:widowControl/>
        <w:numPr>
          <w:ilvl w:val="0"/>
          <w:numId w:val="157"/>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eastAsia="zh-CN"/>
        </w:rPr>
        <w:t>机场</w:t>
      </w:r>
      <w:r>
        <w:rPr>
          <w:rFonts w:hint="eastAsia" w:ascii="宋体" w:hAnsi="宋体" w:eastAsia="宋体" w:cs="宋体"/>
          <w:color w:val="auto"/>
          <w:sz w:val="24"/>
          <w:szCs w:val="24"/>
          <w:highlight w:val="none"/>
          <w:u w:val="none"/>
          <w:lang w:eastAsia="zh-CN"/>
        </w:rPr>
        <w:t>工作区</w:t>
      </w:r>
      <w:r>
        <w:rPr>
          <w:rFonts w:hint="eastAsia" w:ascii="宋体" w:hAnsi="宋体" w:eastAsia="宋体" w:cs="宋体"/>
          <w:color w:val="auto"/>
          <w:kern w:val="0"/>
          <w:sz w:val="24"/>
          <w:szCs w:val="24"/>
          <w:highlight w:val="none"/>
          <w:u w:val="none"/>
          <w:lang w:eastAsia="zh-CN"/>
        </w:rPr>
        <w:t>岩土工程初步勘察工作</w:t>
      </w:r>
      <w:r>
        <w:rPr>
          <w:rFonts w:hint="eastAsia" w:ascii="宋体" w:hAnsi="宋体" w:eastAsia="宋体" w:cs="Times New Roman"/>
          <w:color w:val="auto"/>
          <w:sz w:val="24"/>
          <w:highlight w:val="none"/>
          <w:u w:val="none"/>
          <w:lang w:eastAsia="zh-CN"/>
        </w:rPr>
        <w:t>综合单价包括但不限于人工、勘察材料以及加工、技术工作收费以及办理工程勘察相关许可、购买有关资料、工程测量、水中作业平台、水上作业用船及水监、机械设备进退场和搬运费、施工操作平台搭设、技术报告费（包含但不限于专家交通费、住宿费、场地租用费、会议餐费、专家评审费等）、试验、安全技术、青苗补偿等勘察及管理费用、税金等全部费用。</w:t>
      </w:r>
      <w:r>
        <w:rPr>
          <w:rFonts w:hint="eastAsia" w:ascii="宋体" w:hAnsi="宋体" w:eastAsia="宋体" w:cs="仿宋_GB2312"/>
          <w:b w:val="0"/>
          <w:bCs w:val="0"/>
          <w:color w:val="auto"/>
          <w:sz w:val="24"/>
          <w:szCs w:val="24"/>
          <w:highlight w:val="none"/>
          <w:u w:val="none"/>
          <w:lang w:eastAsia="zh-CN"/>
        </w:rPr>
        <w:t>机场工作区岩土工程初步勘察工作部分</w:t>
      </w:r>
      <w:r>
        <w:rPr>
          <w:rFonts w:hint="eastAsia" w:ascii="宋体" w:hAnsi="宋体" w:eastAsia="宋体" w:cs="宋体"/>
          <w:color w:val="auto"/>
          <w:kern w:val="0"/>
          <w:sz w:val="24"/>
          <w:szCs w:val="24"/>
          <w:highlight w:val="none"/>
          <w:u w:val="none"/>
          <w:lang w:val="en-US" w:eastAsia="zh-CN" w:bidi="ar"/>
        </w:rPr>
        <w:t>钻孔</w:t>
      </w:r>
      <w:r>
        <w:rPr>
          <w:rFonts w:hint="eastAsia" w:ascii="宋体" w:hAnsi="宋体" w:eastAsia="宋体" w:cs="Times New Roman"/>
          <w:color w:val="auto"/>
          <w:sz w:val="24"/>
          <w:highlight w:val="none"/>
          <w:u w:val="none"/>
          <w:lang w:eastAsia="zh-CN"/>
        </w:rPr>
        <w:t>综合单价不因项目规模调整、国家政策调整、服务周期变化或法规、标准、土层岩层变化及市场因素等任何变化而进行调整。</w:t>
      </w:r>
    </w:p>
    <w:p>
      <w:pPr>
        <w:keepNext w:val="0"/>
        <w:keepLines w:val="0"/>
        <w:pageBreakBefore w:val="0"/>
        <w:widowControl/>
        <w:numPr>
          <w:ilvl w:val="0"/>
          <w:numId w:val="157"/>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highlight w:val="none"/>
        </w:rPr>
        <w:t>暂列金额以经发包人和监理工程师</w:t>
      </w:r>
      <w:r>
        <w:rPr>
          <w:rFonts w:hint="eastAsia" w:ascii="宋体" w:hAnsi="宋体" w:eastAsia="宋体" w:cs="宋体"/>
          <w:color w:val="auto"/>
          <w:kern w:val="0"/>
          <w:sz w:val="24"/>
          <w:highlight w:val="none"/>
          <w:lang w:eastAsia="zh-CN"/>
        </w:rPr>
        <w:t>双方</w:t>
      </w:r>
      <w:r>
        <w:rPr>
          <w:rFonts w:hint="eastAsia" w:ascii="宋体" w:hAnsi="宋体" w:eastAsia="宋体" w:cs="宋体"/>
          <w:color w:val="auto"/>
          <w:kern w:val="0"/>
          <w:sz w:val="24"/>
          <w:highlight w:val="none"/>
        </w:rPr>
        <w:t>确认现场签证</w:t>
      </w:r>
      <w:r>
        <w:rPr>
          <w:rFonts w:hint="eastAsia" w:ascii="宋体" w:hAnsi="宋体" w:eastAsia="宋体" w:cs="宋体"/>
          <w:color w:val="auto"/>
          <w:kern w:val="0"/>
          <w:sz w:val="24"/>
          <w:highlight w:val="none"/>
          <w:lang w:eastAsia="zh-CN"/>
        </w:rPr>
        <w:t>并按实际发生</w:t>
      </w:r>
      <w:r>
        <w:rPr>
          <w:rFonts w:hint="eastAsia" w:ascii="宋体" w:hAnsi="宋体" w:eastAsia="宋体" w:cs="宋体"/>
          <w:color w:val="auto"/>
          <w:kern w:val="0"/>
          <w:sz w:val="24"/>
          <w:highlight w:val="none"/>
        </w:rPr>
        <w:t>量进行结算</w:t>
      </w:r>
      <w:r>
        <w:rPr>
          <w:rFonts w:hint="eastAsia" w:ascii="宋体" w:hAnsi="宋体" w:eastAsia="宋体" w:cs="Times New Roman"/>
          <w:color w:val="auto"/>
          <w:sz w:val="24"/>
          <w:highlight w:val="none"/>
          <w:lang w:eastAsia="zh-CN"/>
        </w:rPr>
        <w:t>。</w:t>
      </w:r>
    </w:p>
    <w:p>
      <w:pPr>
        <w:keepNext w:val="0"/>
        <w:keepLines w:val="0"/>
        <w:pageBreakBefore w:val="0"/>
        <w:widowControl/>
        <w:numPr>
          <w:ilvl w:val="0"/>
          <w:numId w:val="157"/>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Times New Roman"/>
          <w:color w:val="auto"/>
          <w:sz w:val="24"/>
          <w:highlight w:val="none"/>
        </w:rPr>
        <w:t>最终结算金额不得超出合同金额</w:t>
      </w:r>
      <w:r>
        <w:rPr>
          <w:rFonts w:ascii="宋体" w:hAnsi="宋体" w:eastAsia="宋体" w:cs="Times New Roman"/>
          <w:color w:val="auto"/>
          <w:sz w:val="24"/>
          <w:highlight w:val="non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第8条 变更与调整</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8.1  变更范围与确认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变更范围的其他约定：</w:t>
      </w:r>
      <w:r>
        <w:rPr>
          <w:rFonts w:hint="eastAsia" w:ascii="宋体" w:hAnsi="宋体" w:eastAsia="宋体" w:cs="宋体"/>
          <w:color w:val="auto"/>
          <w:kern w:val="0"/>
          <w:sz w:val="24"/>
          <w:highlight w:val="none"/>
          <w:u w:val="single"/>
          <w:lang w:eastAsia="zh-CN"/>
        </w:rPr>
        <w:t>勘察过程中，承包人根据项目的工程条件（或工作现场地形地貌、地质和水文地质条件）、技术规范要求、设计方案及勘察范围，可向发包人提出增减工作量或修改勘察工作的意见，经发包人同意后办理正式变更手续。</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变更提出和确认期限的约定：</w:t>
      </w:r>
      <w:r>
        <w:rPr>
          <w:rFonts w:hint="eastAsia" w:ascii="宋体" w:hAnsi="宋体" w:eastAsia="宋体" w:cs="Times New Roman"/>
          <w:color w:val="auto"/>
          <w:sz w:val="24"/>
          <w:highlight w:val="none"/>
          <w:u w:val="single"/>
          <w:lang w:eastAsia="zh-CN"/>
        </w:rPr>
        <w:t>双方协商确认</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both"/>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8.2  变更合同价款确定</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提出变更合同价款报告期限的约定：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8.2.3 确认变更合同价款报告时限的约定：</w:t>
      </w:r>
      <w:r>
        <w:rPr>
          <w:rFonts w:hint="eastAsia" w:ascii="宋体" w:hAnsi="宋体" w:eastAsia="宋体" w:cs="Times New Roman"/>
          <w:color w:val="auto"/>
          <w:sz w:val="24"/>
          <w:highlight w:val="none"/>
          <w:u w:val="single"/>
        </w:rPr>
        <w:t>按通用条款规定执行</w:t>
      </w:r>
      <w:r>
        <w:rPr>
          <w:rFonts w:hint="eastAsia" w:ascii="宋体" w:hAnsi="宋体" w:eastAsia="宋体" w:cs="宋体"/>
          <w:color w:val="auto"/>
          <w:kern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第9条 知识产权</w:t>
      </w:r>
    </w:p>
    <w:p>
      <w:pPr>
        <w:tabs>
          <w:tab w:val="left" w:pos="1260"/>
        </w:tabs>
        <w:snapToGrid w:val="0"/>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9.1关于发包人提供给</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的图纸、发包人为实施工程自行编制或委托编制的反映发包人要求或其他类似性质的文件的著作权的归属：</w:t>
      </w:r>
      <w:r>
        <w:rPr>
          <w:rFonts w:hint="eastAsia" w:ascii="宋体" w:hAnsi="宋体" w:eastAsia="宋体" w:cs="宋体"/>
          <w:b w:val="0"/>
          <w:bCs w:val="0"/>
          <w:color w:val="auto"/>
          <w:sz w:val="24"/>
          <w:szCs w:val="24"/>
          <w:highlight w:val="none"/>
          <w:u w:val="single"/>
        </w:rPr>
        <w:t>归发包人所有，</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未经发包人同意不得引用、发表和向第三者提供，合同终止后，</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应无条件归还发包人。</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9.2</w:t>
      </w:r>
      <w:r>
        <w:rPr>
          <w:rFonts w:hint="eastAsia" w:ascii="宋体" w:hAnsi="宋体" w:eastAsia="宋体" w:cs="宋体"/>
          <w:b w:val="0"/>
          <w:bCs w:val="0"/>
          <w:color w:val="auto"/>
          <w:sz w:val="24"/>
          <w:szCs w:val="24"/>
          <w:highlight w:val="none"/>
        </w:rPr>
        <w:t>关于发包人提供的上述文件的使用限制的要求：</w:t>
      </w:r>
      <w:r>
        <w:rPr>
          <w:rFonts w:hint="eastAsia" w:ascii="宋体" w:hAnsi="宋体" w:eastAsia="宋体" w:cs="宋体"/>
          <w:b w:val="0"/>
          <w:bCs w:val="0"/>
          <w:color w:val="auto"/>
          <w:sz w:val="24"/>
          <w:szCs w:val="24"/>
          <w:highlight w:val="none"/>
          <w:u w:val="single"/>
        </w:rPr>
        <w:t>原则上仅限于本合同的</w:t>
      </w:r>
      <w:r>
        <w:rPr>
          <w:rFonts w:hint="eastAsia" w:ascii="宋体" w:hAnsi="宋体" w:eastAsia="宋体" w:cs="宋体"/>
          <w:b w:val="0"/>
          <w:bCs w:val="0"/>
          <w:color w:val="auto"/>
          <w:sz w:val="24"/>
          <w:szCs w:val="24"/>
          <w:highlight w:val="none"/>
          <w:u w:val="single"/>
          <w:lang w:eastAsia="zh-CN"/>
        </w:rPr>
        <w:t>勘察</w:t>
      </w:r>
      <w:r>
        <w:rPr>
          <w:rFonts w:hint="eastAsia" w:ascii="宋体" w:hAnsi="宋体" w:eastAsia="宋体" w:cs="宋体"/>
          <w:b w:val="0"/>
          <w:bCs w:val="0"/>
          <w:color w:val="auto"/>
          <w:sz w:val="24"/>
          <w:szCs w:val="24"/>
          <w:highlight w:val="none"/>
          <w:u w:val="single"/>
        </w:rPr>
        <w:t>工作，如特殊情况，</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应书面向发包人提出申请，经发包人同意后，按发包人要求执行。</w:t>
      </w:r>
    </w:p>
    <w:p>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9.</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sz w:val="24"/>
          <w:szCs w:val="24"/>
          <w:highlight w:val="none"/>
        </w:rPr>
        <w:t>为实施工程所编制文件的著作权的归属：</w:t>
      </w:r>
      <w:r>
        <w:rPr>
          <w:rFonts w:hint="eastAsia" w:ascii="宋体" w:hAnsi="宋体" w:eastAsia="宋体" w:cs="宋体"/>
          <w:b w:val="0"/>
          <w:bCs w:val="0"/>
          <w:color w:val="auto"/>
          <w:sz w:val="24"/>
          <w:szCs w:val="24"/>
          <w:highlight w:val="none"/>
          <w:u w:val="single"/>
        </w:rPr>
        <w:t>归发包人所有，发包人引用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。无论发生何种情形（包括但不限于合同提前终止或解除），发包人均有权利用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的阶段性工作成果，并且发包人引用</w:t>
      </w:r>
      <w:r>
        <w:rPr>
          <w:rFonts w:hint="eastAsia" w:ascii="宋体" w:hAnsi="宋体" w:eastAsia="宋体" w:cs="宋体"/>
          <w:b w:val="0"/>
          <w:bCs w:val="0"/>
          <w:color w:val="auto"/>
          <w:sz w:val="24"/>
          <w:szCs w:val="24"/>
          <w:highlight w:val="none"/>
          <w:u w:val="single"/>
          <w:lang w:eastAsia="zh-CN"/>
        </w:rPr>
        <w:t>承包人</w:t>
      </w:r>
      <w:r>
        <w:rPr>
          <w:rFonts w:hint="eastAsia" w:ascii="宋体" w:hAnsi="宋体" w:eastAsia="宋体" w:cs="宋体"/>
          <w:b w:val="0"/>
          <w:bCs w:val="0"/>
          <w:color w:val="auto"/>
          <w:sz w:val="24"/>
          <w:szCs w:val="24"/>
          <w:highlight w:val="none"/>
          <w:u w:val="single"/>
        </w:rPr>
        <w:t>的阶段性工作成果所完成的新的技术成果，属于发包人所有，发包人可依法享有就该项技术成果取得的</w:t>
      </w:r>
      <w:r>
        <w:rPr>
          <w:rFonts w:hint="eastAsia" w:ascii="宋体" w:hAnsi="宋体" w:eastAsia="宋体" w:cs="宋体"/>
          <w:b w:val="0"/>
          <w:bCs w:val="0"/>
          <w:color w:val="auto"/>
          <w:sz w:val="24"/>
          <w:szCs w:val="24"/>
          <w:highlight w:val="none"/>
          <w:u w:val="single"/>
          <w:lang w:eastAsia="zh-CN"/>
        </w:rPr>
        <w:t>所有权益</w:t>
      </w:r>
      <w:r>
        <w:rPr>
          <w:rFonts w:hint="eastAsia" w:ascii="宋体" w:hAnsi="宋体" w:eastAsia="宋体" w:cs="宋体"/>
          <w:b w:val="0"/>
          <w:bCs w:val="0"/>
          <w:color w:val="auto"/>
          <w:sz w:val="24"/>
          <w:szCs w:val="24"/>
          <w:highlight w:val="none"/>
          <w:u w:val="single"/>
        </w:rPr>
        <w:t>。</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9.4</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sz w:val="24"/>
          <w:szCs w:val="24"/>
          <w:highlight w:val="none"/>
          <w:lang w:eastAsia="zh-CN"/>
        </w:rPr>
        <w:t>承包人</w:t>
      </w:r>
      <w:r>
        <w:rPr>
          <w:rFonts w:hint="eastAsia" w:ascii="宋体" w:hAnsi="宋体" w:eastAsia="宋体" w:cs="宋体"/>
          <w:b w:val="0"/>
          <w:bCs w:val="0"/>
          <w:color w:val="auto"/>
          <w:sz w:val="24"/>
          <w:szCs w:val="24"/>
          <w:highlight w:val="none"/>
        </w:rPr>
        <w:t>提供的上述文件的使用限制的要求：</w:t>
      </w:r>
      <w:r>
        <w:rPr>
          <w:rFonts w:hint="eastAsia" w:ascii="宋体" w:hAnsi="宋体" w:eastAsia="宋体" w:cs="宋体"/>
          <w:b w:val="0"/>
          <w:bCs w:val="0"/>
          <w:color w:val="auto"/>
          <w:sz w:val="24"/>
          <w:szCs w:val="24"/>
          <w:highlight w:val="none"/>
          <w:u w:val="single"/>
        </w:rPr>
        <w:t>需征得发包人同意。</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9.5  </w:t>
      </w:r>
      <w:r>
        <w:rPr>
          <w:rFonts w:hint="eastAsia" w:ascii="宋体" w:hAnsi="宋体" w:eastAsia="宋体" w:cs="宋体"/>
          <w:b/>
          <w:bCs/>
          <w:color w:val="auto"/>
          <w:kern w:val="2"/>
          <w:sz w:val="24"/>
          <w:szCs w:val="24"/>
          <w:highlight w:val="none"/>
          <w:lang w:val="en-US" w:eastAsia="zh-CN" w:bidi="ar-SA"/>
        </w:rPr>
        <w:t>承包人在工作过程中所采用的专利、专有技术、技术秘密的使用费的承担方式：</w:t>
      </w:r>
      <w:r>
        <w:rPr>
          <w:rFonts w:hint="eastAsia" w:ascii="宋体" w:hAnsi="宋体" w:eastAsia="宋体" w:cs="宋体"/>
          <w:b w:val="0"/>
          <w:bCs/>
          <w:color w:val="auto"/>
          <w:kern w:val="2"/>
          <w:sz w:val="24"/>
          <w:szCs w:val="24"/>
          <w:highlight w:val="none"/>
          <w:u w:val="single"/>
          <w:lang w:val="en-US" w:eastAsia="zh-CN" w:bidi="ar-SA"/>
        </w:rPr>
        <w:t>按通用条款。</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第10条 不可抗力</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10.1 不可抗力的确认</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双方关于不可抗力的其他约定（如政府临时禁令）：</w:t>
      </w:r>
      <w:r>
        <w:rPr>
          <w:rFonts w:hint="eastAsia" w:ascii="宋体" w:hAnsi="宋体" w:eastAsia="宋体" w:cs="宋体"/>
          <w:color w:val="auto"/>
          <w:kern w:val="0"/>
          <w:sz w:val="24"/>
          <w:szCs w:val="24"/>
          <w:highlight w:val="none"/>
          <w:u w:val="single"/>
        </w:rPr>
        <w:t>如果发生了双方都无法控制的意外情况（如战争、自然灾荒等），致使本合同不能如期履行时，本合同应自动顺延履行，且双方不被视为违约，但双方应尽一切努力终止或减少上述因素的影响。上述因素一旦消失，双方应立即采取措施继续履行本合同，否则作违约论。</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2" w:firstLineChars="200"/>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10.2 不可抗力的通知</w:t>
      </w:r>
    </w:p>
    <w:p>
      <w:pPr>
        <w:adjustRightInd w:val="0"/>
        <w:snapToGrid w:val="0"/>
        <w:spacing w:line="360" w:lineRule="auto"/>
        <w:ind w:left="479" w:leftChars="22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不可抗力持续发生，</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报告受害损失期限的约定：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10.2.2 </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向发包人通报受害损失情况及费用期限的约定：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第13条 责任与保险</w:t>
      </w:r>
    </w:p>
    <w:p>
      <w:pPr>
        <w:tabs>
          <w:tab w:val="left" w:pos="1260"/>
        </w:tabs>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13.2 </w:t>
      </w:r>
      <w:r>
        <w:rPr>
          <w:rFonts w:hint="eastAsia" w:ascii="宋体" w:hAnsi="宋体" w:eastAsia="宋体" w:cs="宋体"/>
          <w:bCs/>
          <w:color w:val="auto"/>
          <w:kern w:val="0"/>
          <w:sz w:val="24"/>
          <w:szCs w:val="24"/>
          <w:highlight w:val="none"/>
        </w:rPr>
        <w:t>工程勘察责任保险的约定：</w:t>
      </w:r>
      <w:r>
        <w:rPr>
          <w:rFonts w:hint="eastAsia" w:ascii="宋体" w:hAnsi="宋体" w:eastAsia="宋体" w:cs="宋体"/>
          <w:color w:val="auto"/>
          <w:kern w:val="0"/>
          <w:sz w:val="24"/>
          <w:highlight w:val="none"/>
          <w:u w:val="single"/>
          <w:lang w:eastAsia="zh-CN"/>
        </w:rPr>
        <w:t>按通用条款</w:t>
      </w:r>
      <w:r>
        <w:rPr>
          <w:rFonts w:hint="eastAsia" w:ascii="宋体" w:hAnsi="宋体" w:eastAsia="宋体" w:cs="宋体"/>
          <w:color w:val="auto"/>
          <w:kern w:val="0"/>
          <w:sz w:val="24"/>
          <w:highlight w:val="none"/>
          <w:u w:val="single"/>
        </w:rPr>
        <w:t>。</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第14条 违约</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14.1 发包人违约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（1）发包人支付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的违约金：</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（2）发包人发生其他违约情形应承担的违约责任：</w:t>
      </w:r>
      <w:r>
        <w:rPr>
          <w:rFonts w:hint="eastAsia" w:ascii="宋体" w:hAnsi="宋体" w:eastAsia="宋体" w:cs="宋体"/>
          <w:color w:val="auto"/>
          <w:kern w:val="0"/>
          <w:sz w:val="24"/>
          <w:szCs w:val="24"/>
          <w:highlight w:val="none"/>
          <w:u w:val="single"/>
          <w:lang w:eastAsia="zh-CN"/>
        </w:rPr>
        <w:t>在合同履行期间，发包人要求终止或解除合同，承包人未开始勘察工作的，不退还发包人已付的预付款；已开始勘察工作的，发包人应根据承包人已进行的实际工作量协商结算费用。</w:t>
      </w:r>
    </w:p>
    <w:p>
      <w:pPr>
        <w:keepNext w:val="0"/>
        <w:keepLines w:val="0"/>
        <w:widowControl w:val="0"/>
        <w:snapToGrid w:val="0"/>
        <w:spacing w:line="360" w:lineRule="auto"/>
        <w:ind w:firstLine="482" w:firstLineChars="200"/>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14.2 承包人违约</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违约责任</w:t>
      </w:r>
    </w:p>
    <w:p>
      <w:pPr>
        <w:numPr>
          <w:ilvl w:val="0"/>
          <w:numId w:val="0"/>
        </w:num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支付发包人的违约金：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（1）勘察</w:t>
      </w:r>
      <w:r>
        <w:rPr>
          <w:rFonts w:hint="eastAsia" w:cs="宋体"/>
          <w:color w:val="auto"/>
          <w:spacing w:val="0"/>
          <w:w w:val="100"/>
          <w:kern w:val="0"/>
          <w:position w:val="0"/>
          <w:sz w:val="24"/>
          <w:szCs w:val="24"/>
          <w:highlight w:val="none"/>
          <w:u w:val="none"/>
          <w:lang w:val="en-US" w:eastAsia="zh-CN" w:bidi="ar-SA"/>
        </w:rPr>
        <w:t>人</w:t>
      </w:r>
      <w:r>
        <w:rPr>
          <w:rFonts w:hint="eastAsia" w:ascii="宋体" w:hAnsi="宋体" w:eastAsia="宋体" w:cs="宋体"/>
          <w:color w:val="auto"/>
          <w:spacing w:val="0"/>
          <w:w w:val="100"/>
          <w:kern w:val="0"/>
          <w:position w:val="0"/>
          <w:sz w:val="24"/>
          <w:szCs w:val="24"/>
          <w:highlight w:val="none"/>
          <w:u w:val="none"/>
          <w:lang w:val="en-US" w:eastAsia="zh-CN" w:bidi="ar-SA"/>
        </w:rPr>
        <w:t>将勘察任务转包，或者未经发包人书面同意私自分包的，发包人将有权选择解除合同或合同继续履行，合同继续履行的，发包人有权要求承包人按签约合同价5%支付违约金。合同解除的，承包人按签约合同价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2）承包人未按照国家、建设部及交通部等部门现行的强制性技术标准、规范和规程进行勘察,发包人有权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3）承包人未能按约定提交勘察成果的（发包人同意延长期限或非承包人原因造成逾期的除外），则每延误工期一天，扣罚承包人勘察费5000元违约金。延期超过30天时，发包人有权解除合同，合同解除的，承包人按签约合同价10%支付违约金，如违约金不足以弥补发包人损失的，承包人仍应赔偿发包人损失</w:t>
      </w:r>
      <w:r>
        <w:rPr>
          <w:rFonts w:hint="eastAsia" w:ascii="宋体" w:hAnsi="宋体" w:eastAsia="宋体" w:cs="宋体"/>
          <w:color w:val="auto"/>
          <w:kern w:val="0"/>
          <w:sz w:val="24"/>
          <w:szCs w:val="24"/>
          <w:highlight w:val="none"/>
          <w:u w:val="none"/>
          <w:lang w:val="en-US" w:eastAsia="zh-CN" w:bidi="ar-SA"/>
        </w:rPr>
        <w:t>。</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4）因勘察深度不够、资料不足以及勘察质量低劣而被要求返工从而造成质量问题的，除由承包人负责继续完善勘察外，发包人还可视造成的时间延误和费用损失，发包人有权要求承包人按签约合同价5%-10%支付违约金，如违约金不足以弥补发包人损失的，承包人仍应赔偿发包人损失。如经三次返工，承包人仍未能提供符合本合同约定的勘察成果，发包人有权解除合同并要求承包人按签约合同价5%-10%支付违约金，如违约金不足以弥补发包人损失的，承包人仍应赔偿发包人损失。</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（5）承包人若未及时选派合格的勘察代表参与现场勘察服务的，每延期15天（不足15天按15天计），发包人将按签约合同价总金额的5%计扣承包人的违约金。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（6）因勘察错误而造成一般质量事故的，承包人除应免收受损失部分的勘察费外，承包人还应无偿继续完善勘察工作，并承担相当于直接损失部分的赔偿金。</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r>
        <w:rPr>
          <w:rFonts w:hint="eastAsia" w:ascii="宋体" w:hAnsi="宋体" w:eastAsia="宋体" w:cs="宋体"/>
          <w:color w:val="auto"/>
          <w:spacing w:val="0"/>
          <w:w w:val="100"/>
          <w:kern w:val="0"/>
          <w:position w:val="0"/>
          <w:sz w:val="24"/>
          <w:szCs w:val="24"/>
          <w:highlight w:val="none"/>
          <w:u w:val="none"/>
          <w:lang w:val="en-US" w:eastAsia="zh-CN" w:bidi="ar-SA"/>
        </w:rPr>
        <w:t>（7）因勘察错误而造成重大质量事故的，除执行14.2.2（6）的规定外，还应赔</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偿由此造成的直接和间接损失，同时发包人有权报请有关主管部门视事故造成的损失情况给予其他处罚。</w:t>
      </w:r>
    </w:p>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17"/>
        <w:textAlignment w:val="auto"/>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数据做假，导致</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结果不真实，</w:t>
      </w:r>
      <w:r>
        <w:rPr>
          <w:rFonts w:hint="eastAsia" w:ascii="宋体" w:hAnsi="宋体" w:eastAsia="宋体" w:cs="宋体"/>
          <w:color w:val="auto"/>
          <w:sz w:val="24"/>
          <w:highlight w:val="none"/>
          <w:lang w:val="en-US" w:eastAsia="zh-CN"/>
        </w:rPr>
        <w:t>发包人将上报主管单位，并</w:t>
      </w:r>
      <w:r>
        <w:rPr>
          <w:rFonts w:hint="eastAsia" w:ascii="宋体" w:hAnsi="宋体" w:eastAsia="宋体" w:cs="宋体"/>
          <w:color w:val="auto"/>
          <w:sz w:val="24"/>
          <w:highlight w:val="none"/>
        </w:rPr>
        <w:t>处</w:t>
      </w:r>
      <w:r>
        <w:rPr>
          <w:rFonts w:hint="eastAsia" w:ascii="宋体" w:hAnsi="宋体" w:eastAsia="宋体" w:cs="宋体"/>
          <w:color w:val="auto"/>
          <w:sz w:val="24"/>
          <w:highlight w:val="none"/>
          <w:lang w:eastAsia="zh-CN"/>
        </w:rPr>
        <w:t>签约合同价</w:t>
      </w:r>
      <w:r>
        <w:rPr>
          <w:rFonts w:hint="eastAsia" w:ascii="宋体" w:hAnsi="宋体" w:eastAsia="宋体" w:cs="宋体"/>
          <w:color w:val="auto"/>
          <w:sz w:val="24"/>
          <w:highlight w:val="none"/>
        </w:rPr>
        <w:t>的10%的违约金，</w:t>
      </w:r>
      <w:r>
        <w:rPr>
          <w:rFonts w:hint="eastAsia" w:ascii="宋体" w:hAnsi="宋体" w:eastAsia="宋体" w:cs="宋体"/>
          <w:color w:val="auto"/>
          <w:sz w:val="24"/>
          <w:highlight w:val="none"/>
          <w:lang w:eastAsia="zh-CN"/>
        </w:rPr>
        <w:t>发包人</w:t>
      </w:r>
      <w:r>
        <w:rPr>
          <w:rFonts w:hint="eastAsia" w:ascii="宋体" w:hAnsi="宋体" w:eastAsia="宋体" w:cs="宋体"/>
          <w:color w:val="auto"/>
          <w:sz w:val="24"/>
          <w:highlight w:val="none"/>
        </w:rPr>
        <w:t>终止或解除合同，清退并通报检测单位。</w:t>
      </w:r>
    </w:p>
    <w:p>
      <w:pPr>
        <w:pStyle w:val="50"/>
        <w:keepNext w:val="0"/>
        <w:keepLines w:val="0"/>
        <w:pageBreakBefore w:val="0"/>
        <w:widowControl w:val="0"/>
        <w:shd w:val="clear" w:color="auto" w:fill="auto"/>
        <w:tabs>
          <w:tab w:val="left" w:pos="0"/>
        </w:tabs>
        <w:kinsoku/>
        <w:wordWrap/>
        <w:overflowPunct/>
        <w:topLinePunct w:val="0"/>
        <w:autoSpaceDE/>
        <w:autoSpaceDN/>
        <w:bidi w:val="0"/>
        <w:spacing w:after="0" w:afterLines="0" w:line="360" w:lineRule="auto"/>
        <w:ind w:left="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ar-SA"/>
        </w:rPr>
        <w:t>（9）所有违约金、赔偿金在承包人勘察费中扣除，无法扣除或无法足额扣除的，发包人有权随时要求承包人进行赔偿。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事故或其他事故时的赔偿金上限：</w:t>
      </w:r>
      <w:r>
        <w:rPr>
          <w:rFonts w:hint="eastAsia" w:ascii="宋体" w:hAnsi="宋体" w:eastAsia="宋体" w:cs="宋体"/>
          <w:color w:val="auto"/>
          <w:kern w:val="0"/>
          <w:sz w:val="24"/>
          <w:szCs w:val="24"/>
          <w:highlight w:val="none"/>
          <w:u w:val="single"/>
          <w:lang w:eastAsia="zh-CN"/>
        </w:rPr>
        <w:t>签约合同价的</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发生其他违约情形应承担的违约责任：</w:t>
      </w:r>
      <w:r>
        <w:rPr>
          <w:rFonts w:hint="eastAsia" w:ascii="宋体" w:hAnsi="宋体" w:eastAsia="宋体" w:cs="宋体"/>
          <w:color w:val="auto"/>
          <w:kern w:val="0"/>
          <w:sz w:val="24"/>
          <w:szCs w:val="24"/>
          <w:highlight w:val="none"/>
          <w:lang w:eastAsia="zh-CN"/>
        </w:rPr>
        <w:t>承包人发生其他违约情形应承担的违约责任:按通用合同条款及工程所在地的地方性法规、自治条例、单行条例和地方政府规章等执行。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未按合同约定提供组织保证方面服务，影响履行职责的，发包人有权要求</w:t>
      </w:r>
      <w:r>
        <w:rPr>
          <w:rFonts w:hint="eastAsia" w:ascii="宋体" w:hAnsi="宋体" w:eastAsia="宋体" w:cs="宋体"/>
          <w:snapToGrid w:val="0"/>
          <w:color w:val="auto"/>
          <w:sz w:val="24"/>
          <w:szCs w:val="24"/>
          <w:highlight w:val="none"/>
          <w:lang w:eastAsia="zh-CN"/>
        </w:rPr>
        <w:t>承包人</w:t>
      </w:r>
      <w:r>
        <w:rPr>
          <w:rFonts w:hint="eastAsia" w:ascii="宋体" w:hAnsi="宋体" w:eastAsia="宋体" w:cs="宋体"/>
          <w:snapToGrid w:val="0"/>
          <w:color w:val="auto"/>
          <w:sz w:val="24"/>
          <w:szCs w:val="24"/>
          <w:highlight w:val="none"/>
        </w:rPr>
        <w:t>履行职责，或给予批评、警告、扣除</w:t>
      </w:r>
      <w:r>
        <w:rPr>
          <w:rFonts w:hint="eastAsia" w:ascii="宋体" w:hAnsi="宋体" w:eastAsia="宋体" w:cs="宋体"/>
          <w:snapToGrid w:val="0"/>
          <w:color w:val="auto"/>
          <w:sz w:val="24"/>
          <w:szCs w:val="24"/>
          <w:highlight w:val="none"/>
          <w:lang w:eastAsia="zh-CN"/>
        </w:rPr>
        <w:t>承包人勘察费</w:t>
      </w:r>
      <w:r>
        <w:rPr>
          <w:rFonts w:hint="eastAsia" w:ascii="宋体" w:hAnsi="宋体" w:eastAsia="宋体" w:cs="宋体"/>
          <w:snapToGrid w:val="0"/>
          <w:color w:val="auto"/>
          <w:sz w:val="24"/>
          <w:szCs w:val="24"/>
          <w:highlight w:val="none"/>
        </w:rPr>
        <w:t>、撤换人员的处罚，直至解除与责任单位的合同关系。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第15条 索赔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15.1 发包人索赔</w:t>
      </w:r>
    </w:p>
    <w:p>
      <w:pPr>
        <w:keepNext w:val="0"/>
        <w:keepLines w:val="0"/>
        <w:pageBreakBefore w:val="0"/>
        <w:widowControl w:val="0"/>
        <w:tabs>
          <w:tab w:val="left" w:pos="1260"/>
        </w:tabs>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15.2 </w:t>
      </w:r>
      <w:r>
        <w:rPr>
          <w:rFonts w:hint="eastAsia" w:ascii="宋体" w:hAnsi="Times New Roman" w:eastAsia="宋体" w:cs="宋体"/>
          <w:b/>
          <w:bCs/>
          <w:color w:val="auto"/>
          <w:kern w:val="0"/>
          <w:sz w:val="24"/>
          <w:szCs w:val="24"/>
          <w:highlight w:val="none"/>
          <w:lang w:val="en-US" w:eastAsia="zh-CN" w:bidi="ar-SA"/>
        </w:rPr>
        <w:t>承包人</w:t>
      </w:r>
      <w:r>
        <w:rPr>
          <w:rFonts w:hint="eastAsia" w:ascii="宋体" w:hAnsi="宋体" w:eastAsia="宋体" w:cs="宋体"/>
          <w:b/>
          <w:bCs/>
          <w:color w:val="auto"/>
          <w:kern w:val="0"/>
          <w:sz w:val="24"/>
          <w:szCs w:val="24"/>
          <w:highlight w:val="none"/>
          <w:lang w:val="en-US" w:eastAsia="zh-CN" w:bidi="ar-SA"/>
        </w:rPr>
        <w:t>索赔</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Times New Roman"/>
          <w:color w:val="auto"/>
          <w:sz w:val="24"/>
          <w:highlight w:val="none"/>
          <w:u w:val="single"/>
          <w:lang w:eastAsia="zh-CN"/>
        </w:rPr>
        <w:t>按通用条款</w:t>
      </w:r>
      <w:r>
        <w:rPr>
          <w:rFonts w:hint="eastAsia" w:ascii="宋体" w:hAnsi="宋体" w:eastAsia="宋体" w:cs="Times New Roman"/>
          <w:color w:val="auto"/>
          <w:sz w:val="24"/>
          <w:highlight w:val="none"/>
          <w:u w:val="single"/>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第16条 争议解决</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both"/>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16.3 仲裁或诉讼</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双方约定在履行合同过程中产生争议时，采取下列第</w:t>
      </w:r>
      <w:r>
        <w:rPr>
          <w:rFonts w:hint="eastAsia" w:ascii="宋体" w:hAnsi="宋体" w:eastAsia="宋体" w:cs="Times New Roman"/>
          <w:color w:val="auto"/>
          <w:sz w:val="24"/>
          <w:szCs w:val="24"/>
          <w:highlight w:val="none"/>
          <w:u w:val="single"/>
        </w:rPr>
        <w:t>（2）</w:t>
      </w:r>
      <w:r>
        <w:rPr>
          <w:rFonts w:hint="eastAsia" w:ascii="宋体" w:hAnsi="宋体" w:eastAsia="宋体" w:cs="宋体"/>
          <w:color w:val="auto"/>
          <w:kern w:val="0"/>
          <w:sz w:val="24"/>
          <w:szCs w:val="24"/>
          <w:highlight w:val="none"/>
        </w:rPr>
        <w:t>种方式解决：</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Times New Roman"/>
          <w:color w:val="auto"/>
          <w:sz w:val="24"/>
          <w:szCs w:val="24"/>
          <w:highlight w:val="none"/>
          <w:u w:val="single"/>
        </w:rPr>
        <w:t>项目所在地</w:t>
      </w:r>
      <w:r>
        <w:rPr>
          <w:rFonts w:hint="eastAsia" w:ascii="宋体" w:hAnsi="宋体" w:eastAsia="宋体" w:cs="宋体"/>
          <w:color w:val="auto"/>
          <w:kern w:val="0"/>
          <w:sz w:val="24"/>
          <w:szCs w:val="24"/>
          <w:highlight w:val="none"/>
        </w:rPr>
        <w:t>人民法院提起诉讼。</w:t>
      </w:r>
    </w:p>
    <w:p>
      <w:pPr>
        <w:keepNext w:val="0"/>
        <w:keepLines w:val="0"/>
        <w:widowControl w:val="0"/>
        <w:snapToGrid w:val="0"/>
        <w:spacing w:line="360" w:lineRule="auto"/>
        <w:ind w:firstLine="482"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第17条 补充条款</w:t>
      </w:r>
    </w:p>
    <w:p>
      <w:pPr>
        <w:tabs>
          <w:tab w:val="left" w:pos="1260"/>
        </w:tabs>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双方根据有关法律法规规定，结合实际经协商一致，补充约定如下：</w:t>
      </w:r>
    </w:p>
    <w:p>
      <w:pPr>
        <w:adjustRightInd w:val="0"/>
        <w:snapToGrid w:val="0"/>
        <w:spacing w:line="360" w:lineRule="auto"/>
        <w:ind w:firstLine="420" w:firstLineChars="175"/>
        <w:rPr>
          <w:rFonts w:ascii="宋体" w:hAnsi="Times New Roman" w:eastAsia="宋体" w:cs="宋体"/>
          <w:color w:val="auto"/>
          <w:kern w:val="0"/>
          <w:sz w:val="24"/>
          <w:szCs w:val="24"/>
          <w:highlight w:val="none"/>
        </w:rPr>
      </w:pPr>
      <w:r>
        <w:rPr>
          <w:rFonts w:ascii="宋体" w:hAnsi="Times New Roman" w:eastAsia="宋体" w:cs="宋体"/>
          <w:color w:val="auto"/>
          <w:kern w:val="0"/>
          <w:sz w:val="24"/>
          <w:szCs w:val="24"/>
          <w:highlight w:val="none"/>
        </w:rPr>
        <w:t>1</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对本合同未尽事宜，本着以工程利益为重的原则，友好协商解决，由当事人及时协</w:t>
      </w:r>
      <w:r>
        <w:rPr>
          <w:rFonts w:hint="eastAsia" w:ascii="宋体" w:hAnsi="Times New Roman" w:eastAsia="宋体" w:cs="宋体"/>
          <w:color w:val="auto"/>
          <w:kern w:val="0"/>
          <w:sz w:val="24"/>
          <w:szCs w:val="24"/>
          <w:highlight w:val="none"/>
        </w:rPr>
        <w:t>商签署补充协议。合同双方签署的有关协议、技术讨论纪要等文件均为本合同的组成部分，与本合同具有同等效力。</w:t>
      </w:r>
    </w:p>
    <w:p>
      <w:pPr>
        <w:adjustRightInd w:val="0"/>
        <w:snapToGrid w:val="0"/>
        <w:spacing w:line="360" w:lineRule="auto"/>
        <w:ind w:firstLine="420" w:firstLineChars="175"/>
        <w:rPr>
          <w:rFonts w:ascii="宋体" w:hAnsi="Times New Roman" w:eastAsia="宋体" w:cs="宋体"/>
          <w:color w:val="auto"/>
          <w:kern w:val="0"/>
          <w:sz w:val="30"/>
          <w:szCs w:val="30"/>
          <w:highlight w:val="none"/>
        </w:rPr>
      </w:pPr>
      <w:r>
        <w:rPr>
          <w:rFonts w:hint="eastAsia"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lang w:eastAsia="zh-CN"/>
        </w:rPr>
        <w:t>、</w:t>
      </w:r>
      <w:r>
        <w:rPr>
          <w:rFonts w:ascii="宋体" w:hAnsi="Times New Roman" w:eastAsia="宋体" w:cs="宋体"/>
          <w:color w:val="auto"/>
          <w:kern w:val="0"/>
          <w:sz w:val="24"/>
          <w:szCs w:val="24"/>
          <w:highlight w:val="none"/>
        </w:rPr>
        <w:t>在本合同执行过程中若发生分歧或争议，按合同约定及《中华人民共和国</w:t>
      </w:r>
      <w:r>
        <w:rPr>
          <w:rFonts w:hint="eastAsia" w:ascii="宋体" w:hAnsi="Times New Roman" w:eastAsia="宋体" w:cs="宋体"/>
          <w:color w:val="auto"/>
          <w:kern w:val="0"/>
          <w:sz w:val="24"/>
          <w:szCs w:val="24"/>
          <w:highlight w:val="none"/>
          <w:lang w:eastAsia="zh-CN"/>
        </w:rPr>
        <w:t>民法典</w:t>
      </w:r>
      <w:r>
        <w:rPr>
          <w:rFonts w:ascii="宋体" w:hAnsi="Times New Roman" w:eastAsia="宋体" w:cs="宋体"/>
          <w:color w:val="auto"/>
          <w:kern w:val="0"/>
          <w:sz w:val="24"/>
          <w:szCs w:val="24"/>
          <w:highlight w:val="none"/>
        </w:rPr>
        <w:t>》、《建设工程勘察设计合同条例》的有关规定通过协商及时解决；如果协商不成，可以向</w:t>
      </w:r>
      <w:r>
        <w:rPr>
          <w:rFonts w:hint="eastAsia" w:ascii="宋体" w:hAnsi="Times New Roman" w:eastAsia="宋体" w:cs="宋体"/>
          <w:color w:val="auto"/>
          <w:kern w:val="0"/>
          <w:sz w:val="24"/>
          <w:szCs w:val="24"/>
          <w:highlight w:val="none"/>
          <w:lang w:eastAsia="zh-CN"/>
        </w:rPr>
        <w:t>工程</w:t>
      </w:r>
      <w:r>
        <w:rPr>
          <w:rFonts w:ascii="宋体" w:hAnsi="Times New Roman" w:eastAsia="宋体" w:cs="宋体"/>
          <w:color w:val="auto"/>
          <w:kern w:val="0"/>
          <w:sz w:val="24"/>
          <w:szCs w:val="24"/>
          <w:highlight w:val="none"/>
        </w:rPr>
        <w:t>所在地法院起诉</w:t>
      </w:r>
      <w:r>
        <w:rPr>
          <w:rFonts w:hint="eastAsia" w:ascii="宋体" w:hAnsi="Times New Roman"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kern w:val="0"/>
          <w:sz w:val="28"/>
          <w:szCs w:val="28"/>
          <w:highlight w:val="none"/>
        </w:rPr>
        <w:sectPr>
          <w:pgSz w:w="11906" w:h="16838"/>
          <w:pgMar w:top="1440" w:right="1797" w:bottom="1440" w:left="1797"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（以下附件适用于各包组合同）</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附件A  勘察任务书及技术要求</w:t>
      </w:r>
      <w:bookmarkEnd w:id="285"/>
      <w:bookmarkEnd w:id="286"/>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eastAsia" w:ascii="宋体" w:hAnsi="宋体" w:eastAsia="宋体" w:cs="宋体"/>
          <w:color w:val="auto"/>
          <w:kern w:val="0"/>
          <w:sz w:val="28"/>
          <w:szCs w:val="28"/>
          <w:highlight w:val="none"/>
        </w:rPr>
      </w:pPr>
      <w:bookmarkStart w:id="498" w:name="_Toc406150514"/>
      <w:bookmarkStart w:id="499" w:name="_Toc457826252"/>
      <w:bookmarkStart w:id="500" w:name="_Toc12037"/>
      <w:r>
        <w:rPr>
          <w:rFonts w:hint="eastAsia" w:ascii="宋体" w:hAnsi="宋体" w:eastAsia="宋体" w:cs="宋体"/>
          <w:color w:val="auto"/>
          <w:kern w:val="0"/>
          <w:sz w:val="28"/>
          <w:szCs w:val="28"/>
          <w:highlight w:val="none"/>
        </w:rPr>
        <w:t>附件B  发包人向</w:t>
      </w:r>
      <w:r>
        <w:rPr>
          <w:rFonts w:hint="eastAsia" w:ascii="宋体" w:hAnsi="宋体" w:eastAsia="宋体" w:cs="宋体"/>
          <w:color w:val="auto"/>
          <w:kern w:val="0"/>
          <w:sz w:val="28"/>
          <w:szCs w:val="28"/>
          <w:highlight w:val="none"/>
          <w:lang w:eastAsia="zh-CN"/>
        </w:rPr>
        <w:t>承包人</w:t>
      </w:r>
      <w:r>
        <w:rPr>
          <w:rFonts w:hint="eastAsia" w:ascii="宋体" w:hAnsi="宋体" w:eastAsia="宋体" w:cs="宋体"/>
          <w:color w:val="auto"/>
          <w:kern w:val="0"/>
          <w:sz w:val="28"/>
          <w:szCs w:val="28"/>
          <w:highlight w:val="none"/>
        </w:rPr>
        <w:t>提交有关资料及文件一览表</w:t>
      </w:r>
      <w:bookmarkEnd w:id="287"/>
      <w:bookmarkEnd w:id="498"/>
      <w:bookmarkEnd w:id="499"/>
      <w:bookmarkEnd w:id="500"/>
      <w:bookmarkStart w:id="501" w:name="_Toc406150515"/>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eastAsia" w:ascii="宋体" w:hAnsi="宋体" w:eastAsia="宋体" w:cs="宋体"/>
          <w:color w:val="auto"/>
          <w:kern w:val="0"/>
          <w:sz w:val="28"/>
          <w:szCs w:val="28"/>
          <w:highlight w:val="none"/>
        </w:rPr>
      </w:pPr>
      <w:bookmarkStart w:id="502" w:name="_Toc4530"/>
      <w:bookmarkStart w:id="503" w:name="_Toc457826253"/>
      <w:r>
        <w:rPr>
          <w:rFonts w:hint="eastAsia" w:ascii="宋体" w:hAnsi="宋体" w:eastAsia="宋体" w:cs="宋体"/>
          <w:color w:val="auto"/>
          <w:kern w:val="0"/>
          <w:sz w:val="28"/>
          <w:szCs w:val="28"/>
          <w:highlight w:val="none"/>
        </w:rPr>
        <w:t>附件C  进度计划</w:t>
      </w:r>
      <w:bookmarkEnd w:id="501"/>
      <w:bookmarkEnd w:id="502"/>
      <w:bookmarkEnd w:id="503"/>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eastAsia" w:ascii="宋体" w:hAnsi="宋体" w:eastAsia="宋体" w:cs="宋体"/>
          <w:color w:val="auto"/>
          <w:kern w:val="0"/>
          <w:sz w:val="28"/>
          <w:szCs w:val="28"/>
          <w:highlight w:val="none"/>
        </w:rPr>
      </w:pPr>
      <w:bookmarkStart w:id="504" w:name="_Toc406150516"/>
      <w:bookmarkStart w:id="505" w:name="_Toc23500"/>
      <w:bookmarkStart w:id="506" w:name="_Toc457826254"/>
      <w:r>
        <w:rPr>
          <w:rFonts w:hint="eastAsia" w:ascii="宋体" w:hAnsi="宋体" w:eastAsia="宋体" w:cs="宋体"/>
          <w:color w:val="auto"/>
          <w:kern w:val="0"/>
          <w:sz w:val="28"/>
          <w:szCs w:val="28"/>
          <w:highlight w:val="none"/>
        </w:rPr>
        <w:t>附件D  工作量和费用明细表</w:t>
      </w:r>
      <w:bookmarkEnd w:id="504"/>
      <w:bookmarkEnd w:id="505"/>
      <w:bookmarkEnd w:id="506"/>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eastAsia" w:ascii="宋体" w:hAnsi="宋体" w:eastAsia="宋体" w:cs="宋体"/>
          <w:color w:val="auto"/>
          <w:kern w:val="0"/>
          <w:sz w:val="28"/>
          <w:szCs w:val="28"/>
          <w:highlight w:val="none"/>
          <w:lang w:val="en-US" w:eastAsia="zh-CN"/>
        </w:rPr>
      </w:pPr>
      <w:bookmarkStart w:id="507" w:name="_Toc22732"/>
      <w:r>
        <w:rPr>
          <w:rFonts w:hint="eastAsia" w:ascii="宋体" w:hAnsi="宋体" w:eastAsia="宋体" w:cs="宋体"/>
          <w:color w:val="auto"/>
          <w:kern w:val="0"/>
          <w:sz w:val="28"/>
          <w:szCs w:val="28"/>
          <w:highlight w:val="none"/>
          <w:lang w:eastAsia="zh-CN"/>
        </w:rPr>
        <w:t>附件</w:t>
      </w:r>
      <w:r>
        <w:rPr>
          <w:rFonts w:hint="eastAsia" w:ascii="宋体" w:hAnsi="宋体" w:eastAsia="宋体" w:cs="宋体"/>
          <w:color w:val="auto"/>
          <w:kern w:val="0"/>
          <w:sz w:val="28"/>
          <w:szCs w:val="28"/>
          <w:highlight w:val="none"/>
          <w:lang w:val="en-US" w:eastAsia="zh-CN"/>
        </w:rPr>
        <w:t>E  廉政合同</w:t>
      </w:r>
      <w:bookmarkEnd w:id="507"/>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eastAsia" w:ascii="宋体" w:hAnsi="宋体" w:eastAsia="宋体" w:cs="宋体"/>
          <w:color w:val="auto"/>
          <w:kern w:val="0"/>
          <w:sz w:val="28"/>
          <w:szCs w:val="28"/>
          <w:highlight w:val="none"/>
          <w:lang w:val="en-US" w:eastAsia="zh-CN"/>
        </w:rPr>
      </w:pPr>
      <w:bookmarkStart w:id="508" w:name="_Toc31443"/>
      <w:r>
        <w:rPr>
          <w:rFonts w:hint="eastAsia" w:ascii="宋体" w:hAnsi="宋体" w:eastAsia="宋体" w:cs="宋体"/>
          <w:color w:val="auto"/>
          <w:kern w:val="0"/>
          <w:sz w:val="28"/>
          <w:szCs w:val="28"/>
          <w:highlight w:val="none"/>
          <w:lang w:val="en-US" w:eastAsia="zh-CN"/>
        </w:rPr>
        <w:t>附件F 安全生产管理责任书</w:t>
      </w:r>
      <w:bookmarkEnd w:id="508"/>
    </w:p>
    <w:p>
      <w:pPr>
        <w:pStyle w:val="3"/>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Chars="0"/>
        <w:jc w:val="left"/>
        <w:textAlignment w:val="auto"/>
        <w:rPr>
          <w:rFonts w:hint="default" w:ascii="宋体" w:hAnsi="宋体" w:eastAsia="宋体" w:cs="宋体"/>
          <w:color w:val="auto"/>
          <w:kern w:val="0"/>
          <w:sz w:val="28"/>
          <w:szCs w:val="28"/>
          <w:highlight w:val="none"/>
          <w:lang w:val="en-US" w:eastAsia="zh-CN"/>
        </w:rPr>
      </w:pPr>
      <w:bookmarkStart w:id="509" w:name="_Toc2267"/>
      <w:r>
        <w:rPr>
          <w:rFonts w:hint="eastAsia" w:ascii="宋体" w:hAnsi="宋体" w:eastAsia="宋体" w:cs="宋体"/>
          <w:color w:val="auto"/>
          <w:kern w:val="0"/>
          <w:sz w:val="28"/>
          <w:szCs w:val="28"/>
          <w:highlight w:val="none"/>
          <w:lang w:val="en-US" w:eastAsia="zh-CN"/>
        </w:rPr>
        <w:t>附件G 保密协议</w:t>
      </w:r>
      <w:bookmarkEnd w:id="509"/>
    </w:p>
    <w:p>
      <w:pPr>
        <w:rPr>
          <w:rFonts w:hint="eastAsia" w:ascii="宋体" w:hAnsi="宋体"/>
          <w:color w:val="auto"/>
          <w:kern w:val="0"/>
          <w:sz w:val="28"/>
          <w:szCs w:val="28"/>
          <w:highlight w:val="none"/>
        </w:rPr>
      </w:pPr>
    </w:p>
    <w:p>
      <w:pPr>
        <w:widowControl/>
        <w:adjustRightInd w:val="0"/>
        <w:jc w:val="left"/>
        <w:textAlignment w:val="bottom"/>
        <w:rPr>
          <w:rFonts w:hint="eastAsia" w:ascii="宋体" w:hAnsi="宋体" w:eastAsia="宋体" w:cs="宋体"/>
          <w:bCs/>
          <w:color w:val="auto"/>
          <w:sz w:val="28"/>
          <w:szCs w:val="28"/>
          <w:highlight w:val="none"/>
        </w:rPr>
      </w:pPr>
      <w:bookmarkStart w:id="510" w:name="_Toc2711252"/>
      <w:r>
        <w:rPr>
          <w:rFonts w:ascii="黑体" w:eastAsia="黑体"/>
          <w:bCs/>
          <w:color w:val="auto"/>
          <w:sz w:val="28"/>
          <w:szCs w:val="28"/>
          <w:highlight w:val="none"/>
        </w:rPr>
        <w:br w:type="page"/>
      </w:r>
      <w:r>
        <w:rPr>
          <w:rFonts w:hint="eastAsia" w:ascii="宋体" w:hAnsi="宋体" w:eastAsia="宋体" w:cs="宋体"/>
          <w:color w:val="auto"/>
          <w:kern w:val="0"/>
          <w:sz w:val="28"/>
          <w:szCs w:val="28"/>
          <w:highlight w:val="none"/>
        </w:rPr>
        <w:t>附件</w:t>
      </w:r>
      <w:r>
        <w:rPr>
          <w:rFonts w:hint="eastAsia" w:ascii="宋体" w:hAnsi="宋体" w:eastAsia="宋体" w:cs="宋体"/>
          <w:color w:val="auto"/>
          <w:kern w:val="0"/>
          <w:sz w:val="28"/>
          <w:szCs w:val="28"/>
          <w:highlight w:val="none"/>
          <w:lang w:val="en-US" w:eastAsia="zh-CN"/>
        </w:rPr>
        <w:t>E</w:t>
      </w:r>
      <w:r>
        <w:rPr>
          <w:rFonts w:hint="eastAsia" w:ascii="宋体" w:hAnsi="宋体" w:eastAsia="宋体" w:cs="宋体"/>
          <w:bCs/>
          <w:color w:val="auto"/>
          <w:sz w:val="28"/>
          <w:szCs w:val="28"/>
          <w:highlight w:val="none"/>
        </w:rPr>
        <w:t xml:space="preserve"> </w:t>
      </w:r>
    </w:p>
    <w:p>
      <w:pPr>
        <w:widowControl/>
        <w:adjustRightInd w:val="0"/>
        <w:jc w:val="center"/>
        <w:textAlignment w:val="bottom"/>
        <w:rPr>
          <w:rFonts w:hint="eastAsia" w:ascii="宋体" w:hAnsi="宋体" w:eastAsia="宋体" w:cs="宋体"/>
          <w:color w:val="auto"/>
          <w:highlight w:val="none"/>
        </w:rPr>
      </w:pPr>
      <w:r>
        <w:rPr>
          <w:rFonts w:hint="eastAsia" w:ascii="宋体" w:hAnsi="宋体" w:eastAsia="宋体" w:cs="宋体"/>
          <w:bCs/>
          <w:color w:val="auto"/>
          <w:sz w:val="28"/>
          <w:szCs w:val="28"/>
          <w:highlight w:val="none"/>
        </w:rPr>
        <w:t>廉政合同</w:t>
      </w:r>
      <w:bookmarkEnd w:id="510"/>
    </w:p>
    <w:p>
      <w:pPr>
        <w:widowControl/>
        <w:adjustRightInd w:val="0"/>
        <w:jc w:val="center"/>
        <w:textAlignment w:val="bottom"/>
        <w:rPr>
          <w:rFonts w:hint="eastAsia" w:ascii="宋体" w:hAnsi="宋体" w:eastAsia="宋体" w:cs="宋体"/>
          <w:color w:val="auto"/>
          <w:highlight w:val="none"/>
        </w:rPr>
      </w:pP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w:t>
      </w:r>
      <w:r>
        <w:rPr>
          <w:rFonts w:hint="eastAsia" w:ascii="宋体" w:hAnsi="宋体" w:eastAsia="宋体" w:cs="宋体"/>
          <w:color w:val="auto"/>
          <w:sz w:val="24"/>
          <w:szCs w:val="24"/>
          <w:highlight w:val="none"/>
          <w:u w:val="single"/>
        </w:rPr>
        <w:t xml:space="preserve"> (项目名称)   的</w:t>
      </w:r>
      <w:r>
        <w:rPr>
          <w:rFonts w:hint="eastAsia" w:ascii="宋体" w:hAnsi="宋体" w:eastAsia="宋体" w:cs="宋体"/>
          <w:color w:val="auto"/>
          <w:sz w:val="24"/>
          <w:szCs w:val="24"/>
          <w:highlight w:val="none"/>
        </w:rPr>
        <w:t>廉政建设，保证工程建设高效优，保证建设资金的安全和有效使用以及投资效益，</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的项目法人 (项目法人名称， 以下简称“委托人”) 与该项目的</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单位名称，以下简称“</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单位”)，特订立如下合同。</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委托人、</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单位双方的权利和义务</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（一）严格遵守党的政策规定和国家有关法律法规及交通运输部的有关规定。</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u w:val="single"/>
          <w:lang w:eastAsia="zh-CN"/>
        </w:rPr>
        <w:t>（包组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合同文件，自觉按合同办事。</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（三）双方的业务活动坚持公开、公正、诚信、透明的原则(法律认定的商业秘密和合同文件另有规定除外) ， 不得损害国家和集体利益， 不得违反工程建设管理规章制度。</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（四）建立健全廉政制度，开展廉政教育，设立廉政告示牌，公布举报电话，监督并认真査处违法违纪行为。</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（六）发现对方严重违反本合同义务条款的行为，有向其上级有关部门举报、建议给予处理并要求告知处理结果的权利。</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委托人的义务</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（一）委托人及其工作人员不得索要或接受</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的礼金、有价证劵和贵重物品， 不得让</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报销任何应由委托人及其工作人员个人支付的费用等。</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（二）委托人工作人员不得参加</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安排的超标准宴请和娱乐活动；不得接受</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提供的通信工具、 交通工具和高档办公用品等。</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（三）委托人及其工作人员不得要求或者接受</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为其住房装修、 婚丧嫁娶活动、 配偶子女的工作安排以及出国出境、 旅游等提供方便等。</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（四）委托人工作人员及其配偶、子女不得从事与委托人工程有关的材料设备供应、工程分包、劳务等经济活动等。</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（五）委托人工作人员要秉公办事， 不准营私舞弊， 不准利用职权从事各种个人有偿中介活动和安排个人</w:t>
      </w:r>
      <w:r>
        <w:rPr>
          <w:rFonts w:hint="eastAsia" w:ascii="宋体" w:hAnsi="宋体" w:cs="宋体"/>
          <w:color w:val="auto"/>
          <w:sz w:val="24"/>
          <w:szCs w:val="24"/>
          <w:highlight w:val="none"/>
          <w:lang w:eastAsia="zh-CN"/>
        </w:rPr>
        <w:t>勘察</w:t>
      </w:r>
      <w:r>
        <w:rPr>
          <w:rFonts w:hint="eastAsia" w:ascii="宋体" w:hAnsi="宋体" w:eastAsia="宋体" w:cs="宋体"/>
          <w:color w:val="auto"/>
          <w:sz w:val="24"/>
          <w:szCs w:val="24"/>
          <w:highlight w:val="none"/>
        </w:rPr>
        <w:t>队伍。</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第三条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义务</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不得以任何理由向委托人及其工作人员行贿或馈赠礼金、有价证券、贵重礼品。</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不得以任何名义为委托人及其工作人员报销应由委托人或个人支付的任何费用。</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不得以任何理由安排委托人工作人员参加超标准宴请及娱乐活动。</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不得为委托人和个人购置或提供通讯工具、交通工具和高档办公用品等。</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及其工作人员不得索取或接受委托人、监理单位、施工单位的礼金、有价证券和贵重物品，不得要求报销任何应由</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或个人支付的费用。</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及其工作人员必须严格按照项目管理和检测规程办事，不得与委托人、监理单位、施工单位串通，损害国家利益和委托人利益。</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委托人及其工作人员违反本合同第一、二条，按管理权限，依据有关规定给予党纪、政纪或组织处理；涉嫌犯罪的，移交司法机关追究刑事责任；给</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造成经济损失的，应予以赔偿。</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及其工作人员违反本合同第一、三条，按管理权限，依据有关规定给予党纪、政纪或组织处理；给委托人造成经济损失的，应予以赔偿；情节严重的，委托人建议交通工程建设主管部门给予</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一至三年内不得进入其主管的交通工程建设市场的处罚。</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双方约定：本合同由双方或双方上级单位的纪检监察机关负责监督执行。</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由委托人或委托人上级单位的纪检监察机关约请</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上级单位纪检监察机关对本合同执行情况进行检查；提出在本合同规定范围内的裁定意见。</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本合同有效期为委托人、</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双方签署之日起至该工程项目检测方案中规定的服务工作完成后止。</w:t>
      </w:r>
    </w:p>
    <w:p>
      <w:pPr>
        <w:widowControl/>
        <w:autoSpaceDE w:val="0"/>
        <w:autoSpaceDN w:val="0"/>
        <w:spacing w:line="276" w:lineRule="auto"/>
        <w:ind w:firstLine="48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本合同作为</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u w:val="single"/>
          <w:lang w:eastAsia="zh-CN"/>
        </w:rPr>
        <w:t>（包组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合同的附件，具有同等的法律效力，经合同双方签署立即生效。</w:t>
      </w:r>
    </w:p>
    <w:p>
      <w:pPr>
        <w:widowControl/>
        <w:numPr>
          <w:ilvl w:val="0"/>
          <w:numId w:val="158"/>
        </w:numPr>
        <w:autoSpaceDE w:val="0"/>
        <w:autoSpaceDN w:val="0"/>
        <w:spacing w:line="276"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本合同委托人、</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rPr>
        <w:t>双方各执</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份。</w:t>
      </w:r>
    </w:p>
    <w:p>
      <w:pPr>
        <w:widowControl/>
        <w:autoSpaceDE w:val="0"/>
        <w:autoSpaceDN w:val="0"/>
        <w:spacing w:line="276" w:lineRule="auto"/>
        <w:ind w:left="480"/>
        <w:textAlignment w:val="bottom"/>
        <w:rPr>
          <w:color w:val="auto"/>
          <w:highlight w:val="none"/>
        </w:rPr>
      </w:pPr>
    </w:p>
    <w:p>
      <w:pPr>
        <w:spacing w:line="360" w:lineRule="auto"/>
        <w:rPr>
          <w:rFonts w:hint="eastAsia" w:hAnsi="宋体" w:cs="宋体"/>
          <w:color w:val="auto"/>
          <w:sz w:val="24"/>
          <w:szCs w:val="24"/>
          <w:highlight w:val="none"/>
          <w:u w:val="single"/>
        </w:rPr>
      </w:pPr>
      <w:r>
        <w:rPr>
          <w:rFonts w:hint="eastAsia" w:hAnsi="宋体" w:cs="宋体"/>
          <w:b/>
          <w:bCs/>
          <w:color w:val="auto"/>
          <w:sz w:val="24"/>
          <w:szCs w:val="24"/>
          <w:highlight w:val="none"/>
        </w:rPr>
        <w:t>发包人：</w:t>
      </w:r>
      <w:r>
        <w:rPr>
          <w:rFonts w:hint="eastAsia" w:hAnsi="宋体" w:cs="宋体"/>
          <w:b/>
          <w:bCs/>
          <w:color w:val="auto"/>
          <w:sz w:val="24"/>
          <w:szCs w:val="24"/>
          <w:highlight w:val="none"/>
          <w:u w:val="single"/>
          <w:lang w:eastAsia="zh-CN"/>
        </w:rPr>
        <w:t>佛山市机场建设开发有限公司</w:t>
      </w:r>
      <w:r>
        <w:rPr>
          <w:rFonts w:hint="eastAsia" w:hAnsi="宋体" w:cs="宋体"/>
          <w:b/>
          <w:bCs/>
          <w:color w:val="auto"/>
          <w:sz w:val="24"/>
          <w:szCs w:val="24"/>
          <w:highlight w:val="none"/>
        </w:rPr>
        <w:t xml:space="preserve">  （盖章）   </w:t>
      </w:r>
      <w:r>
        <w:rPr>
          <w:rFonts w:hint="eastAsia" w:hAnsi="宋体" w:cs="宋体"/>
          <w:color w:val="auto"/>
          <w:sz w:val="24"/>
          <w:szCs w:val="24"/>
          <w:highlight w:val="none"/>
        </w:rPr>
        <w:t xml:space="preserve">                                              </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法定代表人</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或其委托代理人：</w:t>
      </w:r>
    </w:p>
    <w:p>
      <w:pPr>
        <w:spacing w:line="360" w:lineRule="auto"/>
        <w:rPr>
          <w:rFonts w:hint="eastAsia" w:hAnsi="宋体" w:cs="宋体"/>
          <w:b/>
          <w:bCs/>
          <w:color w:val="auto"/>
          <w:sz w:val="24"/>
          <w:szCs w:val="24"/>
          <w:highlight w:val="none"/>
        </w:rPr>
      </w:pPr>
    </w:p>
    <w:p>
      <w:pPr>
        <w:rPr>
          <w:rFonts w:hint="eastAsia"/>
          <w:color w:val="auto"/>
          <w:highlight w:val="none"/>
        </w:rPr>
      </w:pPr>
      <w:r>
        <w:rPr>
          <w:rFonts w:hint="eastAsia" w:hAnsi="宋体" w:cs="宋体"/>
          <w:b/>
          <w:bCs/>
          <w:color w:val="auto"/>
          <w:sz w:val="24"/>
          <w:szCs w:val="24"/>
          <w:highlight w:val="none"/>
          <w:lang w:eastAsia="zh-CN"/>
        </w:rPr>
        <w:t>承包人</w:t>
      </w:r>
      <w:r>
        <w:rPr>
          <w:rFonts w:hint="eastAsia" w:hAnsi="宋体" w:cs="宋体"/>
          <w:b/>
          <w:bCs/>
          <w:color w:val="auto"/>
          <w:sz w:val="24"/>
          <w:szCs w:val="24"/>
          <w:highlight w:val="none"/>
        </w:rPr>
        <w:t xml:space="preserve">：  （盖章）  </w:t>
      </w:r>
      <w:r>
        <w:rPr>
          <w:rFonts w:hint="eastAsia" w:hAnsi="宋体" w:cs="宋体"/>
          <w:color w:val="auto"/>
          <w:sz w:val="24"/>
          <w:szCs w:val="24"/>
          <w:highlight w:val="none"/>
        </w:rPr>
        <w:t xml:space="preserve">    </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法定代表人</w:t>
      </w:r>
    </w:p>
    <w:p>
      <w:pPr>
        <w:spacing w:line="360" w:lineRule="auto"/>
        <w:rPr>
          <w:rFonts w:hint="eastAsia" w:hAnsi="宋体"/>
          <w:color w:val="auto"/>
          <w:sz w:val="24"/>
          <w:highlight w:val="none"/>
        </w:rPr>
      </w:pPr>
      <w:r>
        <w:rPr>
          <w:rFonts w:hint="eastAsia" w:hAnsi="宋体" w:cs="宋体"/>
          <w:color w:val="auto"/>
          <w:sz w:val="24"/>
          <w:szCs w:val="24"/>
          <w:highlight w:val="none"/>
        </w:rPr>
        <w:t>或其委托代理人：</w:t>
      </w:r>
    </w:p>
    <w:p>
      <w:pPr>
        <w:tabs>
          <w:tab w:val="left" w:pos="1180"/>
          <w:tab w:val="left" w:pos="2260"/>
          <w:tab w:val="left" w:pos="3100"/>
          <w:tab w:val="left" w:pos="4540"/>
          <w:tab w:val="left" w:pos="5620"/>
          <w:tab w:val="left" w:pos="6700"/>
          <w:tab w:val="left" w:pos="7900"/>
        </w:tabs>
        <w:spacing w:line="400" w:lineRule="exact"/>
        <w:ind w:left="119" w:right="38" w:firstLine="4800" w:firstLineChars="2000"/>
        <w:rPr>
          <w:rFonts w:eastAsia="仿宋_GB2312"/>
          <w:color w:val="auto"/>
          <w:sz w:val="30"/>
          <w:szCs w:val="32"/>
          <w:highlight w:val="none"/>
        </w:rPr>
      </w:pPr>
      <w:r>
        <w:rPr>
          <w:rFonts w:hint="eastAsia" w:hAnsi="宋体"/>
          <w:color w:val="auto"/>
          <w:sz w:val="24"/>
          <w:highlight w:val="none"/>
        </w:rPr>
        <w:t xml:space="preserve">  </w:t>
      </w: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hAnsi="宋体"/>
          <w:color w:val="auto"/>
          <w:sz w:val="24"/>
          <w:highlight w:val="none"/>
        </w:rPr>
        <w:t xml:space="preserve"> </w:t>
      </w:r>
    </w:p>
    <w:p>
      <w:pPr>
        <w:spacing w:line="360" w:lineRule="auto"/>
        <w:jc w:val="left"/>
        <w:rPr>
          <w:rFonts w:hint="eastAsia" w:ascii="宋体" w:eastAsia="宋体"/>
          <w:color w:val="auto"/>
          <w:highlight w:val="none"/>
          <w:lang w:eastAsia="zh-CN"/>
        </w:rPr>
      </w:pPr>
      <w:r>
        <w:rPr>
          <w:rFonts w:ascii="宋体"/>
          <w:color w:val="auto"/>
          <w:highlight w:val="none"/>
        </w:rPr>
        <w:br w:type="page"/>
      </w:r>
      <w:r>
        <w:rPr>
          <w:rFonts w:hint="eastAsia" w:ascii="宋体" w:hAnsi="宋体"/>
          <w:color w:val="auto"/>
          <w:kern w:val="0"/>
          <w:sz w:val="28"/>
          <w:szCs w:val="28"/>
          <w:highlight w:val="none"/>
        </w:rPr>
        <w:t>附件</w:t>
      </w:r>
      <w:r>
        <w:rPr>
          <w:rFonts w:hint="eastAsia" w:ascii="宋体" w:hAnsi="宋体"/>
          <w:color w:val="auto"/>
          <w:kern w:val="0"/>
          <w:sz w:val="28"/>
          <w:szCs w:val="28"/>
          <w:highlight w:val="none"/>
          <w:lang w:val="en-US" w:eastAsia="zh-CN"/>
        </w:rPr>
        <w:t>F</w:t>
      </w:r>
    </w:p>
    <w:p>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
          <w:bCs w:val="0"/>
          <w:color w:val="auto"/>
          <w:kern w:val="0"/>
          <w:sz w:val="30"/>
          <w:szCs w:val="30"/>
          <w:highlight w:val="none"/>
        </w:rPr>
        <w:t>安全生产管理责任书</w:t>
      </w:r>
    </w:p>
    <w:p>
      <w:pPr>
        <w:shd w:val="clear" w:color="auto" w:fill="auto"/>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u w:val="single"/>
          <w:lang w:eastAsia="zh-CN"/>
        </w:rPr>
        <w:t>佛山市机场建设开发有限公司</w:t>
      </w:r>
    </w:p>
    <w:p>
      <w:pPr>
        <w:shd w:val="clear" w:color="auto" w:fill="auto"/>
        <w:spacing w:before="0" w:beforeLines="0" w:beforeAutospacing="0" w:after="0" w:afterLines="0" w:afterAutospacing="0" w:line="360" w:lineRule="auto"/>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为了落实安全生产责任制，切实加强项目现场</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的安全管理，保障</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人员安全和健康，签订</w:t>
      </w:r>
      <w:r>
        <w:rPr>
          <w:rFonts w:hint="eastAsia" w:ascii="宋体" w:hAnsi="宋体" w:cs="宋体"/>
          <w:color w:val="auto"/>
          <w:kern w:val="0"/>
          <w:sz w:val="24"/>
          <w:szCs w:val="24"/>
          <w:highlight w:val="none"/>
          <w:lang w:eastAsia="zh-CN"/>
        </w:rPr>
        <w:t>勘察</w:t>
      </w:r>
      <w:r>
        <w:rPr>
          <w:rFonts w:hint="eastAsia" w:ascii="宋体" w:hAnsi="宋体" w:eastAsia="宋体" w:cs="宋体"/>
          <w:bCs/>
          <w:color w:val="auto"/>
          <w:kern w:val="0"/>
          <w:sz w:val="24"/>
          <w:szCs w:val="24"/>
          <w:highlight w:val="none"/>
        </w:rPr>
        <w:t>安全生产管理责任书。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现就</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w:t>
      </w:r>
      <w:r>
        <w:rPr>
          <w:rFonts w:hint="eastAsia" w:ascii="宋体" w:hAnsi="宋体" w:eastAsia="宋体" w:cs="宋体"/>
          <w:color w:val="auto"/>
          <w:kern w:val="0"/>
          <w:sz w:val="24"/>
          <w:szCs w:val="24"/>
          <w:highlight w:val="none"/>
          <w:lang w:eastAsia="zh-CN"/>
        </w:rPr>
        <w:t>发包人</w:t>
      </w:r>
      <w:r>
        <w:rPr>
          <w:rFonts w:hint="eastAsia" w:ascii="宋体" w:hAnsi="宋体" w:cs="宋体"/>
          <w:color w:val="auto"/>
          <w:kern w:val="0"/>
          <w:sz w:val="24"/>
          <w:szCs w:val="24"/>
          <w:highlight w:val="none"/>
          <w:u w:val="single"/>
          <w:lang w:eastAsia="zh-CN"/>
        </w:rPr>
        <w:t>珠三角枢纽（广州新）机场可行性研究阶段勘察服务项目（包组</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安全生产管理规定经双方共同协商同意后签订本责任书，内容如下：</w:t>
      </w:r>
    </w:p>
    <w:p>
      <w:pPr>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一、安全生产管理目标</w:t>
      </w:r>
    </w:p>
    <w:p>
      <w:pPr>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 </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kern w:val="0"/>
          <w:sz w:val="24"/>
          <w:szCs w:val="24"/>
          <w:highlight w:val="none"/>
        </w:rPr>
        <w:t>安全事故死亡人数为零。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2．不发生一般及以上安全生产事故。</w:t>
      </w:r>
    </w:p>
    <w:p>
      <w:pPr>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二、现场安全管理与措施</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承接</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项目后，应切实采取有效措施加强所有项目</w:t>
      </w:r>
      <w:r>
        <w:rPr>
          <w:rFonts w:hint="eastAsia" w:ascii="宋体" w:hAnsi="宋体" w:cs="宋体"/>
          <w:color w:val="auto"/>
          <w:sz w:val="24"/>
          <w:szCs w:val="24"/>
          <w:highlight w:val="none"/>
          <w:lang w:eastAsia="zh-CN"/>
        </w:rPr>
        <w:t>勘察</w:t>
      </w:r>
      <w:r>
        <w:rPr>
          <w:rFonts w:hint="eastAsia" w:ascii="宋体" w:hAnsi="宋体" w:eastAsia="宋体" w:cs="宋体"/>
          <w:color w:val="auto"/>
          <w:sz w:val="24"/>
          <w:szCs w:val="24"/>
          <w:highlight w:val="none"/>
        </w:rPr>
        <w:t>现场的安全生产管理，</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承诺具体做到以下方面：</w:t>
      </w:r>
    </w:p>
    <w:p>
      <w:pPr>
        <w:spacing w:line="360" w:lineRule="auto"/>
        <w:ind w:firstLine="482" w:firstLineChars="200"/>
        <w:rPr>
          <w:rFonts w:ascii="宋体" w:hAnsi="宋体" w:cs="宋体"/>
          <w:color w:val="auto"/>
          <w:kern w:val="0"/>
          <w:sz w:val="24"/>
          <w:highlight w:val="none"/>
        </w:rPr>
      </w:pPr>
      <w:r>
        <w:rPr>
          <w:rFonts w:hint="eastAsia" w:ascii="宋体" w:hAnsi="宋体"/>
          <w:b/>
          <w:bCs/>
          <w:color w:val="auto"/>
          <w:kern w:val="0"/>
          <w:sz w:val="24"/>
          <w:szCs w:val="24"/>
          <w:highlight w:val="none"/>
          <w:lang w:val="en-US" w:eastAsia="zh-CN"/>
        </w:rPr>
        <w:t>1、</w:t>
      </w:r>
      <w:r>
        <w:rPr>
          <w:rFonts w:hint="eastAsia" w:ascii="宋体" w:hAnsi="宋体" w:cs="宋体"/>
          <w:b/>
          <w:bCs/>
          <w:color w:val="auto"/>
          <w:kern w:val="0"/>
          <w:sz w:val="24"/>
          <w:highlight w:val="none"/>
        </w:rPr>
        <w:t>用电要求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电工和用电人员用电时,必须按规定穿戴绝缘,防护用品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使用绝缘工具。</w:t>
      </w:r>
      <w:r>
        <w:rPr>
          <w:rFonts w:hint="eastAsia" w:ascii="宋体" w:hAnsi="宋体" w:cs="宋体"/>
          <w:color w:val="auto"/>
          <w:kern w:val="0"/>
          <w:sz w:val="24"/>
          <w:highlight w:val="none"/>
          <w:lang w:eastAsia="zh-CN"/>
        </w:rPr>
        <w:t>勘察</w:t>
      </w:r>
      <w:r>
        <w:rPr>
          <w:rFonts w:hint="eastAsia" w:ascii="宋体" w:hAnsi="宋体" w:cs="宋体"/>
          <w:color w:val="auto"/>
          <w:kern w:val="0"/>
          <w:sz w:val="24"/>
          <w:highlight w:val="none"/>
        </w:rPr>
        <w:t>现场下班停止工作时,必须将班后不用的配电装置分闸断电</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并上锁,班中停止工作1小时以上时,相关动力开关箱应断电上锁,暂时不用的配电装置也应断电上锁。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配电箱、开关箱内的电气配置和接线,严禁随意改动、并不得随意挂接其他用电设备。 配电装置的漏电保护器,应每次使用时用试验按钮试跳一次,只有试跳正常才可继续使用。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用电设备的保护接地线应并联接地,并严禁串联接地或接零。使用中的电气设备应保持完好的工作状态,严禁带故障运行。</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现场临时用电及照明必须由项目经理同意，由专业电工按《施工现场临时用电安全技术规范》要求进行操作。</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现场所有用电设备必须用插头与插线板连接，禁止将线头直接插入插线板。</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rPr>
        <w:t>、动火要求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.1进入</w:t>
      </w:r>
      <w:r>
        <w:rPr>
          <w:rFonts w:hint="eastAsia" w:ascii="宋体" w:hAnsi="宋体" w:cs="宋体"/>
          <w:color w:val="auto"/>
          <w:kern w:val="0"/>
          <w:sz w:val="24"/>
          <w:highlight w:val="none"/>
          <w:lang w:eastAsia="zh-CN"/>
        </w:rPr>
        <w:t>勘察</w:t>
      </w:r>
      <w:r>
        <w:rPr>
          <w:rFonts w:hint="eastAsia" w:ascii="宋体" w:hAnsi="宋体" w:cs="宋体"/>
          <w:color w:val="auto"/>
          <w:kern w:val="0"/>
          <w:sz w:val="24"/>
          <w:highlight w:val="none"/>
        </w:rPr>
        <w:t>现场，必须向</w:t>
      </w:r>
      <w:r>
        <w:rPr>
          <w:rFonts w:hint="eastAsia" w:ascii="宋体" w:hAnsi="宋体" w:cs="宋体"/>
          <w:color w:val="auto"/>
          <w:kern w:val="0"/>
          <w:sz w:val="24"/>
          <w:highlight w:val="none"/>
          <w:lang w:val="en-US" w:eastAsia="zh-CN"/>
        </w:rPr>
        <w:t>勘察</w:t>
      </w:r>
      <w:r>
        <w:rPr>
          <w:rFonts w:hint="eastAsia" w:ascii="宋体" w:hAnsi="宋体" w:cs="宋体"/>
          <w:color w:val="auto"/>
          <w:kern w:val="0"/>
          <w:sz w:val="24"/>
          <w:highlight w:val="none"/>
        </w:rPr>
        <w:t>人员进行消防及动火知识教育。</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勘察</w:t>
      </w:r>
      <w:r>
        <w:rPr>
          <w:rFonts w:hint="eastAsia" w:ascii="宋体" w:hAnsi="宋体" w:cs="宋体"/>
          <w:color w:val="auto"/>
          <w:kern w:val="0"/>
          <w:sz w:val="24"/>
          <w:highlight w:val="none"/>
        </w:rPr>
        <w:t>现场严禁吸烟及随意动火，如需动火必须向项目</w:t>
      </w:r>
      <w:r>
        <w:rPr>
          <w:rFonts w:hint="eastAsia" w:ascii="宋体" w:hAnsi="宋体" w:cs="宋体"/>
          <w:color w:val="auto"/>
          <w:kern w:val="0"/>
          <w:sz w:val="24"/>
          <w:highlight w:val="none"/>
          <w:lang w:val="en-US" w:eastAsia="zh-CN"/>
        </w:rPr>
        <w:t>负责人</w:t>
      </w:r>
      <w:r>
        <w:rPr>
          <w:rFonts w:hint="eastAsia" w:ascii="宋体" w:hAnsi="宋体" w:cs="宋体"/>
          <w:color w:val="auto"/>
          <w:kern w:val="0"/>
          <w:sz w:val="24"/>
          <w:highlight w:val="none"/>
        </w:rPr>
        <w:t>提出申请，经项目</w:t>
      </w:r>
      <w:r>
        <w:rPr>
          <w:rFonts w:hint="eastAsia" w:ascii="宋体" w:hAnsi="宋体" w:cs="宋体"/>
          <w:color w:val="auto"/>
          <w:kern w:val="0"/>
          <w:sz w:val="24"/>
          <w:highlight w:val="none"/>
          <w:lang w:val="en-US" w:eastAsia="zh-CN"/>
        </w:rPr>
        <w:t>负责人</w:t>
      </w:r>
      <w:r>
        <w:rPr>
          <w:rFonts w:hint="eastAsia" w:ascii="宋体" w:hAnsi="宋体" w:cs="宋体"/>
          <w:color w:val="auto"/>
          <w:kern w:val="0"/>
          <w:sz w:val="24"/>
          <w:highlight w:val="none"/>
        </w:rPr>
        <w:t>同意签字后方可使用。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勘察</w:t>
      </w:r>
      <w:r>
        <w:rPr>
          <w:rFonts w:hint="eastAsia" w:ascii="宋体" w:hAnsi="宋体" w:cs="宋体"/>
          <w:color w:val="auto"/>
          <w:kern w:val="0"/>
          <w:sz w:val="24"/>
          <w:highlight w:val="none"/>
        </w:rPr>
        <w:t>中所需使用的易燃物品，如，汽油、汽瓶等，必须设专门的临时存放库房并设置灭火器，沙袋等，由专人管理。</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电焊、气焊作业前要明确作业任务，认真了解作业环境，确定出动火危险区域，并立出明显标志，危险区内的一切易燃品都必须移走，对不能移走的可燃物，采取可靠的保护措施。焊工必须持证上岗，无证者不能进行操作。</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属一、二、三级防火范围的焊割作业，未经办理动火审批手续，不准进行焊割作业。五级风以上禁止动用电气焊。</w:t>
      </w:r>
    </w:p>
    <w:p>
      <w:pPr>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、现场安全管理要求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编制</w:t>
      </w:r>
      <w:r>
        <w:rPr>
          <w:rFonts w:hint="eastAsia" w:ascii="宋体" w:hAnsi="宋体" w:cs="宋体"/>
          <w:color w:val="auto"/>
          <w:kern w:val="0"/>
          <w:sz w:val="24"/>
          <w:highlight w:val="none"/>
          <w:lang w:val="en-US" w:eastAsia="zh-CN"/>
        </w:rPr>
        <w:t>勘察</w:t>
      </w:r>
      <w:r>
        <w:rPr>
          <w:rFonts w:hint="eastAsia" w:ascii="宋体" w:hAnsi="宋体" w:cs="宋体"/>
          <w:color w:val="auto"/>
          <w:kern w:val="0"/>
          <w:sz w:val="24"/>
          <w:highlight w:val="none"/>
        </w:rPr>
        <w:t>方案和措施时，都必须有针对性的安全措施，并按方案落实。</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做好各分部分项安全交底工作，</w:t>
      </w:r>
      <w:r>
        <w:rPr>
          <w:rFonts w:hint="eastAsia" w:ascii="宋体" w:hAnsi="宋体" w:cs="宋体"/>
          <w:color w:val="auto"/>
          <w:kern w:val="0"/>
          <w:sz w:val="24"/>
          <w:highlight w:val="none"/>
          <w:lang w:val="en-US" w:eastAsia="zh-CN"/>
        </w:rPr>
        <w:t>须定期</w:t>
      </w:r>
      <w:r>
        <w:rPr>
          <w:rFonts w:hint="eastAsia" w:ascii="宋体" w:hAnsi="宋体" w:cs="宋体"/>
          <w:color w:val="auto"/>
          <w:kern w:val="0"/>
          <w:sz w:val="24"/>
          <w:highlight w:val="none"/>
        </w:rPr>
        <w:t>对</w:t>
      </w:r>
      <w:r>
        <w:rPr>
          <w:rFonts w:hint="eastAsia" w:ascii="宋体" w:hAnsi="宋体" w:cs="宋体"/>
          <w:color w:val="auto"/>
          <w:kern w:val="0"/>
          <w:sz w:val="24"/>
          <w:highlight w:val="none"/>
          <w:lang w:val="en-US" w:eastAsia="zh-CN"/>
        </w:rPr>
        <w:t>勘察</w:t>
      </w:r>
      <w:r>
        <w:rPr>
          <w:rFonts w:hint="eastAsia" w:ascii="宋体" w:hAnsi="宋体" w:cs="宋体"/>
          <w:color w:val="auto"/>
          <w:kern w:val="0"/>
          <w:sz w:val="24"/>
          <w:highlight w:val="none"/>
        </w:rPr>
        <w:t>人员进行针对性安全教育，</w:t>
      </w:r>
      <w:r>
        <w:rPr>
          <w:rFonts w:hint="eastAsia" w:ascii="宋体" w:hAnsi="宋体" w:cs="宋体"/>
          <w:color w:val="auto"/>
          <w:kern w:val="0"/>
          <w:sz w:val="24"/>
          <w:highlight w:val="none"/>
          <w:lang w:val="en-US" w:eastAsia="zh-CN"/>
        </w:rPr>
        <w:t>勘察人员</w:t>
      </w:r>
      <w:r>
        <w:rPr>
          <w:rFonts w:hint="eastAsia" w:ascii="宋体" w:hAnsi="宋体" w:cs="宋体"/>
          <w:color w:val="auto"/>
          <w:kern w:val="0"/>
          <w:sz w:val="24"/>
          <w:highlight w:val="none"/>
        </w:rPr>
        <w:t>未经三级安全教育不得上岗。</w:t>
      </w:r>
    </w:p>
    <w:p>
      <w:pPr>
        <w:numPr>
          <w:ilvl w:val="0"/>
          <w:numId w:val="0"/>
        </w:numPr>
        <w:spacing w:line="360"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每月组织一次安全生产自查自纠活动。一查思想认识，看安全达标方案如何实施；二查安全管理制度，看安全生产责任制落实情况；三查员工培训；四查作业机台是否遵守操作规程；</w:t>
      </w:r>
    </w:p>
    <w:p>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钻机野外</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时，及时给钻机班组安装配备相应的防护装备，例如：工作服、安全帽、手套、劳保鞋、灭火器、警示标牌等；对缺少、老旧的防护装备应及时予以更新、更换；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做好班前、班后安全检查。特别对防火、防触电、防雷和防倒塌等方面进行检查；</w:t>
      </w:r>
    </w:p>
    <w:p>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春、夏特殊季节</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时，应合理安排好</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时间，做好防汛、防暑等措施；遇雷雨天气野外</w:t>
      </w:r>
      <w:r>
        <w:rPr>
          <w:rFonts w:hint="eastAsia" w:ascii="宋体" w:hAnsi="宋体" w:cs="宋体"/>
          <w:color w:val="auto"/>
          <w:sz w:val="24"/>
          <w:szCs w:val="24"/>
          <w:highlight w:val="none"/>
          <w:lang w:eastAsia="zh-CN"/>
        </w:rPr>
        <w:t>勘察</w:t>
      </w:r>
      <w:r>
        <w:rPr>
          <w:rFonts w:hint="eastAsia" w:ascii="宋体" w:hAnsi="宋体" w:eastAsia="宋体" w:cs="宋体"/>
          <w:color w:val="auto"/>
          <w:sz w:val="24"/>
          <w:szCs w:val="24"/>
          <w:highlight w:val="none"/>
        </w:rPr>
        <w:t>人员一律远离施工机台，避免雷电伤害；</w:t>
      </w:r>
    </w:p>
    <w:p>
      <w:pPr>
        <w:numPr>
          <w:ilvl w:val="0"/>
          <w:numId w:val="0"/>
        </w:num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建立健全项目专项应急预案，并进行演练。</w:t>
      </w:r>
    </w:p>
    <w:p>
      <w:pPr>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、文明</w:t>
      </w:r>
      <w:r>
        <w:rPr>
          <w:rFonts w:hint="eastAsia" w:ascii="宋体" w:hAnsi="宋体" w:cs="宋体"/>
          <w:b/>
          <w:bCs/>
          <w:color w:val="auto"/>
          <w:kern w:val="0"/>
          <w:sz w:val="24"/>
          <w:highlight w:val="none"/>
          <w:lang w:eastAsia="zh-CN"/>
        </w:rPr>
        <w:t>勘察</w:t>
      </w:r>
      <w:r>
        <w:rPr>
          <w:rFonts w:hint="eastAsia" w:ascii="宋体" w:hAnsi="宋体" w:cs="宋体"/>
          <w:b/>
          <w:bCs/>
          <w:color w:val="auto"/>
          <w:kern w:val="0"/>
          <w:sz w:val="24"/>
          <w:highlight w:val="none"/>
        </w:rPr>
        <w:t>要求</w:t>
      </w:r>
    </w:p>
    <w:p>
      <w:pPr>
        <w:numPr>
          <w:ilvl w:val="0"/>
          <w:numId w:val="0"/>
        </w:num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.1全体</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kern w:val="2"/>
          <w:sz w:val="24"/>
          <w:szCs w:val="24"/>
          <w:highlight w:val="none"/>
        </w:rPr>
        <w:t>人员</w:t>
      </w:r>
      <w:r>
        <w:rPr>
          <w:rFonts w:hint="eastAsia" w:ascii="宋体" w:hAnsi="宋体" w:eastAsia="宋体" w:cs="宋体"/>
          <w:color w:val="auto"/>
          <w:sz w:val="24"/>
          <w:szCs w:val="24"/>
          <w:highlight w:val="none"/>
        </w:rPr>
        <w:t>认真执行安全生产规章制度，不违章指挥；现场必须做到安全、文明</w:t>
      </w:r>
      <w:r>
        <w:rPr>
          <w:rFonts w:hint="eastAsia" w:ascii="宋体" w:hAnsi="宋体" w:cs="宋体"/>
          <w:color w:val="auto"/>
          <w:sz w:val="24"/>
          <w:szCs w:val="24"/>
          <w:highlight w:val="none"/>
          <w:lang w:eastAsia="zh-CN"/>
        </w:rPr>
        <w:t>勘察</w:t>
      </w:r>
      <w:r>
        <w:rPr>
          <w:rFonts w:hint="eastAsia" w:ascii="宋体" w:hAnsi="宋体" w:eastAsia="宋体" w:cs="宋体"/>
          <w:color w:val="auto"/>
          <w:sz w:val="24"/>
          <w:szCs w:val="24"/>
          <w:highlight w:val="none"/>
          <w:lang w:eastAsia="zh-CN"/>
        </w:rPr>
        <w:t>。</w:t>
      </w:r>
    </w:p>
    <w:p>
      <w:pPr>
        <w:numPr>
          <w:ilvl w:val="0"/>
          <w:numId w:val="0"/>
        </w:num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cs="宋体"/>
          <w:color w:val="auto"/>
          <w:sz w:val="24"/>
          <w:szCs w:val="24"/>
          <w:highlight w:val="none"/>
          <w:lang w:eastAsia="zh-CN"/>
        </w:rPr>
        <w:t>勘察</w:t>
      </w:r>
      <w:r>
        <w:rPr>
          <w:rFonts w:hint="eastAsia" w:ascii="宋体" w:hAnsi="宋体" w:eastAsia="宋体" w:cs="宋体"/>
          <w:color w:val="auto"/>
          <w:sz w:val="24"/>
          <w:szCs w:val="24"/>
          <w:highlight w:val="none"/>
        </w:rPr>
        <w:t>现场设置安全警示标识标语；进入工地</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时，对</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工地的管线（地上及地下）等分布有初步了解，避免造成通信、供水、供电等安全事故；</w:t>
      </w:r>
    </w:p>
    <w:p>
      <w:pPr>
        <w:numPr>
          <w:ilvl w:val="0"/>
          <w:numId w:val="0"/>
        </w:num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进入</w:t>
      </w:r>
      <w:r>
        <w:rPr>
          <w:rFonts w:hint="eastAsia" w:ascii="宋体" w:hAnsi="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rPr>
        <w:t>现场严禁酗酒，滋事打架及进行各种赌博等违法违章行为，轻者清除现场，重者送执法机关依法处理。</w:t>
      </w:r>
    </w:p>
    <w:p>
      <w:pPr>
        <w:numPr>
          <w:ilvl w:val="0"/>
          <w:numId w:val="0"/>
        </w:num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4</w:t>
      </w:r>
      <w:r>
        <w:rPr>
          <w:rFonts w:hint="eastAsia" w:ascii="宋体" w:hAnsi="宋体" w:eastAsia="宋体" w:cs="宋体"/>
          <w:color w:val="auto"/>
          <w:kern w:val="2"/>
          <w:sz w:val="24"/>
          <w:szCs w:val="24"/>
          <w:highlight w:val="none"/>
        </w:rPr>
        <w:t>严禁带病上岗操作，一经发现必须由</w:t>
      </w:r>
      <w:r>
        <w:rPr>
          <w:rFonts w:hint="eastAsia" w:ascii="宋体" w:hAnsi="宋体" w:eastAsia="宋体" w:cs="宋体"/>
          <w:color w:val="auto"/>
          <w:kern w:val="2"/>
          <w:sz w:val="24"/>
          <w:szCs w:val="24"/>
          <w:highlight w:val="none"/>
          <w:lang w:val="en-US" w:eastAsia="zh-CN"/>
        </w:rPr>
        <w:t>现场勘察负责人</w:t>
      </w:r>
      <w:r>
        <w:rPr>
          <w:rFonts w:hint="eastAsia" w:ascii="宋体" w:hAnsi="宋体" w:eastAsia="宋体" w:cs="宋体"/>
          <w:color w:val="auto"/>
          <w:kern w:val="2"/>
          <w:sz w:val="24"/>
          <w:szCs w:val="24"/>
          <w:highlight w:val="none"/>
        </w:rPr>
        <w:t>负责安排换岗或休息，以保证所有</w:t>
      </w:r>
      <w:r>
        <w:rPr>
          <w:rFonts w:hint="eastAsia" w:ascii="宋体" w:hAnsi="宋体" w:eastAsia="宋体" w:cs="宋体"/>
          <w:color w:val="auto"/>
          <w:kern w:val="2"/>
          <w:sz w:val="24"/>
          <w:szCs w:val="24"/>
          <w:highlight w:val="none"/>
          <w:lang w:val="en-US" w:eastAsia="zh-CN"/>
        </w:rPr>
        <w:t>勘察</w:t>
      </w:r>
      <w:r>
        <w:rPr>
          <w:rFonts w:hint="eastAsia" w:ascii="宋体" w:hAnsi="宋体" w:eastAsia="宋体" w:cs="宋体"/>
          <w:color w:val="auto"/>
          <w:kern w:val="2"/>
          <w:sz w:val="24"/>
          <w:szCs w:val="24"/>
          <w:highlight w:val="none"/>
        </w:rPr>
        <w:t>人员的人身安全。</w:t>
      </w:r>
    </w:p>
    <w:p>
      <w:pPr>
        <w:numPr>
          <w:ilvl w:val="0"/>
          <w:numId w:val="0"/>
        </w:num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5</w:t>
      </w:r>
      <w:r>
        <w:rPr>
          <w:rFonts w:hint="eastAsia" w:ascii="宋体" w:hAnsi="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rPr>
        <w:t>现场严禁随地大小便。严禁现场人员出现偷盗工具及材料现象，一经发现，必须清除现场，并视情节对</w:t>
      </w:r>
      <w:r>
        <w:rPr>
          <w:rFonts w:hint="eastAsia" w:ascii="宋体" w:hAnsi="宋体" w:eastAsia="宋体" w:cs="宋体"/>
          <w:color w:val="auto"/>
          <w:kern w:val="2"/>
          <w:sz w:val="24"/>
          <w:szCs w:val="24"/>
          <w:highlight w:val="none"/>
          <w:lang w:val="en-US" w:eastAsia="zh-CN"/>
        </w:rPr>
        <w:t>现场勘察负责人</w:t>
      </w:r>
      <w:r>
        <w:rPr>
          <w:rFonts w:hint="eastAsia" w:ascii="宋体" w:hAnsi="宋体" w:eastAsia="宋体" w:cs="宋体"/>
          <w:color w:val="auto"/>
          <w:kern w:val="2"/>
          <w:sz w:val="24"/>
          <w:szCs w:val="24"/>
          <w:highlight w:val="none"/>
        </w:rPr>
        <w:t>进行一定的经济处罚。</w:t>
      </w:r>
    </w:p>
    <w:p>
      <w:pPr>
        <w:numPr>
          <w:ilvl w:val="0"/>
          <w:numId w:val="0"/>
        </w:num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6</w:t>
      </w:r>
      <w:r>
        <w:rPr>
          <w:rFonts w:hint="eastAsia" w:ascii="宋体" w:hAnsi="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rPr>
        <w:t>现场严禁容留一切不明身份的非工作人员，更不准带小孩进入</w:t>
      </w:r>
      <w:r>
        <w:rPr>
          <w:rFonts w:hint="eastAsia" w:ascii="宋体" w:hAnsi="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rPr>
        <w:t>现场。进入</w:t>
      </w:r>
      <w:r>
        <w:rPr>
          <w:rFonts w:hint="eastAsia" w:ascii="宋体" w:hAnsi="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rPr>
        <w:t>现场不得违反所有规章制度，如有违反，视情节轻重对</w:t>
      </w:r>
      <w:r>
        <w:rPr>
          <w:rFonts w:hint="eastAsia" w:ascii="宋体" w:hAnsi="宋体" w:eastAsia="宋体" w:cs="宋体"/>
          <w:color w:val="auto"/>
          <w:kern w:val="2"/>
          <w:sz w:val="24"/>
          <w:szCs w:val="24"/>
          <w:highlight w:val="none"/>
          <w:lang w:val="en-US" w:eastAsia="zh-CN"/>
        </w:rPr>
        <w:t>现场勘察负责人</w:t>
      </w:r>
      <w:r>
        <w:rPr>
          <w:rFonts w:hint="eastAsia" w:ascii="宋体" w:hAnsi="宋体" w:eastAsia="宋体" w:cs="宋体"/>
          <w:color w:val="auto"/>
          <w:kern w:val="2"/>
          <w:sz w:val="24"/>
          <w:szCs w:val="24"/>
          <w:highlight w:val="none"/>
        </w:rPr>
        <w:t>及违反人进行一定的处罚。</w:t>
      </w:r>
    </w:p>
    <w:p>
      <w:pPr>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三、双方责任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1、认真贯彻落实国家有关安全生产的法律法规，及时传达国家及公司有关安全生产的文件和安全生产管理制度、规定和规程，坚持安全工作同时计划、布置、检查、总结和评比。</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督促</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组织开展安全生产宣传教育活动，不断提高员工安全意识。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eastAsia="zh-CN"/>
        </w:rPr>
        <w:t>督促承包人开展</w:t>
      </w:r>
      <w:r>
        <w:rPr>
          <w:rFonts w:hint="eastAsia" w:ascii="宋体" w:hAnsi="宋体" w:eastAsia="宋体" w:cs="宋体"/>
          <w:color w:val="auto"/>
          <w:kern w:val="0"/>
          <w:sz w:val="24"/>
          <w:szCs w:val="24"/>
          <w:highlight w:val="none"/>
        </w:rPr>
        <w:t>安全检查</w:t>
      </w:r>
      <w:r>
        <w:rPr>
          <w:rFonts w:hint="eastAsia" w:ascii="宋体" w:hAnsi="宋体" w:cs="宋体"/>
          <w:color w:val="auto"/>
          <w:kern w:val="0"/>
          <w:sz w:val="24"/>
          <w:szCs w:val="24"/>
          <w:highlight w:val="none"/>
          <w:lang w:eastAsia="zh-CN"/>
        </w:rPr>
        <w:t>工作</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承包人</w:t>
      </w:r>
      <w:r>
        <w:rPr>
          <w:rFonts w:hint="eastAsia" w:ascii="宋体" w:hAnsi="宋体" w:cs="宋体"/>
          <w:color w:val="auto"/>
          <w:kern w:val="0"/>
          <w:sz w:val="24"/>
          <w:szCs w:val="24"/>
          <w:highlight w:val="none"/>
          <w:lang w:eastAsia="zh-CN"/>
        </w:rPr>
        <w:t>要主动查找勘察</w:t>
      </w:r>
      <w:r>
        <w:rPr>
          <w:rFonts w:hint="eastAsia" w:ascii="宋体" w:hAnsi="宋体" w:eastAsia="宋体" w:cs="宋体"/>
          <w:color w:val="auto"/>
          <w:kern w:val="0"/>
          <w:sz w:val="24"/>
          <w:szCs w:val="24"/>
          <w:highlight w:val="none"/>
        </w:rPr>
        <w:t>安全隐患，纠正</w:t>
      </w:r>
      <w:r>
        <w:rPr>
          <w:rFonts w:hint="eastAsia" w:ascii="宋体" w:hAnsi="宋体" w:cs="宋体"/>
          <w:color w:val="auto"/>
          <w:kern w:val="0"/>
          <w:sz w:val="24"/>
          <w:szCs w:val="24"/>
          <w:highlight w:val="none"/>
          <w:lang w:eastAsia="zh-CN"/>
        </w:rPr>
        <w:t>勘察违规</w:t>
      </w:r>
      <w:r>
        <w:rPr>
          <w:rFonts w:hint="eastAsia" w:ascii="宋体" w:hAnsi="宋体" w:eastAsia="宋体" w:cs="宋体"/>
          <w:color w:val="auto"/>
          <w:kern w:val="0"/>
          <w:sz w:val="24"/>
          <w:szCs w:val="24"/>
          <w:highlight w:val="none"/>
        </w:rPr>
        <w:t>行为。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责任：</w:t>
      </w:r>
    </w:p>
    <w:p>
      <w:pPr>
        <w:spacing w:line="360" w:lineRule="auto"/>
        <w:ind w:firstLine="480" w:firstLineChars="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要严格按安全生产管理目标和现场安全管理与措施要求进行，</w:t>
      </w:r>
      <w:r>
        <w:rPr>
          <w:rFonts w:hint="eastAsia" w:ascii="宋体" w:hAnsi="宋体" w:eastAsia="宋体" w:cs="宋体"/>
          <w:color w:val="auto"/>
          <w:kern w:val="0"/>
          <w:sz w:val="24"/>
          <w:szCs w:val="24"/>
          <w:highlight w:val="none"/>
          <w:lang w:val="en-US" w:eastAsia="zh-CN"/>
        </w:rPr>
        <w:t>服从</w:t>
      </w:r>
      <w:r>
        <w:rPr>
          <w:rFonts w:hint="eastAsia" w:ascii="宋体" w:hAnsi="宋体" w:cs="宋体"/>
          <w:color w:val="auto"/>
          <w:kern w:val="0"/>
          <w:sz w:val="24"/>
          <w:szCs w:val="24"/>
          <w:highlight w:val="none"/>
          <w:lang w:val="en-US" w:eastAsia="zh-CN"/>
        </w:rPr>
        <w:t>勘察</w:t>
      </w:r>
      <w:r>
        <w:rPr>
          <w:rFonts w:hint="eastAsia" w:ascii="宋体" w:hAnsi="宋体" w:eastAsia="宋体" w:cs="宋体"/>
          <w:color w:val="auto"/>
          <w:kern w:val="0"/>
          <w:sz w:val="24"/>
          <w:szCs w:val="24"/>
          <w:highlight w:val="none"/>
          <w:lang w:val="en-US" w:eastAsia="zh-CN"/>
        </w:rPr>
        <w:t>现场文明</w:t>
      </w:r>
      <w:r>
        <w:rPr>
          <w:rFonts w:hint="eastAsia" w:ascii="宋体" w:hAnsi="宋体" w:cs="宋体"/>
          <w:color w:val="auto"/>
          <w:kern w:val="0"/>
          <w:sz w:val="24"/>
          <w:szCs w:val="24"/>
          <w:highlight w:val="none"/>
          <w:lang w:val="en-US" w:eastAsia="zh-CN"/>
        </w:rPr>
        <w:t>勘察</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认真贯彻落实有关安全生产的文件、通知，完善安全管理规章制度和各岗位安全操作规程，生产中狠抓落实。</w:t>
      </w:r>
      <w:r>
        <w:rPr>
          <w:rFonts w:hint="eastAsia" w:ascii="宋体" w:hAnsi="宋体" w:eastAsia="宋体" w:cs="宋体"/>
          <w:color w:val="auto"/>
          <w:kern w:val="0"/>
          <w:sz w:val="24"/>
          <w:szCs w:val="24"/>
          <w:highlight w:val="none"/>
          <w:lang w:val="en-US" w:eastAsia="zh-CN"/>
        </w:rPr>
        <w:t>保证勘察区域内消防、用电、卫生和成品保护符合相关规定要求。自带机具、设备、安全防护用品等要进行技术指标、安全性能检验，合格者方可进入</w:t>
      </w:r>
      <w:r>
        <w:rPr>
          <w:rFonts w:hint="eastAsia" w:ascii="宋体" w:hAnsi="宋体" w:cs="宋体"/>
          <w:color w:val="auto"/>
          <w:kern w:val="0"/>
          <w:sz w:val="24"/>
          <w:szCs w:val="24"/>
          <w:highlight w:val="none"/>
          <w:lang w:val="en-US" w:eastAsia="zh-CN"/>
        </w:rPr>
        <w:t>勘察</w:t>
      </w:r>
      <w:r>
        <w:rPr>
          <w:rFonts w:hint="eastAsia" w:ascii="宋体" w:hAnsi="宋体" w:eastAsia="宋体" w:cs="宋体"/>
          <w:color w:val="auto"/>
          <w:kern w:val="0"/>
          <w:sz w:val="24"/>
          <w:szCs w:val="24"/>
          <w:highlight w:val="none"/>
          <w:lang w:val="en-US" w:eastAsia="zh-CN"/>
        </w:rPr>
        <w:t>现场。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承包人要</w:t>
      </w:r>
      <w:r>
        <w:rPr>
          <w:rFonts w:hint="eastAsia" w:ascii="宋体" w:hAnsi="宋体" w:eastAsia="宋体" w:cs="宋体"/>
          <w:color w:val="auto"/>
          <w:kern w:val="0"/>
          <w:sz w:val="24"/>
          <w:szCs w:val="24"/>
          <w:highlight w:val="none"/>
        </w:rPr>
        <w:t>定期组织</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lang w:eastAsia="zh-CN"/>
        </w:rPr>
        <w:t>人员</w:t>
      </w:r>
      <w:r>
        <w:rPr>
          <w:rFonts w:hint="eastAsia" w:ascii="宋体" w:hAnsi="宋体" w:eastAsia="宋体" w:cs="宋体"/>
          <w:color w:val="auto"/>
          <w:kern w:val="0"/>
          <w:sz w:val="24"/>
          <w:szCs w:val="24"/>
          <w:highlight w:val="none"/>
        </w:rPr>
        <w:t>召开安全生产</w:t>
      </w:r>
      <w:r>
        <w:rPr>
          <w:rFonts w:hint="eastAsia" w:ascii="宋体" w:hAnsi="宋体" w:eastAsia="宋体" w:cs="宋体"/>
          <w:color w:val="auto"/>
          <w:kern w:val="0"/>
          <w:sz w:val="24"/>
          <w:szCs w:val="24"/>
          <w:highlight w:val="none"/>
          <w:lang w:eastAsia="zh-CN"/>
        </w:rPr>
        <w:t>会议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解决安全管理中存在的问题，抓好安全管理工作。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、对现场作业人员(</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长期聘用人员或临时聘用人员)进行上岗前安全教育，</w:t>
      </w:r>
      <w:r>
        <w:rPr>
          <w:rFonts w:hint="eastAsia" w:ascii="宋体" w:hAnsi="宋体" w:eastAsia="宋体" w:cs="宋体"/>
          <w:color w:val="auto"/>
          <w:kern w:val="0"/>
          <w:sz w:val="24"/>
          <w:szCs w:val="24"/>
          <w:highlight w:val="none"/>
          <w:lang w:val="en-US" w:eastAsia="zh-CN"/>
        </w:rPr>
        <w:t>对特种作业人员要对资格进行验证，做到持证上岗，制止非特种作业人员从事特种作业。并做好书面形式进行安全技术交底，交底工作由项目负责人和勘察人员签字备案</w:t>
      </w:r>
      <w:r>
        <w:rPr>
          <w:rFonts w:hint="eastAsia" w:ascii="宋体" w:hAnsi="宋体" w:eastAsia="宋体" w:cs="宋体"/>
          <w:color w:val="auto"/>
          <w:kern w:val="0"/>
          <w:sz w:val="24"/>
          <w:szCs w:val="24"/>
          <w:highlight w:val="none"/>
        </w:rPr>
        <w:t>。</w:t>
      </w:r>
    </w:p>
    <w:p>
      <w:pPr>
        <w:spacing w:line="360" w:lineRule="auto"/>
        <w:ind w:firstLine="480" w:firstLineChars="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、开展好经常性安全检查工作，及时查找、整改各种事故隐患，纠正“三违”（违章指挥，违章操作，违反</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"https://www.baidu.com/s?wd=%E5%8A%B3%E5%8A%A8%E7%BA%AA%E5%BE%8B&amp;tn=SE_PcZhidaonwhc_ngpagmjz&amp;rsv_dl=gh_pc_zhidao" \t "_blank"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劳动纪律</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）行为，定期检查作业设备完好情况，确保本质安全。</w:t>
      </w:r>
    </w:p>
    <w:p>
      <w:pPr>
        <w:spacing w:line="360" w:lineRule="auto"/>
        <w:ind w:firstLine="480" w:firstLineChars="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在勘察作业过程中，要做到文明</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lang w:eastAsia="zh-CN"/>
        </w:rPr>
        <w:t>，做好</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lang w:eastAsia="zh-CN"/>
        </w:rPr>
        <w:t>现场的围档及安全措施；勘察作业完成后，要及时清理现场，并按要求做好现场恢复工作。</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、保证安全生产必要的资金投入，完善</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现场安全防护设施，配备齐全个人防护用品。</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、接受</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的安全检查和指导，落实</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提出的安全管理改进建议。对于</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现场发现的重大安全隐患应立即停止</w:t>
      </w:r>
      <w:r>
        <w:rPr>
          <w:rFonts w:hint="eastAsia" w:ascii="宋体" w:hAnsi="宋体" w:cs="宋体"/>
          <w:color w:val="auto"/>
          <w:kern w:val="0"/>
          <w:sz w:val="24"/>
          <w:szCs w:val="24"/>
          <w:highlight w:val="none"/>
          <w:lang w:eastAsia="zh-CN"/>
        </w:rPr>
        <w:t>勘察</w:t>
      </w:r>
      <w:r>
        <w:rPr>
          <w:rFonts w:hint="eastAsia" w:ascii="宋体" w:hAnsi="宋体" w:eastAsia="宋体" w:cs="宋体"/>
          <w:color w:val="auto"/>
          <w:kern w:val="0"/>
          <w:sz w:val="24"/>
          <w:szCs w:val="24"/>
          <w:highlight w:val="none"/>
        </w:rPr>
        <w:t>并按要求及时整改，如拒不服从，</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有权规定</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半年或一年内不得从事</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单位所有项目的勘察。</w:t>
      </w:r>
    </w:p>
    <w:p>
      <w:pPr>
        <w:spacing w:line="360" w:lineRule="auto"/>
        <w:ind w:firstLine="48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rPr>
        <w:t>作业人员年龄均不得超过60周岁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lang w:val="en-US" w:eastAsia="zh-CN"/>
        </w:rPr>
        <w:t>必须为勘察作业人员及管理人员办理工伤保险及人身意外伤害保险，</w:t>
      </w:r>
      <w:r>
        <w:rPr>
          <w:rFonts w:hint="eastAsia" w:ascii="宋体" w:hAnsi="宋体" w:eastAsia="宋体" w:cs="宋体"/>
          <w:color w:val="auto"/>
          <w:kern w:val="0"/>
          <w:sz w:val="24"/>
          <w:szCs w:val="24"/>
          <w:highlight w:val="none"/>
        </w:rPr>
        <w:t>必须对现场作业人员安全负责，若发生安全紧急情况，应立即进行施救，消除安全隐患。</w:t>
      </w:r>
    </w:p>
    <w:p>
      <w:pPr>
        <w:spacing w:line="360" w:lineRule="auto"/>
        <w:ind w:firstLine="46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需对自身提供的勘察资料负责，确保提供的勘察资料真</w:t>
      </w:r>
      <w:r>
        <w:rPr>
          <w:rFonts w:hint="eastAsia" w:ascii="宋体" w:hAnsi="宋体" w:eastAsia="宋体" w:cs="宋体"/>
          <w:color w:val="auto"/>
          <w:kern w:val="0"/>
          <w:sz w:val="24"/>
          <w:szCs w:val="24"/>
          <w:highlight w:val="none"/>
          <w:lang w:eastAsia="zh-CN"/>
        </w:rPr>
        <w:t>实</w:t>
      </w:r>
      <w:r>
        <w:rPr>
          <w:rFonts w:hint="eastAsia" w:ascii="宋体" w:hAnsi="宋体" w:eastAsia="宋体" w:cs="宋体"/>
          <w:color w:val="auto"/>
          <w:kern w:val="0"/>
          <w:sz w:val="24"/>
          <w:szCs w:val="24"/>
          <w:highlight w:val="none"/>
        </w:rPr>
        <w:t>可靠。</w:t>
      </w:r>
    </w:p>
    <w:p>
      <w:pPr>
        <w:spacing w:line="360" w:lineRule="auto"/>
        <w:ind w:firstLine="46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、因</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原因而发生安全事故，</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承担全部责任和相应的经济损失。</w:t>
      </w:r>
    </w:p>
    <w:p>
      <w:pPr>
        <w:spacing w:line="360" w:lineRule="auto"/>
        <w:ind w:firstLine="46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承包人</w:t>
      </w:r>
      <w:r>
        <w:rPr>
          <w:rFonts w:hint="eastAsia" w:ascii="宋体" w:hAnsi="宋体" w:eastAsia="宋体" w:cs="宋体"/>
          <w:color w:val="auto"/>
          <w:kern w:val="0"/>
          <w:sz w:val="24"/>
          <w:szCs w:val="24"/>
          <w:highlight w:val="none"/>
        </w:rPr>
        <w:t>应按照本工程特点，组织</w:t>
      </w:r>
      <w:r>
        <w:rPr>
          <w:rFonts w:hint="eastAsia" w:ascii="宋体" w:hAnsi="宋体" w:eastAsia="宋体" w:cs="宋体"/>
          <w:color w:val="auto"/>
          <w:kern w:val="0"/>
          <w:sz w:val="24"/>
          <w:szCs w:val="24"/>
          <w:highlight w:val="none"/>
          <w:lang w:eastAsia="zh-CN"/>
        </w:rPr>
        <w:t>制定</w:t>
      </w:r>
      <w:r>
        <w:rPr>
          <w:rFonts w:hint="eastAsia" w:ascii="宋体" w:hAnsi="宋体" w:eastAsia="宋体" w:cs="宋体"/>
          <w:color w:val="auto"/>
          <w:kern w:val="0"/>
          <w:sz w:val="24"/>
          <w:szCs w:val="24"/>
          <w:highlight w:val="none"/>
        </w:rPr>
        <w:t>本工程实施中的生产安全事故应急救援预案；如果发生安全事故，应当按照《国务院关于特大安全事故行政责任追究的规定》以及其他有关规定，及时上报有关部门，并坚持“三不放过”的原则，严肃处理相关责任人。发生伤亡事故按规定立即报告有关部门及</w:t>
      </w:r>
      <w:r>
        <w:rPr>
          <w:rFonts w:hint="eastAsia" w:ascii="宋体" w:hAnsi="宋体" w:eastAsia="宋体" w:cs="宋体"/>
          <w:color w:val="auto"/>
          <w:kern w:val="0"/>
          <w:sz w:val="24"/>
          <w:szCs w:val="24"/>
          <w:highlight w:val="none"/>
          <w:lang w:eastAsia="zh-CN"/>
        </w:rPr>
        <w:t>发包人</w:t>
      </w:r>
      <w:r>
        <w:rPr>
          <w:rFonts w:hint="eastAsia" w:ascii="宋体" w:hAnsi="宋体" w:eastAsia="宋体" w:cs="宋体"/>
          <w:color w:val="auto"/>
          <w:kern w:val="0"/>
          <w:sz w:val="24"/>
          <w:szCs w:val="24"/>
          <w:highlight w:val="none"/>
        </w:rPr>
        <w:t>。</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本安全责任书一式</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份，甲、乙双方各留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w:t>
      </w:r>
    </w:p>
    <w:p>
      <w:pPr>
        <w:spacing w:line="360" w:lineRule="auto"/>
        <w:rPr>
          <w:rFonts w:hint="eastAsia" w:hAnsi="宋体" w:cs="宋体"/>
          <w:color w:val="auto"/>
          <w:sz w:val="24"/>
          <w:szCs w:val="24"/>
          <w:highlight w:val="none"/>
          <w:u w:val="single"/>
        </w:rPr>
      </w:pPr>
      <w:r>
        <w:rPr>
          <w:rFonts w:hint="eastAsia" w:hAnsi="宋体" w:cs="宋体"/>
          <w:b/>
          <w:bCs/>
          <w:color w:val="auto"/>
          <w:sz w:val="24"/>
          <w:szCs w:val="24"/>
          <w:highlight w:val="none"/>
        </w:rPr>
        <w:t>发包人：</w:t>
      </w:r>
      <w:r>
        <w:rPr>
          <w:rFonts w:hint="eastAsia" w:hAnsi="宋体" w:cs="宋体"/>
          <w:b/>
          <w:bCs/>
          <w:color w:val="auto"/>
          <w:sz w:val="24"/>
          <w:szCs w:val="24"/>
          <w:highlight w:val="none"/>
          <w:u w:val="single"/>
          <w:lang w:eastAsia="zh-CN"/>
        </w:rPr>
        <w:t>佛山市机场建设开发有限公司</w:t>
      </w:r>
      <w:r>
        <w:rPr>
          <w:rFonts w:hint="eastAsia" w:hAnsi="宋体" w:cs="宋体"/>
          <w:b/>
          <w:bCs/>
          <w:color w:val="auto"/>
          <w:sz w:val="24"/>
          <w:szCs w:val="24"/>
          <w:highlight w:val="none"/>
        </w:rPr>
        <w:t xml:space="preserve">  （盖章）   </w:t>
      </w:r>
      <w:r>
        <w:rPr>
          <w:rFonts w:hint="eastAsia" w:hAnsi="宋体" w:cs="宋体"/>
          <w:color w:val="auto"/>
          <w:sz w:val="24"/>
          <w:szCs w:val="24"/>
          <w:highlight w:val="none"/>
        </w:rPr>
        <w:t xml:space="preserve">                                                 </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法定代表人</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或其委托代理人：</w:t>
      </w:r>
    </w:p>
    <w:p>
      <w:pPr>
        <w:rPr>
          <w:rFonts w:hint="eastAsia"/>
          <w:color w:val="auto"/>
          <w:highlight w:val="none"/>
        </w:rPr>
      </w:pPr>
      <w:r>
        <w:rPr>
          <w:rFonts w:hint="eastAsia" w:hAnsi="宋体" w:cs="宋体"/>
          <w:b/>
          <w:bCs/>
          <w:color w:val="auto"/>
          <w:sz w:val="24"/>
          <w:szCs w:val="24"/>
          <w:highlight w:val="none"/>
          <w:lang w:eastAsia="zh-CN"/>
        </w:rPr>
        <w:t>承包人</w:t>
      </w:r>
      <w:r>
        <w:rPr>
          <w:rFonts w:hint="eastAsia" w:hAnsi="宋体" w:cs="宋体"/>
          <w:b/>
          <w:bCs/>
          <w:color w:val="auto"/>
          <w:sz w:val="24"/>
          <w:szCs w:val="24"/>
          <w:highlight w:val="none"/>
        </w:rPr>
        <w:t xml:space="preserve">：  （盖章）  </w:t>
      </w:r>
      <w:r>
        <w:rPr>
          <w:rFonts w:hint="eastAsia" w:hAnsi="宋体" w:cs="宋体"/>
          <w:color w:val="auto"/>
          <w:sz w:val="24"/>
          <w:szCs w:val="24"/>
          <w:highlight w:val="none"/>
        </w:rPr>
        <w:t xml:space="preserve">    </w:t>
      </w:r>
    </w:p>
    <w:p>
      <w:pPr>
        <w:spacing w:line="360" w:lineRule="auto"/>
        <w:rPr>
          <w:rFonts w:hint="eastAsia" w:hAnsi="宋体" w:cs="宋体"/>
          <w:color w:val="auto"/>
          <w:sz w:val="24"/>
          <w:szCs w:val="24"/>
          <w:highlight w:val="none"/>
        </w:rPr>
      </w:pPr>
      <w:r>
        <w:rPr>
          <w:rFonts w:hint="eastAsia" w:hAnsi="宋体" w:cs="宋体"/>
          <w:color w:val="auto"/>
          <w:sz w:val="24"/>
          <w:szCs w:val="24"/>
          <w:highlight w:val="none"/>
        </w:rPr>
        <w:t>法定代表人</w:t>
      </w:r>
    </w:p>
    <w:p>
      <w:pPr>
        <w:spacing w:line="360" w:lineRule="auto"/>
        <w:rPr>
          <w:rFonts w:hint="eastAsia" w:hAnsi="宋体"/>
          <w:color w:val="auto"/>
          <w:sz w:val="24"/>
          <w:highlight w:val="none"/>
        </w:rPr>
      </w:pPr>
      <w:r>
        <w:rPr>
          <w:rFonts w:hint="eastAsia" w:hAnsi="宋体" w:cs="宋体"/>
          <w:color w:val="auto"/>
          <w:sz w:val="24"/>
          <w:szCs w:val="24"/>
          <w:highlight w:val="none"/>
        </w:rPr>
        <w:t>或其委托代理人：</w:t>
      </w:r>
    </w:p>
    <w:p>
      <w:pPr>
        <w:tabs>
          <w:tab w:val="left" w:pos="1180"/>
          <w:tab w:val="left" w:pos="2260"/>
          <w:tab w:val="left" w:pos="3100"/>
          <w:tab w:val="left" w:pos="4540"/>
          <w:tab w:val="left" w:pos="5620"/>
          <w:tab w:val="left" w:pos="6700"/>
          <w:tab w:val="left" w:pos="7900"/>
        </w:tabs>
        <w:spacing w:line="400" w:lineRule="exact"/>
        <w:ind w:left="119" w:right="38" w:firstLine="4800" w:firstLineChars="2000"/>
        <w:rPr>
          <w:rFonts w:eastAsia="仿宋_GB2312"/>
          <w:color w:val="auto"/>
          <w:sz w:val="30"/>
          <w:szCs w:val="32"/>
          <w:highlight w:val="none"/>
        </w:rPr>
      </w:pPr>
      <w:r>
        <w:rPr>
          <w:rFonts w:hint="eastAsia" w:hAnsi="宋体"/>
          <w:color w:val="auto"/>
          <w:sz w:val="24"/>
          <w:highlight w:val="none"/>
        </w:rPr>
        <w:t xml:space="preserve"> </w:t>
      </w: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lang w:eastAsia="zh-CN"/>
        </w:rPr>
        <w:t>2022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widowControl/>
        <w:adjustRightInd w:val="0"/>
        <w:jc w:val="left"/>
        <w:textAlignment w:val="bottom"/>
        <w:rPr>
          <w:rFonts w:hint="eastAsia" w:ascii="宋体" w:hAnsi="宋体" w:eastAsia="宋体" w:cs="宋体"/>
          <w:color w:val="auto"/>
          <w:kern w:val="0"/>
          <w:sz w:val="28"/>
          <w:szCs w:val="28"/>
          <w:highlight w:val="none"/>
          <w:lang w:val="en-US" w:eastAsia="zh-CN"/>
        </w:rPr>
        <w:sectPr>
          <w:pgSz w:w="11906" w:h="16838"/>
          <w:pgMar w:top="1440" w:right="586" w:bottom="1440" w:left="1440" w:header="851" w:footer="992" w:gutter="0"/>
          <w:cols w:space="720" w:num="1"/>
          <w:docGrid w:type="lines" w:linePitch="312" w:charSpace="0"/>
        </w:sectPr>
      </w:pPr>
    </w:p>
    <w:p>
      <w:pPr>
        <w:widowControl/>
        <w:adjustRightInd w:val="0"/>
        <w:jc w:val="left"/>
        <w:textAlignment w:val="bottom"/>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附件G</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widowControl/>
        <w:adjustRightInd w:val="0"/>
        <w:jc w:val="center"/>
        <w:textAlignment w:val="bottom"/>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保密协议</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甲方：</w:t>
      </w:r>
      <w:r>
        <w:rPr>
          <w:rFonts w:hint="eastAsia" w:ascii="宋体" w:hAnsi="宋体" w:eastAsia="宋体" w:cs="宋体"/>
          <w:color w:val="000000"/>
          <w:kern w:val="0"/>
          <w:sz w:val="24"/>
          <w:szCs w:val="24"/>
          <w:highlight w:val="none"/>
          <w:u w:val="single"/>
          <w:lang w:val="en-US" w:eastAsia="zh-CN" w:bidi="ar"/>
        </w:rPr>
        <w:t>佛山市机场建设开发有限公司</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住所地：</w:t>
      </w:r>
      <w:r>
        <w:rPr>
          <w:rFonts w:hint="eastAsia" w:ascii="宋体" w:hAnsi="宋体" w:eastAsia="宋体" w:cs="宋体"/>
          <w:color w:val="000000"/>
          <w:kern w:val="0"/>
          <w:sz w:val="24"/>
          <w:szCs w:val="24"/>
          <w:highlight w:val="none"/>
          <w:u w:val="single"/>
          <w:lang w:val="en-US" w:eastAsia="zh-CN" w:bidi="ar"/>
        </w:rPr>
        <w:t xml:space="preserve">佛山市禅城区季华五路20号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w:t>
      </w:r>
      <w:r>
        <w:rPr>
          <w:rFonts w:hint="eastAsia" w:ascii="宋体" w:hAnsi="宋体" w:eastAsia="宋体" w:cs="宋体"/>
          <w:color w:val="000000"/>
          <w:kern w:val="0"/>
          <w:sz w:val="24"/>
          <w:szCs w:val="24"/>
          <w:highlight w:val="none"/>
          <w:u w:val="single"/>
          <w:lang w:val="en-US" w:eastAsia="zh-CN" w:bidi="ar"/>
        </w:rPr>
        <w:t>胡勇前</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公司电话：</w:t>
      </w:r>
      <w:r>
        <w:rPr>
          <w:rFonts w:hint="eastAsia" w:ascii="宋体" w:hAnsi="宋体" w:eastAsia="宋体" w:cs="宋体"/>
          <w:color w:val="000000"/>
          <w:kern w:val="0"/>
          <w:sz w:val="24"/>
          <w:szCs w:val="24"/>
          <w:highlight w:val="none"/>
          <w:u w:val="single"/>
          <w:lang w:val="en-US" w:eastAsia="zh-CN" w:bidi="ar"/>
        </w:rPr>
        <w:t>0757-83139146</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乙方：</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住所地：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公司电话：</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现甲乙双方正在或将要进行</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事宜，乙方已经或者将要涉及甲方的保密信息。根据《</w:t>
      </w:r>
      <w:r>
        <w:rPr>
          <w:rFonts w:hint="eastAsia" w:ascii="宋体" w:hAnsi="宋体" w:eastAsia="宋体" w:cs="宋体"/>
          <w:color w:val="000000"/>
          <w:kern w:val="0"/>
          <w:sz w:val="24"/>
          <w:szCs w:val="24"/>
          <w:highlight w:val="none"/>
          <w:lang w:val="en-US" w:eastAsia="zh-CN" w:bidi="ar"/>
        </w:rPr>
        <w:fldChar w:fldCharType="begin"/>
      </w:r>
      <w:r>
        <w:rPr>
          <w:rFonts w:hint="eastAsia" w:ascii="宋体" w:hAnsi="宋体" w:eastAsia="宋体" w:cs="宋体"/>
          <w:color w:val="000000"/>
          <w:kern w:val="0"/>
          <w:sz w:val="24"/>
          <w:szCs w:val="24"/>
          <w:highlight w:val="none"/>
          <w:lang w:val="en-US" w:eastAsia="zh-CN" w:bidi="ar"/>
        </w:rPr>
        <w:instrText xml:space="preserve">HYPERLINK "http://www.baike.com/wiki/中华人民共和国保守国家秘密法"</w:instrText>
      </w:r>
      <w:r>
        <w:rPr>
          <w:rFonts w:hint="eastAsia" w:ascii="宋体" w:hAnsi="宋体" w:eastAsia="宋体" w:cs="宋体"/>
          <w:color w:val="000000"/>
          <w:kern w:val="0"/>
          <w:sz w:val="24"/>
          <w:szCs w:val="24"/>
          <w:highlight w:val="none"/>
          <w:lang w:val="en-US" w:eastAsia="zh-CN" w:bidi="ar"/>
        </w:rPr>
        <w:fldChar w:fldCharType="separate"/>
      </w:r>
      <w:r>
        <w:rPr>
          <w:rFonts w:hint="eastAsia" w:ascii="宋体" w:hAnsi="宋体" w:eastAsia="宋体" w:cs="宋体"/>
          <w:color w:val="000000"/>
          <w:kern w:val="0"/>
          <w:sz w:val="24"/>
          <w:szCs w:val="24"/>
          <w:highlight w:val="none"/>
          <w:lang w:val="en-US" w:eastAsia="zh-CN" w:bidi="ar"/>
        </w:rPr>
        <w:t>中华人民共和国保守国家秘密法</w:t>
      </w:r>
      <w:r>
        <w:rPr>
          <w:rFonts w:hint="eastAsia" w:ascii="宋体" w:hAnsi="宋体" w:eastAsia="宋体" w:cs="宋体"/>
          <w:color w:val="000000"/>
          <w:kern w:val="0"/>
          <w:sz w:val="24"/>
          <w:szCs w:val="24"/>
          <w:highlight w:val="none"/>
          <w:lang w:val="en-US" w:eastAsia="zh-CN" w:bidi="ar"/>
        </w:rPr>
        <w:fldChar w:fldCharType="end"/>
      </w:r>
      <w:r>
        <w:rPr>
          <w:rFonts w:hint="eastAsia" w:ascii="宋体" w:hAnsi="宋体" w:eastAsia="宋体" w:cs="宋体"/>
          <w:color w:val="000000"/>
          <w:kern w:val="0"/>
          <w:sz w:val="24"/>
          <w:szCs w:val="24"/>
          <w:highlight w:val="none"/>
          <w:lang w:val="en-US" w:eastAsia="zh-CN" w:bidi="ar"/>
        </w:rPr>
        <w:t>》《中华人民共和国劳动法》《</w:t>
      </w:r>
      <w:r>
        <w:rPr>
          <w:rFonts w:hint="eastAsia" w:ascii="宋体" w:hAnsi="宋体" w:eastAsia="宋体" w:cs="宋体"/>
          <w:color w:val="000000"/>
          <w:kern w:val="0"/>
          <w:sz w:val="24"/>
          <w:szCs w:val="24"/>
          <w:highlight w:val="none"/>
          <w:lang w:val="en-US" w:eastAsia="zh-CN" w:bidi="ar"/>
        </w:rPr>
        <w:fldChar w:fldCharType="begin"/>
      </w:r>
      <w:r>
        <w:rPr>
          <w:rFonts w:hint="eastAsia" w:ascii="宋体" w:hAnsi="宋体" w:eastAsia="宋体" w:cs="宋体"/>
          <w:color w:val="000000"/>
          <w:kern w:val="0"/>
          <w:sz w:val="24"/>
          <w:szCs w:val="24"/>
          <w:highlight w:val="none"/>
          <w:lang w:val="en-US" w:eastAsia="zh-CN" w:bidi="ar"/>
        </w:rPr>
        <w:instrText xml:space="preserve">HYPERLINK "https://baike.so.com/doc/5469957-5707869.html"</w:instrText>
      </w:r>
      <w:r>
        <w:rPr>
          <w:rFonts w:hint="eastAsia" w:ascii="宋体" w:hAnsi="宋体" w:eastAsia="宋体" w:cs="宋体"/>
          <w:color w:val="000000"/>
          <w:kern w:val="0"/>
          <w:sz w:val="24"/>
          <w:szCs w:val="24"/>
          <w:highlight w:val="none"/>
          <w:lang w:val="en-US" w:eastAsia="zh-CN" w:bidi="ar"/>
        </w:rPr>
        <w:fldChar w:fldCharType="separate"/>
      </w:r>
      <w:r>
        <w:rPr>
          <w:rFonts w:hint="eastAsia" w:ascii="宋体" w:hAnsi="宋体" w:eastAsia="宋体" w:cs="宋体"/>
          <w:color w:val="000000"/>
          <w:kern w:val="0"/>
          <w:sz w:val="24"/>
          <w:szCs w:val="24"/>
          <w:highlight w:val="none"/>
          <w:lang w:val="en-US" w:eastAsia="zh-CN" w:bidi="ar"/>
        </w:rPr>
        <w:t>中华人民共和国</w:t>
      </w:r>
      <w:r>
        <w:rPr>
          <w:rFonts w:hint="eastAsia" w:ascii="宋体" w:hAnsi="宋体" w:eastAsia="宋体" w:cs="宋体"/>
          <w:color w:val="000000"/>
          <w:kern w:val="0"/>
          <w:sz w:val="24"/>
          <w:szCs w:val="24"/>
          <w:highlight w:val="none"/>
          <w:lang w:val="en-US" w:eastAsia="zh-CN" w:bidi="ar"/>
        </w:rPr>
        <w:fldChar w:fldCharType="end"/>
      </w:r>
      <w:r>
        <w:rPr>
          <w:rFonts w:hint="eastAsia" w:ascii="宋体" w:hAnsi="宋体" w:eastAsia="宋体" w:cs="宋体"/>
          <w:color w:val="000000"/>
          <w:kern w:val="0"/>
          <w:sz w:val="24"/>
          <w:szCs w:val="24"/>
          <w:highlight w:val="none"/>
          <w:lang w:val="en-US" w:eastAsia="zh-CN" w:bidi="ar"/>
        </w:rPr>
        <w:t>民法典》等法律法规规章及有关规定，甲、乙双方在遵循平等自愿、协商一致、诚实信用的原则下，就甲方保密事项达成如下协议：</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一、保密内容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甲、乙双方确认，乙方应承担保密义务的甲方工作秘密范围包括但不限于以下内容。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（一）技术信息：技术方案、工程设计、技术报告、检测报告、实验数据、试验结果、图纸、样品等。</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（二）经营信息：包括经营方针、投资决策意向、产品服务定价、市场分析、广告策略等。</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（三）公司依照法律规定或者有关协议的约定对外承担保密义务的事项。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（四）甲方与乙方所洽谈、协商或合作事宜本身及相关内容。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（五）甲方依照法律法规或者有关协议的约定对外承担保密义务的事项。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（六）甲方尚未对外公开披露的信息。</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二、保密义务</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（一）乙方必须按甲方的要求从事经营、生产项目和科研项目的设计与开发，并将生产、经营、设计与开发的成果、资料交甲方，甲方拥有所有权和处置权。</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（二）乙方不得以任何方式将任何或部分保密信息提供给任何第三方，乙方对上述保密信息的使用的方式和程度仅限于本项目之相关活动，不得将保密信息用于和执行与项目无关的活动。</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（三）乙方不得刺探非本职工作所需要的工作秘密。</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（四）未经甲方书面同意，乙方不得利用甲方的工作秘密进行新产品的设计与开发和撰写论文向第三方公布。</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（五）双方解除或终止劳动合同后，乙方不得向第三方公开甲方所拥有的未被公众知悉的工作秘密。</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（六）乙方必须严格遵守甲方的保密制度，防止泄露甲方的商业秘密。</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七）乙方除应遵守本协议的保密义务外，还应遵守双方的保密制度，并教育雇员遵守相同义务。因乙方工作人员行为（包括职务行为和个人行为）而造成的商业秘密泄露或者不正当利用或者其他任何形式泄密，乙方应当承担违约责任。</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三、保密期限</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乙方承担保密义务的期限为下列第</w:t>
      </w:r>
      <w:r>
        <w:rPr>
          <w:rFonts w:hint="eastAsia" w:ascii="宋体" w:hAnsi="宋体" w:eastAsia="宋体" w:cs="宋体"/>
          <w:color w:val="000000"/>
          <w:kern w:val="0"/>
          <w:sz w:val="24"/>
          <w:szCs w:val="24"/>
          <w:highlight w:val="none"/>
          <w:u w:val="single"/>
          <w:lang w:val="en-US" w:eastAsia="zh-CN" w:bidi="ar"/>
        </w:rPr>
        <w:t xml:space="preserve"> 1 </w:t>
      </w:r>
      <w:r>
        <w:rPr>
          <w:rFonts w:hint="eastAsia" w:ascii="宋体" w:hAnsi="宋体" w:eastAsia="宋体" w:cs="宋体"/>
          <w:color w:val="000000"/>
          <w:kern w:val="0"/>
          <w:sz w:val="24"/>
          <w:szCs w:val="24"/>
          <w:highlight w:val="none"/>
          <w:lang w:val="en-US" w:eastAsia="zh-CN" w:bidi="ar"/>
        </w:rPr>
        <w:t>种。</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（一）无限期保密，直至甲方宣布解密或者秘密信息实际上已经公开。</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（二）有限期保密，保密期限自本协议签订之日起/年。</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四、违约责任</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（一）乙方如违反本合同任何条款，应一次性向甲方支付违约金</w:t>
      </w:r>
      <w:r>
        <w:rPr>
          <w:rFonts w:hint="eastAsia" w:ascii="宋体" w:hAnsi="宋体" w:eastAsia="宋体" w:cs="宋体"/>
          <w:color w:val="000000"/>
          <w:kern w:val="0"/>
          <w:sz w:val="24"/>
          <w:szCs w:val="24"/>
          <w:highlight w:val="none"/>
          <w:u w:val="single"/>
          <w:lang w:val="en-US" w:eastAsia="zh-CN" w:bidi="ar"/>
        </w:rPr>
        <w:t>10</w:t>
      </w:r>
      <w:r>
        <w:rPr>
          <w:rFonts w:hint="eastAsia" w:ascii="宋体" w:hAnsi="宋体" w:eastAsia="宋体" w:cs="宋体"/>
          <w:color w:val="000000"/>
          <w:kern w:val="0"/>
          <w:sz w:val="24"/>
          <w:szCs w:val="24"/>
          <w:highlight w:val="none"/>
          <w:lang w:val="en-US" w:eastAsia="zh-CN" w:bidi="ar"/>
        </w:rPr>
        <w:t>万元，同时，甲方有权一次性收回已向乙方发放的所有保密费。</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（二）因乙方违约行为造成甲方损失或严重后果的，乙方应当承担赔偿责任。损失赔偿包括：</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1.甲方的实际经济损失。</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2.甲方因调查乙方的违反协议行为而支付的合理费用等。</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（三）若乙方的违约行为造成秘密泄露，乙方除支付违约金外，还应承担相应的责任。</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（四）若乙方违反本协议，甲方有权终止提供保密信息。</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五、争议处理</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（一）本协议受中华人民共和国法律管辖并按其进行解释。</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（二）本协议在履行过程中发生争议的，由双方当事人协商解决，也可由有关部门调解；调解不成的，可提交当地仲裁委员会或甲方所在地人民法院起诉。</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六、其他</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（一）乙方确认，在签署本协议前已仔细审阅过协议内容，完全了解协议各条款的法律含义，并知悉和认可公司《保密管理制度》。</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（二）本协议如与双方以前的口头或书面协议有抵触，以本协议为准。本协议的修改必须采用双方同意的书面形式。</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（三）本协议未尽事宜，按照国家法律法规规章或政府主管部门的有关规章、制度执行。</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七、本协议一式贰份，各方各执壹份，具有同等法律效力。自双方法定代表人签字并盖公章之日起生效。</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甲方(签名盖章)                 乙方(签名盖章)</w:t>
      </w: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年   月   日                   年   月   日</w:t>
      </w:r>
    </w:p>
    <w:p>
      <w:pPr>
        <w:adjustRightInd w:val="0"/>
        <w:snapToGrid w:val="0"/>
        <w:spacing w:before="156" w:beforeLines="50" w:after="156" w:afterLines="50" w:line="360" w:lineRule="auto"/>
        <w:outlineLvl w:val="0"/>
        <w:rPr>
          <w:rFonts w:hint="eastAsia"/>
          <w:b/>
          <w:bCs/>
          <w:color w:val="auto"/>
          <w:sz w:val="28"/>
          <w:szCs w:val="28"/>
          <w:highlight w:val="none"/>
        </w:rPr>
        <w:sectPr>
          <w:pgSz w:w="11906" w:h="16838"/>
          <w:pgMar w:top="1440" w:right="5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outlineLvl w:val="0"/>
        <w:rPr>
          <w:rFonts w:hint="eastAsia"/>
          <w:b/>
          <w:bCs/>
          <w:color w:val="auto"/>
          <w:sz w:val="28"/>
          <w:szCs w:val="28"/>
          <w:highlight w:val="none"/>
        </w:rPr>
      </w:pPr>
      <w:bookmarkStart w:id="511" w:name="_Toc1242"/>
      <w:r>
        <w:rPr>
          <w:rFonts w:hint="eastAsia"/>
          <w:b/>
          <w:bCs/>
          <w:color w:val="auto"/>
          <w:sz w:val="28"/>
          <w:szCs w:val="28"/>
          <w:highlight w:val="none"/>
        </w:rPr>
        <w:t>第七章  投标文件格式</w:t>
      </w:r>
      <w:bookmarkEnd w:id="511"/>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512" w:name="_Toc22346"/>
      <w:r>
        <w:rPr>
          <w:rFonts w:hint="eastAsia" w:ascii="宋体" w:hAnsi="宋体"/>
          <w:b/>
          <w:color w:val="auto"/>
          <w:sz w:val="28"/>
          <w:szCs w:val="28"/>
          <w:highlight w:val="none"/>
          <w:lang w:eastAsia="zh-TW"/>
        </w:rPr>
        <w:t>投标文件包装封面参考</w:t>
      </w:r>
      <w:bookmarkEnd w:id="51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727" w:hRule="atLeast"/>
        </w:trPr>
        <w:tc>
          <w:tcPr>
            <w:tcW w:w="9657" w:type="dxa"/>
            <w:noWrap w:val="0"/>
            <w:vAlign w:val="top"/>
          </w:tcPr>
          <w:p>
            <w:pPr>
              <w:pStyle w:val="15"/>
              <w:spacing w:line="360" w:lineRule="auto"/>
              <w:ind w:firstLine="482" w:firstLineChars="150"/>
              <w:rPr>
                <w:rFonts w:hint="eastAsia" w:ascii="仿宋_GB2312" w:eastAsia="仿宋_GB2312"/>
                <w:b/>
                <w:color w:val="auto"/>
                <w:sz w:val="32"/>
                <w:highlight w:val="none"/>
              </w:rPr>
            </w:pPr>
          </w:p>
          <w:p>
            <w:pPr>
              <w:pStyle w:val="15"/>
              <w:spacing w:line="360" w:lineRule="auto"/>
              <w:ind w:firstLine="482" w:firstLineChars="150"/>
              <w:rPr>
                <w:rFonts w:hint="eastAsia" w:ascii="仿宋_GB2312" w:eastAsia="仿宋_GB2312"/>
                <w:b/>
                <w:color w:val="auto"/>
                <w:sz w:val="32"/>
                <w:highlight w:val="none"/>
              </w:rPr>
            </w:pPr>
          </w:p>
          <w:p>
            <w:pPr>
              <w:pStyle w:val="15"/>
              <w:spacing w:line="360" w:lineRule="auto"/>
              <w:ind w:firstLine="482" w:firstLineChars="150"/>
              <w:rPr>
                <w:rFonts w:hint="eastAsia" w:ascii="仿宋_GB2312" w:eastAsia="仿宋_GB2312"/>
                <w:b/>
                <w:color w:val="auto"/>
                <w:sz w:val="32"/>
                <w:highlight w:val="none"/>
              </w:rPr>
            </w:pPr>
          </w:p>
          <w:p>
            <w:pPr>
              <w:pStyle w:val="15"/>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投 标 文 件</w:t>
            </w:r>
          </w:p>
          <w:p>
            <w:pPr>
              <w:pStyle w:val="15"/>
              <w:spacing w:line="360" w:lineRule="auto"/>
              <w:jc w:val="center"/>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pPr>
              <w:pStyle w:val="15"/>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15"/>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15"/>
              <w:spacing w:line="360" w:lineRule="auto"/>
              <w:rPr>
                <w:rFonts w:hint="eastAsia" w:ascii="仿宋_GB2312" w:eastAsia="仿宋_GB2312"/>
                <w:b/>
                <w:color w:val="auto"/>
                <w:sz w:val="32"/>
                <w:highlight w:val="none"/>
              </w:rPr>
            </w:pPr>
          </w:p>
          <w:p>
            <w:pPr>
              <w:pStyle w:val="15"/>
              <w:spacing w:line="400" w:lineRule="exact"/>
              <w:ind w:firstLine="900" w:firstLineChars="32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JG2022(SZ)XZ0013</w:t>
            </w:r>
          </w:p>
          <w:p>
            <w:pPr>
              <w:pStyle w:val="15"/>
              <w:spacing w:line="400" w:lineRule="exact"/>
              <w:ind w:left="2323" w:leftChars="426" w:hanging="1428" w:hangingChars="508"/>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珠三角枢纽（广州新）机场可行性研究阶段勘察服务项目</w:t>
            </w:r>
          </w:p>
          <w:p>
            <w:pPr>
              <w:pStyle w:val="1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1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投标人地址：</w:t>
            </w:r>
          </w:p>
          <w:p>
            <w:pPr>
              <w:pStyle w:val="1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递交地址：</w:t>
            </w:r>
          </w:p>
          <w:p>
            <w:pPr>
              <w:pStyle w:val="1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参投包组：                </w:t>
            </w:r>
          </w:p>
          <w:p>
            <w:pPr>
              <w:tabs>
                <w:tab w:val="left" w:pos="851"/>
              </w:tabs>
              <w:autoSpaceDE w:val="0"/>
              <w:autoSpaceDN w:val="0"/>
              <w:adjustRightInd w:val="0"/>
              <w:snapToGrid w:val="0"/>
              <w:spacing w:line="420" w:lineRule="auto"/>
              <w:rPr>
                <w:rFonts w:hint="eastAsia"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ascii="仿宋_GB2312" w:eastAsia="仿宋_GB2312"/>
                <w:b/>
                <w:color w:val="auto"/>
                <w:sz w:val="28"/>
                <w:szCs w:val="28"/>
                <w:highlight w:val="none"/>
              </w:rPr>
              <w:t>)</w:t>
            </w:r>
            <w:r>
              <w:rPr>
                <w:rFonts w:hint="eastAsia" w:ascii="仿宋_GB2312" w:eastAsia="仿宋_GB2312"/>
                <w:b/>
                <w:color w:val="auto"/>
                <w:sz w:val="28"/>
                <w:szCs w:val="28"/>
                <w:highlight w:val="none"/>
              </w:rPr>
              <w:t>之前不得启封</w:t>
            </w:r>
          </w:p>
        </w:tc>
      </w:tr>
    </w:tbl>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513" w:name="_Toc8867"/>
      <w:bookmarkStart w:id="514" w:name="_Toc275865604"/>
      <w:r>
        <w:rPr>
          <w:rFonts w:hint="eastAsia" w:ascii="宋体" w:hAnsi="宋体"/>
          <w:b/>
          <w:color w:val="auto"/>
          <w:sz w:val="28"/>
          <w:szCs w:val="28"/>
          <w:highlight w:val="none"/>
          <w:lang w:eastAsia="zh-TW"/>
        </w:rPr>
        <w:t>投标文件目录表</w:t>
      </w:r>
      <w:bookmarkEnd w:id="513"/>
      <w:bookmarkEnd w:id="514"/>
    </w:p>
    <w:p>
      <w:pPr>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珠三角枢纽（广州新）机场可行性研究阶段勘察服务项目</w:t>
      </w:r>
    </w:p>
    <w:p>
      <w:pPr>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color w:val="auto"/>
          <w:highlight w:val="none"/>
          <w:lang w:eastAsia="zh-CN"/>
        </w:rPr>
        <w:t>JG2022(SZ)XZ0013</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8"/>
        <w:gridCol w:w="630"/>
        <w:gridCol w:w="4819"/>
        <w:gridCol w:w="536"/>
        <w:gridCol w:w="487"/>
        <w:gridCol w:w="725"/>
        <w:gridCol w:w="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1778" w:type="dxa"/>
            <w:vMerge w:val="restart"/>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文件类型</w:t>
            </w:r>
          </w:p>
        </w:tc>
        <w:tc>
          <w:tcPr>
            <w:tcW w:w="630" w:type="dxa"/>
            <w:vMerge w:val="restart"/>
            <w:shd w:val="clear" w:color="auto" w:fill="EEECE1"/>
            <w:noWrap w:val="0"/>
            <w:vAlign w:val="center"/>
          </w:tcPr>
          <w:p>
            <w:pPr>
              <w:ind w:left="-101" w:leftChars="-48" w:right="-99" w:rightChars="-47"/>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819" w:type="dxa"/>
            <w:vMerge w:val="restart"/>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文    件    名    称</w:t>
            </w:r>
          </w:p>
        </w:tc>
        <w:tc>
          <w:tcPr>
            <w:tcW w:w="1023" w:type="dxa"/>
            <w:gridSpan w:val="2"/>
            <w:shd w:val="clear" w:color="auto" w:fill="EEECE1"/>
            <w:noWrap w:val="0"/>
            <w:vAlign w:val="center"/>
          </w:tcPr>
          <w:p>
            <w:pPr>
              <w:ind w:left="-118" w:leftChars="-56" w:right="-94" w:rightChars="-45"/>
              <w:jc w:val="center"/>
              <w:rPr>
                <w:rFonts w:hint="eastAsia" w:ascii="宋体" w:hAnsi="宋体" w:cs="宋体"/>
                <w:b/>
                <w:color w:val="auto"/>
                <w:szCs w:val="21"/>
                <w:highlight w:val="none"/>
              </w:rPr>
            </w:pPr>
            <w:r>
              <w:rPr>
                <w:rFonts w:hint="eastAsia" w:ascii="宋体" w:hAnsi="宋体" w:cs="宋体"/>
                <w:b/>
                <w:color w:val="auto"/>
                <w:szCs w:val="21"/>
                <w:highlight w:val="none"/>
              </w:rPr>
              <w:t>提交情况</w:t>
            </w:r>
          </w:p>
        </w:tc>
        <w:tc>
          <w:tcPr>
            <w:tcW w:w="725" w:type="dxa"/>
            <w:vMerge w:val="restart"/>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页码范围</w:t>
            </w:r>
          </w:p>
        </w:tc>
        <w:tc>
          <w:tcPr>
            <w:tcW w:w="726" w:type="dxa"/>
            <w:vMerge w:val="restart"/>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trPr>
        <w:tc>
          <w:tcPr>
            <w:tcW w:w="1778" w:type="dxa"/>
            <w:vMerge w:val="continue"/>
            <w:shd w:val="clear" w:color="auto" w:fill="EEECE1"/>
            <w:noWrap w:val="0"/>
            <w:vAlign w:val="center"/>
          </w:tcPr>
          <w:p>
            <w:pPr>
              <w:jc w:val="center"/>
              <w:rPr>
                <w:rFonts w:hint="eastAsia" w:ascii="宋体" w:hAnsi="宋体" w:cs="宋体"/>
                <w:color w:val="auto"/>
                <w:szCs w:val="21"/>
                <w:highlight w:val="none"/>
              </w:rPr>
            </w:pPr>
          </w:p>
        </w:tc>
        <w:tc>
          <w:tcPr>
            <w:tcW w:w="630" w:type="dxa"/>
            <w:vMerge w:val="continue"/>
            <w:shd w:val="clear" w:color="auto" w:fill="EEECE1"/>
            <w:noWrap w:val="0"/>
            <w:vAlign w:val="center"/>
          </w:tcPr>
          <w:p>
            <w:pPr>
              <w:rPr>
                <w:rFonts w:hint="eastAsia" w:ascii="宋体" w:hAnsi="宋体" w:cs="宋体"/>
                <w:color w:val="auto"/>
                <w:szCs w:val="21"/>
                <w:highlight w:val="none"/>
              </w:rPr>
            </w:pPr>
          </w:p>
        </w:tc>
        <w:tc>
          <w:tcPr>
            <w:tcW w:w="4819" w:type="dxa"/>
            <w:vMerge w:val="continue"/>
            <w:shd w:val="clear" w:color="auto" w:fill="EEECE1"/>
            <w:noWrap w:val="0"/>
            <w:vAlign w:val="center"/>
          </w:tcPr>
          <w:p>
            <w:pPr>
              <w:rPr>
                <w:rFonts w:hint="eastAsia" w:ascii="宋体" w:hAnsi="宋体" w:cs="宋体"/>
                <w:color w:val="auto"/>
                <w:szCs w:val="21"/>
                <w:highlight w:val="none"/>
              </w:rPr>
            </w:pPr>
          </w:p>
        </w:tc>
        <w:tc>
          <w:tcPr>
            <w:tcW w:w="536" w:type="dxa"/>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有</w:t>
            </w:r>
          </w:p>
        </w:tc>
        <w:tc>
          <w:tcPr>
            <w:tcW w:w="487" w:type="dxa"/>
            <w:shd w:val="clear" w:color="auto" w:fill="EEECE1"/>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无</w:t>
            </w:r>
          </w:p>
        </w:tc>
        <w:tc>
          <w:tcPr>
            <w:tcW w:w="725" w:type="dxa"/>
            <w:vMerge w:val="continue"/>
            <w:shd w:val="clear" w:color="auto" w:fill="EEECE1"/>
            <w:noWrap w:val="0"/>
            <w:vAlign w:val="center"/>
          </w:tcPr>
          <w:p>
            <w:pPr>
              <w:jc w:val="center"/>
              <w:rPr>
                <w:rFonts w:hint="eastAsia" w:ascii="宋体" w:hAnsi="宋体" w:cs="宋体"/>
                <w:color w:val="auto"/>
                <w:szCs w:val="21"/>
                <w:highlight w:val="none"/>
              </w:rPr>
            </w:pPr>
          </w:p>
        </w:tc>
        <w:tc>
          <w:tcPr>
            <w:tcW w:w="726" w:type="dxa"/>
            <w:vMerge w:val="continue"/>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restart"/>
            <w:shd w:val="clear" w:color="auto" w:fill="auto"/>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投标人应提交的</w:t>
            </w:r>
            <w:r>
              <w:rPr>
                <w:rFonts w:hint="eastAsia" w:ascii="宋体" w:hAnsi="宋体" w:cs="宋体"/>
                <w:b/>
                <w:color w:val="auto"/>
                <w:szCs w:val="21"/>
                <w:highlight w:val="none"/>
                <w:lang w:eastAsia="zh-CN"/>
              </w:rPr>
              <w:t>初审</w:t>
            </w:r>
            <w:r>
              <w:rPr>
                <w:rFonts w:hint="eastAsia" w:ascii="宋体" w:hAnsi="宋体" w:cs="宋体"/>
                <w:b/>
                <w:color w:val="auto"/>
                <w:szCs w:val="21"/>
                <w:highlight w:val="none"/>
              </w:rPr>
              <w:t>文件</w:t>
            </w: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kern w:val="0"/>
                <w:highlight w:val="none"/>
              </w:rPr>
            </w:pPr>
            <w:r>
              <w:rPr>
                <w:rFonts w:hint="eastAsia" w:hAnsi="宋体" w:cs="宋体"/>
                <w:color w:val="auto"/>
                <w:kern w:val="0"/>
                <w:highlight w:val="none"/>
              </w:rPr>
              <w:t>投标函</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kern w:val="0"/>
                <w:highlight w:val="none"/>
              </w:rPr>
            </w:pPr>
            <w:r>
              <w:rPr>
                <w:rFonts w:hint="eastAsia" w:hAnsi="宋体" w:cs="宋体"/>
                <w:color w:val="auto"/>
                <w:kern w:val="0"/>
                <w:highlight w:val="none"/>
              </w:rPr>
              <w:t>投标人资格声明函</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highlight w:val="none"/>
              </w:rPr>
            </w:pPr>
            <w:r>
              <w:rPr>
                <w:rFonts w:hint="eastAsia" w:hAnsi="宋体" w:cs="宋体"/>
                <w:color w:val="auto"/>
                <w:highlight w:val="none"/>
              </w:rPr>
              <w:t>有效的营业执照（或事业单位法人证书，或社会团体法人登记证书）复印件</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bCs/>
                <w:color w:val="auto"/>
                <w:highlight w:val="none"/>
              </w:rPr>
            </w:pPr>
            <w:r>
              <w:rPr>
                <w:rFonts w:hint="eastAsia" w:hAnsi="宋体" w:cs="宋体"/>
                <w:bCs/>
                <w:color w:val="auto"/>
                <w:highlight w:val="none"/>
                <w:lang w:eastAsia="zh-CN"/>
              </w:rPr>
              <w:t>工程勘察综合类甲级资质</w:t>
            </w:r>
            <w:r>
              <w:rPr>
                <w:rFonts w:hint="eastAsia" w:hAnsi="宋体" w:cs="宋体"/>
                <w:bCs/>
                <w:color w:val="auto"/>
                <w:highlight w:val="none"/>
                <w:lang w:val="en-US" w:eastAsia="zh-CN"/>
              </w:rPr>
              <w:t>或工程勘察专业类（岩土工程）甲级资质证书复印件</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numPr>
                <w:ilvl w:val="0"/>
                <w:numId w:val="0"/>
              </w:numPr>
              <w:rPr>
                <w:rFonts w:hint="eastAsia" w:hAnsi="宋体" w:cs="宋体"/>
                <w:bCs/>
                <w:color w:val="auto"/>
                <w:highlight w:val="none"/>
                <w:lang w:eastAsia="zh-CN"/>
              </w:rPr>
            </w:pPr>
            <w:r>
              <w:rPr>
                <w:rFonts w:hint="eastAsia" w:hAnsi="宋体" w:cs="宋体"/>
                <w:bCs/>
                <w:color w:val="auto"/>
                <w:highlight w:val="none"/>
                <w:lang w:eastAsia="zh-CN"/>
              </w:rPr>
              <w:t>投标人应有良好信誉，且在佛山市建筑诚信评价体系管理平台中办理登记并获得对应行业的建筑行业诚信档案（资质类别为“勘察类企业”）：</w:t>
            </w:r>
          </w:p>
          <w:p>
            <w:pPr>
              <w:pStyle w:val="16"/>
              <w:numPr>
                <w:ilvl w:val="0"/>
                <w:numId w:val="160"/>
              </w:numPr>
              <w:rPr>
                <w:rFonts w:hint="eastAsia" w:hAnsi="宋体" w:cs="宋体"/>
                <w:bCs/>
                <w:color w:val="auto"/>
                <w:highlight w:val="none"/>
                <w:lang w:eastAsia="zh-CN"/>
              </w:rPr>
            </w:pPr>
            <w:r>
              <w:rPr>
                <w:rFonts w:hint="eastAsia" w:hAnsi="宋体" w:cs="宋体"/>
                <w:bCs/>
                <w:color w:val="auto"/>
                <w:highlight w:val="none"/>
                <w:lang w:eastAsia="zh-CN"/>
              </w:rPr>
              <w:t>投标人</w:t>
            </w:r>
            <w:r>
              <w:rPr>
                <w:rFonts w:hint="eastAsia" w:hAnsi="宋体" w:cs="宋体"/>
                <w:bCs/>
                <w:color w:val="auto"/>
                <w:highlight w:val="none"/>
                <w:lang w:val="en-US" w:eastAsia="zh-CN"/>
              </w:rPr>
              <w:t>在</w:t>
            </w:r>
            <w:r>
              <w:rPr>
                <w:rFonts w:hint="eastAsia" w:hAnsi="宋体" w:cs="宋体"/>
                <w:bCs/>
                <w:color w:val="auto"/>
                <w:highlight w:val="none"/>
                <w:lang w:eastAsia="zh-CN"/>
              </w:rPr>
              <w:t>佛山市建筑诚信评价体系管理平台的考评等级为C级或以上且状态显示为“正常”的网页打印件（以资格审查当天的查询结果为准）；</w:t>
            </w:r>
          </w:p>
          <w:p>
            <w:pPr>
              <w:pStyle w:val="16"/>
              <w:numPr>
                <w:ilvl w:val="0"/>
                <w:numId w:val="160"/>
              </w:numPr>
              <w:rPr>
                <w:rFonts w:hint="eastAsia" w:hAnsi="宋体" w:cs="宋体"/>
                <w:color w:val="auto"/>
                <w:highlight w:val="none"/>
              </w:rPr>
            </w:pPr>
            <w:r>
              <w:rPr>
                <w:rFonts w:hint="eastAsia" w:hAnsi="宋体"/>
                <w:color w:val="auto"/>
                <w:highlight w:val="none"/>
              </w:rPr>
              <w:t>广东省以外的投标人，还须提供在广东建设信息网（网址：www.gdcic.net）“进粤企业和人员诚信信息登记平台”专栏关于投标人进粤企业及人员信息登记的网页打印件</w:t>
            </w:r>
            <w:r>
              <w:rPr>
                <w:rFonts w:hint="eastAsia" w:hAnsi="宋体"/>
                <w:color w:val="auto"/>
                <w:highlight w:val="none"/>
                <w:lang w:eastAsia="zh-CN"/>
              </w:rPr>
              <w:t>。</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bCs/>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ascii="宋体" w:hAnsi="宋体" w:cs="宋体"/>
                <w:bCs/>
                <w:color w:val="auto"/>
                <w:szCs w:val="20"/>
                <w:highlight w:val="none"/>
                <w:lang w:eastAsia="zh-CN"/>
              </w:rPr>
            </w:pPr>
            <w:r>
              <w:rPr>
                <w:rFonts w:ascii="宋体" w:hAnsi="宋体" w:cs="宋体"/>
                <w:bCs/>
                <w:color w:val="auto"/>
                <w:szCs w:val="20"/>
                <w:highlight w:val="none"/>
              </w:rPr>
              <w:t>对投标人拟派项目负责人的要求</w:t>
            </w:r>
            <w:r>
              <w:rPr>
                <w:rFonts w:hint="eastAsia" w:ascii="宋体" w:hAnsi="宋体" w:cs="宋体"/>
                <w:bCs/>
                <w:color w:val="auto"/>
                <w:szCs w:val="20"/>
                <w:highlight w:val="none"/>
                <w:lang w:eastAsia="zh-CN"/>
              </w:rPr>
              <w:t>：</w:t>
            </w:r>
          </w:p>
          <w:p>
            <w:pPr>
              <w:pStyle w:val="16"/>
              <w:numPr>
                <w:ilvl w:val="0"/>
                <w:numId w:val="161"/>
              </w:numPr>
              <w:rPr>
                <w:rFonts w:hint="eastAsia" w:hAnsi="宋体" w:cs="宋体"/>
                <w:color w:val="auto"/>
                <w:highlight w:val="none"/>
                <w:lang w:eastAsia="zh-CN"/>
              </w:rPr>
            </w:pPr>
            <w:r>
              <w:rPr>
                <w:rFonts w:ascii="宋体" w:hAnsi="宋体" w:cs="宋体"/>
                <w:bCs/>
                <w:color w:val="auto"/>
                <w:szCs w:val="20"/>
                <w:highlight w:val="none"/>
              </w:rPr>
              <w:t>拟派项目负责人</w:t>
            </w:r>
            <w:r>
              <w:rPr>
                <w:rFonts w:hint="eastAsia" w:ascii="宋体" w:hAnsi="宋体" w:cs="宋体"/>
                <w:bCs/>
                <w:color w:val="auto"/>
                <w:szCs w:val="20"/>
                <w:highlight w:val="none"/>
                <w:lang w:eastAsia="zh-CN"/>
              </w:rPr>
              <w:t>具有高级（或以上）工程师职称，且具有注册于投标人本单位的注册土木工程师（岩土）执业资格证书</w:t>
            </w:r>
            <w:r>
              <w:rPr>
                <w:rFonts w:hint="eastAsia" w:hAnsi="宋体" w:cs="宋体"/>
                <w:color w:val="auto"/>
                <w:highlight w:val="none"/>
              </w:rPr>
              <w:t>复印件</w:t>
            </w:r>
            <w:r>
              <w:rPr>
                <w:rFonts w:hint="eastAsia" w:hAnsi="宋体" w:cs="宋体"/>
                <w:color w:val="auto"/>
                <w:highlight w:val="none"/>
                <w:lang w:eastAsia="zh-CN"/>
              </w:rPr>
              <w:t>；</w:t>
            </w:r>
          </w:p>
          <w:p>
            <w:pPr>
              <w:pStyle w:val="16"/>
              <w:numPr>
                <w:ilvl w:val="0"/>
                <w:numId w:val="161"/>
              </w:numPr>
              <w:rPr>
                <w:rFonts w:hint="eastAsia" w:hAnsi="宋体" w:cs="宋体"/>
                <w:color w:val="auto"/>
                <w:highlight w:val="none"/>
                <w:lang w:eastAsia="zh-CN"/>
              </w:rPr>
            </w:pPr>
            <w:r>
              <w:rPr>
                <w:rFonts w:ascii="宋体" w:hAnsi="宋体" w:cs="宋体"/>
                <w:bCs/>
                <w:color w:val="auto"/>
                <w:szCs w:val="20"/>
                <w:highlight w:val="none"/>
              </w:rPr>
              <w:t>拟派项目负责人</w:t>
            </w:r>
            <w:r>
              <w:rPr>
                <w:rFonts w:hint="eastAsia" w:ascii="宋体" w:hAnsi="宋体" w:cs="宋体"/>
                <w:bCs/>
                <w:color w:val="auto"/>
                <w:szCs w:val="20"/>
                <w:highlight w:val="none"/>
                <w:lang w:eastAsia="zh-CN"/>
              </w:rPr>
              <w:t>在佛山市建筑诚信评价体系管理平台登记备案的人员中选取。省外进粤企业，拟派项目负责人须在“进粤企业和人员诚信信息登记平台”办理了登记手续</w:t>
            </w:r>
            <w:r>
              <w:rPr>
                <w:rFonts w:hint="eastAsia" w:hAnsi="宋体"/>
                <w:color w:val="auto"/>
                <w:highlight w:val="none"/>
              </w:rPr>
              <w:t>的网页打印件</w:t>
            </w:r>
            <w:r>
              <w:rPr>
                <w:rFonts w:hint="eastAsia" w:hAnsi="宋体"/>
                <w:color w:val="auto"/>
                <w:highlight w:val="none"/>
                <w:lang w:eastAsia="zh-CN"/>
              </w:rPr>
              <w:t>；</w:t>
            </w:r>
          </w:p>
          <w:p>
            <w:pPr>
              <w:pStyle w:val="16"/>
              <w:numPr>
                <w:ilvl w:val="0"/>
                <w:numId w:val="0"/>
              </w:numPr>
              <w:rPr>
                <w:rFonts w:hint="eastAsia" w:hAnsi="宋体" w:cs="宋体"/>
                <w:color w:val="auto"/>
                <w:highlight w:val="none"/>
                <w:lang w:eastAsia="zh-CN"/>
              </w:rPr>
            </w:pPr>
            <w:r>
              <w:rPr>
                <w:rFonts w:hint="eastAsia" w:hAnsi="宋体" w:cs="宋体"/>
                <w:color w:val="auto"/>
                <w:highlight w:val="none"/>
                <w:lang w:eastAsia="zh-CN"/>
              </w:rPr>
              <w:t>投标人近半年（扣除发布招标公告当月往前顺推6个月，即2021年10月至2022年3月）为拟派项目负责人缴纳社保资金的有效的社保证明材料。</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bCs/>
                <w:color w:val="auto"/>
                <w:szCs w:val="21"/>
                <w:highlight w:val="none"/>
              </w:rPr>
            </w:pPr>
          </w:p>
        </w:tc>
        <w:tc>
          <w:tcPr>
            <w:tcW w:w="630" w:type="dxa"/>
            <w:shd w:val="clear" w:color="auto" w:fill="auto"/>
            <w:noWrap w:val="0"/>
            <w:vAlign w:val="center"/>
          </w:tcPr>
          <w:p>
            <w:pPr>
              <w:numPr>
                <w:ilvl w:val="0"/>
                <w:numId w:val="159"/>
              </w:numPr>
              <w:ind w:left="0" w:firstLine="0"/>
              <w:jc w:val="center"/>
              <w:rPr>
                <w:rFonts w:hint="eastAsia" w:ascii="宋体" w:hAnsi="宋体" w:cs="宋体"/>
                <w:color w:val="auto"/>
                <w:szCs w:val="21"/>
                <w:highlight w:val="none"/>
              </w:rPr>
            </w:pPr>
          </w:p>
        </w:tc>
        <w:tc>
          <w:tcPr>
            <w:tcW w:w="4819" w:type="dxa"/>
            <w:shd w:val="clear" w:color="auto" w:fill="auto"/>
            <w:noWrap w:val="0"/>
            <w:vAlign w:val="center"/>
          </w:tcPr>
          <w:p>
            <w:pPr>
              <w:pStyle w:val="16"/>
              <w:numPr>
                <w:ilvl w:val="0"/>
                <w:numId w:val="0"/>
              </w:numPr>
              <w:rPr>
                <w:rFonts w:hint="eastAsia" w:hAnsi="宋体" w:cs="宋体"/>
                <w:color w:val="auto"/>
                <w:highlight w:val="none"/>
                <w:lang w:eastAsia="zh-CN"/>
              </w:rPr>
            </w:pPr>
            <w:r>
              <w:rPr>
                <w:rFonts w:hint="eastAsia" w:hAnsi="宋体" w:cs="宋体"/>
                <w:bCs/>
                <w:color w:val="auto"/>
                <w:kern w:val="0"/>
                <w:highlight w:val="none"/>
              </w:rPr>
              <w:t>按照投标邀请规定的时间地点和要求登记并</w:t>
            </w:r>
            <w:r>
              <w:rPr>
                <w:rFonts w:hint="eastAsia" w:hAnsi="宋体" w:cs="宋体"/>
                <w:bCs/>
                <w:color w:val="auto"/>
                <w:kern w:val="0"/>
                <w:highlight w:val="none"/>
                <w:lang w:eastAsia="zh-CN"/>
              </w:rPr>
              <w:t>获取</w:t>
            </w:r>
            <w:r>
              <w:rPr>
                <w:rFonts w:hint="eastAsia" w:hAnsi="宋体" w:cs="宋体"/>
                <w:bCs/>
                <w:color w:val="auto"/>
                <w:kern w:val="0"/>
                <w:highlight w:val="none"/>
              </w:rPr>
              <w:t>招标文件的证明文件</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kern w:val="0"/>
                <w:highlight w:val="none"/>
              </w:rPr>
            </w:pPr>
            <w:r>
              <w:rPr>
                <w:rFonts w:hint="eastAsia" w:hAnsi="宋体" w:cs="宋体"/>
                <w:color w:val="auto"/>
                <w:highlight w:val="none"/>
              </w:rPr>
              <w:t>法定代表人授权委托书</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highlight w:val="none"/>
              </w:rPr>
            </w:pPr>
            <w:r>
              <w:rPr>
                <w:rFonts w:hint="eastAsia" w:hAnsi="宋体" w:cs="宋体"/>
                <w:color w:val="auto"/>
                <w:highlight w:val="none"/>
              </w:rPr>
              <w:t>法定代表人证明书</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59"/>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highlight w:val="none"/>
              </w:rPr>
            </w:pPr>
            <w:r>
              <w:rPr>
                <w:rFonts w:hint="eastAsia" w:hAnsi="宋体" w:cs="宋体"/>
                <w:color w:val="auto"/>
                <w:highlight w:val="none"/>
              </w:rPr>
              <w:t>实质性响应一览表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shd w:val="clear" w:color="auto" w:fill="auto"/>
            <w:noWrap w:val="0"/>
            <w:vAlign w:val="center"/>
          </w:tcPr>
          <w:p>
            <w:pPr>
              <w:ind w:left="113" w:right="113"/>
              <w:jc w:val="center"/>
              <w:rPr>
                <w:rFonts w:hint="eastAsia" w:ascii="宋体" w:hAnsi="宋体" w:cs="宋体"/>
                <w:color w:val="auto"/>
                <w:szCs w:val="21"/>
                <w:highlight w:val="none"/>
              </w:rPr>
            </w:pPr>
            <w:r>
              <w:rPr>
                <w:rFonts w:hint="eastAsia" w:ascii="宋体" w:hAnsi="宋体" w:cs="宋体"/>
                <w:b/>
                <w:color w:val="auto"/>
                <w:szCs w:val="21"/>
                <w:highlight w:val="none"/>
              </w:rPr>
              <w:t>投标人应提交的价格文件</w:t>
            </w:r>
          </w:p>
        </w:tc>
        <w:tc>
          <w:tcPr>
            <w:tcW w:w="630" w:type="dxa"/>
            <w:shd w:val="clear" w:color="auto" w:fill="auto"/>
            <w:noWrap w:val="0"/>
            <w:vAlign w:val="center"/>
          </w:tcPr>
          <w:p>
            <w:pPr>
              <w:numPr>
                <w:ilvl w:val="0"/>
                <w:numId w:val="162"/>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bCs/>
                <w:color w:val="auto"/>
                <w:kern w:val="0"/>
                <w:highlight w:val="none"/>
              </w:rPr>
            </w:pPr>
            <w:r>
              <w:rPr>
                <w:rFonts w:hint="eastAsia" w:hAnsi="宋体" w:cs="宋体"/>
                <w:color w:val="auto"/>
                <w:highlight w:val="none"/>
              </w:rPr>
              <w:t>开标一览表</w:t>
            </w:r>
            <w:r>
              <w:rPr>
                <w:rFonts w:hint="eastAsia" w:hAnsi="宋体" w:cs="宋体"/>
                <w:color w:val="auto"/>
                <w:highlight w:val="none"/>
                <w:lang w:eastAsia="zh-CN"/>
              </w:rPr>
              <w:t>（</w:t>
            </w:r>
            <w:r>
              <w:rPr>
                <w:rFonts w:hint="eastAsia" w:hAnsi="宋体" w:cs="宋体"/>
                <w:color w:val="auto"/>
                <w:highlight w:val="none"/>
              </w:rPr>
              <w:t>报价表</w:t>
            </w:r>
            <w:r>
              <w:rPr>
                <w:rFonts w:hint="eastAsia" w:hAnsi="宋体" w:cs="宋体"/>
                <w:color w:val="auto"/>
                <w:highlight w:val="none"/>
                <w:lang w:eastAsia="zh-CN"/>
              </w:rPr>
              <w:t>）</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restart"/>
            <w:shd w:val="clear" w:color="auto" w:fill="auto"/>
            <w:noWrap w:val="0"/>
            <w:vAlign w:val="center"/>
          </w:tcPr>
          <w:p>
            <w:pPr>
              <w:ind w:left="113" w:right="113"/>
              <w:jc w:val="center"/>
              <w:rPr>
                <w:rFonts w:hint="eastAsia" w:ascii="宋体" w:hAnsi="宋体" w:cs="宋体"/>
                <w:b/>
                <w:color w:val="auto"/>
                <w:szCs w:val="21"/>
                <w:highlight w:val="none"/>
              </w:rPr>
            </w:pPr>
            <w:r>
              <w:rPr>
                <w:rFonts w:hint="eastAsia" w:ascii="宋体" w:hAnsi="宋体" w:cs="宋体"/>
                <w:b/>
                <w:color w:val="auto"/>
                <w:szCs w:val="21"/>
                <w:highlight w:val="none"/>
              </w:rPr>
              <w:t>投标人应提交的技术文件</w:t>
            </w: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rPr>
              <w:t>勘察范围、勘察内容</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eastAsia" w:ascii="宋体" w:hAnsi="宋体" w:eastAsia="宋体" w:cs="宋体"/>
                <w:color w:val="auto"/>
                <w:szCs w:val="21"/>
                <w:highlight w:val="none"/>
                <w:lang w:eastAsia="zh-CN"/>
              </w:rPr>
            </w:pPr>
            <w:r>
              <w:rPr>
                <w:rFonts w:hint="eastAsia" w:ascii="宋体" w:hAnsi="宋体" w:eastAsia="宋体" w:cs="宋体"/>
                <w:b w:val="0"/>
                <w:bCs/>
                <w:color w:val="auto"/>
                <w:sz w:val="21"/>
                <w:szCs w:val="21"/>
                <w:highlight w:val="none"/>
              </w:rPr>
              <w:t>勘察依据、勘察工作目标</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b w:val="0"/>
                <w:bCs/>
                <w:color w:val="auto"/>
                <w:sz w:val="21"/>
                <w:szCs w:val="21"/>
                <w:highlight w:val="none"/>
              </w:rPr>
              <w:t>勘察机构设置和岗位职责</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b w:val="0"/>
                <w:bCs/>
                <w:color w:val="auto"/>
                <w:sz w:val="21"/>
                <w:szCs w:val="21"/>
                <w:highlight w:val="none"/>
              </w:rPr>
              <w:t>勘察说明和勘察方案</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1778" w:type="dxa"/>
            <w:vMerge w:val="continue"/>
            <w:shd w:val="clear" w:color="auto" w:fill="auto"/>
            <w:noWrap w:val="0"/>
            <w:vAlign w:val="center"/>
          </w:tcPr>
          <w:p>
            <w:pPr>
              <w:ind w:left="113" w:right="113"/>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eastAsia" w:ascii="宋体" w:hAnsi="宋体" w:cs="宋体"/>
                <w:color w:val="auto"/>
                <w:kern w:val="0"/>
                <w:szCs w:val="21"/>
                <w:highlight w:val="none"/>
                <w:lang w:val="en-US" w:eastAsia="zh-CN" w:bidi="ar"/>
              </w:rPr>
            </w:pPr>
            <w:r>
              <w:rPr>
                <w:rFonts w:hint="eastAsia" w:ascii="宋体" w:hAnsi="宋体" w:eastAsia="宋体" w:cs="宋体"/>
                <w:b w:val="0"/>
                <w:bCs/>
                <w:color w:val="auto"/>
                <w:sz w:val="21"/>
                <w:szCs w:val="21"/>
                <w:highlight w:val="none"/>
              </w:rPr>
              <w:t>勘察质量、进度、保密等保证措施</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1778" w:type="dxa"/>
            <w:vMerge w:val="continue"/>
            <w:shd w:val="clear" w:color="auto" w:fill="auto"/>
            <w:noWrap w:val="0"/>
            <w:vAlign w:val="center"/>
          </w:tcPr>
          <w:p>
            <w:pPr>
              <w:ind w:left="113" w:right="113"/>
              <w:jc w:val="center"/>
              <w:rPr>
                <w:rFonts w:hint="eastAsia" w:ascii="宋体" w:hAnsi="宋体" w:cs="宋体"/>
                <w:b/>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b w:val="0"/>
                <w:bCs/>
                <w:color w:val="auto"/>
                <w:sz w:val="21"/>
                <w:szCs w:val="21"/>
                <w:highlight w:val="none"/>
              </w:rPr>
              <w:t>勘察安全保证措施</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rPr>
              <w:t>勘察工作重点、难点分析及合理化建议</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rPr>
              <w:t>与地方单位及民航行业主管部门协调措施</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b w:val="0"/>
                <w:bCs/>
                <w:color w:val="auto"/>
                <w:sz w:val="21"/>
                <w:szCs w:val="21"/>
                <w:highlight w:val="none"/>
              </w:rPr>
              <w:t>总体协调工作和后续服务安排及保证措施</w:t>
            </w:r>
            <w:r>
              <w:rPr>
                <w:rFonts w:hint="eastAsia" w:ascii="宋体" w:hAnsi="宋体" w:eastAsia="宋体" w:cs="宋体"/>
                <w:b/>
                <w:bCs w:val="0"/>
                <w:color w:val="auto"/>
                <w:sz w:val="21"/>
                <w:szCs w:val="21"/>
                <w:highlight w:val="none"/>
                <w:lang w:eastAsia="zh-CN"/>
              </w:rPr>
              <w:t>（适用于包组一）</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rPr>
              <w:t>后续服务安排及保证措施</w:t>
            </w:r>
            <w:r>
              <w:rPr>
                <w:rFonts w:hint="eastAsia" w:ascii="宋体" w:hAnsi="宋体" w:eastAsia="宋体" w:cs="宋体"/>
                <w:b/>
                <w:bCs w:val="0"/>
                <w:color w:val="auto"/>
                <w:sz w:val="21"/>
                <w:szCs w:val="21"/>
                <w:highlight w:val="none"/>
                <w:lang w:eastAsia="zh-CN"/>
              </w:rPr>
              <w:t>（适用于包组二、三）</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lang w:eastAsia="zh-CN"/>
              </w:rPr>
              <w:t>项</w:t>
            </w:r>
            <w:r>
              <w:rPr>
                <w:rFonts w:hint="eastAsia" w:ascii="宋体" w:hAnsi="宋体" w:eastAsia="宋体" w:cs="宋体"/>
                <w:b w:val="0"/>
                <w:bCs/>
                <w:color w:val="auto"/>
                <w:sz w:val="21"/>
                <w:szCs w:val="21"/>
                <w:highlight w:val="none"/>
              </w:rPr>
              <w:t>目负责人及项目管理班子配备情况</w:t>
            </w:r>
            <w:r>
              <w:rPr>
                <w:rFonts w:hint="eastAsia" w:hAnsi="宋体" w:cs="宋体"/>
                <w:color w:val="auto"/>
                <w:highlight w:val="none"/>
                <w:lang w:eastAsia="zh-CN"/>
              </w:rPr>
              <w:t>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78" w:type="dxa"/>
            <w:vMerge w:val="continue"/>
            <w:shd w:val="clear" w:color="auto" w:fill="auto"/>
            <w:noWrap w:val="0"/>
            <w:vAlign w:val="center"/>
          </w:tcPr>
          <w:p>
            <w:pPr>
              <w:ind w:left="113" w:right="113"/>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3"/>
              </w:numPr>
              <w:jc w:val="center"/>
              <w:rPr>
                <w:rFonts w:hint="eastAsia" w:ascii="宋体" w:hAnsi="宋体" w:eastAsia="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投标人认为需要提供的其它</w:t>
            </w:r>
            <w:r>
              <w:rPr>
                <w:rFonts w:hint="eastAsia" w:ascii="宋体" w:hAnsi="宋体" w:cs="宋体"/>
                <w:color w:val="auto"/>
                <w:szCs w:val="21"/>
                <w:highlight w:val="none"/>
                <w:lang w:eastAsia="zh-CN"/>
              </w:rPr>
              <w:t>技术资料</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restart"/>
            <w:shd w:val="clear" w:color="auto" w:fill="auto"/>
            <w:noWrap w:val="0"/>
            <w:vAlign w:val="center"/>
          </w:tcPr>
          <w:p>
            <w:pPr>
              <w:jc w:val="center"/>
              <w:rPr>
                <w:rFonts w:hint="eastAsia" w:ascii="宋体" w:hAnsi="宋体" w:cs="宋体"/>
                <w:color w:val="auto"/>
                <w:szCs w:val="21"/>
                <w:highlight w:val="none"/>
              </w:rPr>
            </w:pPr>
            <w:r>
              <w:rPr>
                <w:rFonts w:hint="eastAsia" w:ascii="宋体" w:hAnsi="宋体" w:cs="宋体"/>
                <w:b/>
                <w:color w:val="auto"/>
                <w:szCs w:val="21"/>
                <w:highlight w:val="none"/>
              </w:rPr>
              <w:t>投标人应提交的商务文件</w:t>
            </w: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投标人基本情况表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highlight w:val="none"/>
                <w:lang w:eastAsia="zh-CN"/>
              </w:rPr>
            </w:pPr>
            <w:r>
              <w:rPr>
                <w:rFonts w:hint="eastAsia" w:hAnsi="宋体" w:cs="宋体"/>
                <w:color w:val="auto"/>
                <w:highlight w:val="none"/>
                <w:lang w:eastAsia="zh-CN"/>
              </w:rPr>
              <w:t>企业管理体系认证</w:t>
            </w:r>
            <w:r>
              <w:rPr>
                <w:rFonts w:hint="eastAsia" w:hAnsi="宋体" w:cs="宋体"/>
                <w:color w:val="auto"/>
                <w:highlight w:val="none"/>
              </w:rPr>
              <w:t>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eastAsia="宋体" w:cs="宋体"/>
                <w:color w:val="auto"/>
                <w:highlight w:val="none"/>
                <w:lang w:eastAsia="zh-CN"/>
              </w:rPr>
            </w:pPr>
            <w:r>
              <w:rPr>
                <w:rFonts w:hint="eastAsia" w:hAnsi="宋体" w:cs="宋体"/>
                <w:color w:val="auto"/>
                <w:highlight w:val="none"/>
                <w:lang w:eastAsia="zh-CN"/>
              </w:rPr>
              <w:t>企业类似工程业绩情况</w:t>
            </w:r>
            <w:r>
              <w:rPr>
                <w:rFonts w:hint="eastAsia" w:hAnsi="宋体" w:cs="宋体"/>
                <w:color w:val="auto"/>
                <w:kern w:val="0"/>
                <w:highlight w:val="none"/>
              </w:rPr>
              <w:t>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kern w:val="0"/>
                <w:highlight w:val="none"/>
              </w:rPr>
            </w:pPr>
            <w:r>
              <w:rPr>
                <w:rFonts w:hint="eastAsia" w:hAnsi="宋体" w:cs="宋体"/>
                <w:color w:val="auto"/>
                <w:kern w:val="0"/>
                <w:highlight w:val="none"/>
                <w:lang w:val="en-US" w:eastAsia="zh-CN"/>
              </w:rPr>
              <w:t>项目负责人业绩</w:t>
            </w:r>
            <w:r>
              <w:rPr>
                <w:rFonts w:hint="eastAsia" w:hAnsi="宋体" w:cs="宋体"/>
                <w:color w:val="auto"/>
                <w:highlight w:val="none"/>
                <w:lang w:eastAsia="zh-CN"/>
              </w:rPr>
              <w:t>情况</w:t>
            </w:r>
            <w:r>
              <w:rPr>
                <w:rFonts w:hint="eastAsia" w:hAnsi="宋体" w:cs="宋体"/>
                <w:color w:val="auto"/>
                <w:kern w:val="0"/>
                <w:highlight w:val="none"/>
              </w:rPr>
              <w:t>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pStyle w:val="16"/>
              <w:rPr>
                <w:rFonts w:hint="eastAsia" w:hAnsi="宋体" w:cs="宋体"/>
                <w:color w:val="auto"/>
                <w:highlight w:val="none"/>
              </w:rPr>
            </w:pPr>
            <w:r>
              <w:rPr>
                <w:rFonts w:hint="eastAsia" w:hAnsi="宋体" w:cs="宋体"/>
                <w:color w:val="auto"/>
                <w:highlight w:val="none"/>
              </w:rPr>
              <w:t>用户需求</w:t>
            </w:r>
            <w:r>
              <w:rPr>
                <w:rFonts w:hint="eastAsia" w:hAnsi="宋体" w:cs="宋体"/>
                <w:color w:val="auto"/>
                <w:highlight w:val="none"/>
                <w:lang w:val="en-US" w:eastAsia="zh-CN"/>
              </w:rPr>
              <w:t>书</w:t>
            </w:r>
            <w:r>
              <w:rPr>
                <w:rFonts w:hint="eastAsia" w:hAnsi="宋体" w:cs="宋体"/>
                <w:color w:val="auto"/>
                <w:highlight w:val="none"/>
              </w:rPr>
              <w:t>响应一览表</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bCs/>
                <w:color w:val="auto"/>
                <w:szCs w:val="21"/>
                <w:highlight w:val="none"/>
              </w:rPr>
            </w:pPr>
            <w:r>
              <w:rPr>
                <w:rFonts w:hint="eastAsia" w:ascii="宋体" w:hAnsi="宋体" w:cs="宋体"/>
                <w:color w:val="auto"/>
                <w:szCs w:val="21"/>
                <w:highlight w:val="none"/>
              </w:rPr>
              <w:t>投标保证金递交证明文件</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778" w:type="dxa"/>
            <w:vMerge w:val="continue"/>
            <w:shd w:val="clear" w:color="auto" w:fill="auto"/>
            <w:noWrap w:val="0"/>
            <w:vAlign w:val="center"/>
          </w:tcPr>
          <w:p>
            <w:pPr>
              <w:jc w:val="center"/>
              <w:rPr>
                <w:rFonts w:hint="eastAsia" w:ascii="宋体" w:hAnsi="宋体" w:cs="宋体"/>
                <w:color w:val="auto"/>
                <w:szCs w:val="21"/>
                <w:highlight w:val="none"/>
              </w:rPr>
            </w:pPr>
          </w:p>
        </w:tc>
        <w:tc>
          <w:tcPr>
            <w:tcW w:w="630" w:type="dxa"/>
            <w:shd w:val="clear" w:color="auto" w:fill="auto"/>
            <w:noWrap w:val="0"/>
            <w:vAlign w:val="center"/>
          </w:tcPr>
          <w:p>
            <w:pPr>
              <w:numPr>
                <w:ilvl w:val="0"/>
                <w:numId w:val="164"/>
              </w:numPr>
              <w:jc w:val="center"/>
              <w:rPr>
                <w:rFonts w:hint="eastAsia" w:ascii="宋体" w:hAnsi="宋体" w:cs="宋体"/>
                <w:color w:val="auto"/>
                <w:szCs w:val="21"/>
                <w:highlight w:val="none"/>
              </w:rPr>
            </w:pPr>
          </w:p>
        </w:tc>
        <w:tc>
          <w:tcPr>
            <w:tcW w:w="4819" w:type="dxa"/>
            <w:shd w:val="clear" w:color="auto" w:fill="auto"/>
            <w:noWrap w:val="0"/>
            <w:vAlign w:val="center"/>
          </w:tcPr>
          <w:p>
            <w:pPr>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投标人认为需要提供的其他商务资料</w:t>
            </w:r>
          </w:p>
        </w:tc>
        <w:tc>
          <w:tcPr>
            <w:tcW w:w="536" w:type="dxa"/>
            <w:shd w:val="clear" w:color="auto" w:fill="auto"/>
            <w:noWrap w:val="0"/>
            <w:vAlign w:val="center"/>
          </w:tcPr>
          <w:p>
            <w:pPr>
              <w:jc w:val="center"/>
              <w:rPr>
                <w:rFonts w:hint="eastAsia" w:ascii="宋体" w:hAnsi="宋体" w:cs="宋体"/>
                <w:color w:val="auto"/>
                <w:szCs w:val="21"/>
                <w:highlight w:val="none"/>
              </w:rPr>
            </w:pPr>
          </w:p>
        </w:tc>
        <w:tc>
          <w:tcPr>
            <w:tcW w:w="487" w:type="dxa"/>
            <w:shd w:val="clear" w:color="auto" w:fill="auto"/>
            <w:noWrap w:val="0"/>
            <w:vAlign w:val="center"/>
          </w:tcPr>
          <w:p>
            <w:pPr>
              <w:jc w:val="center"/>
              <w:rPr>
                <w:rFonts w:hint="eastAsia" w:ascii="宋体" w:hAnsi="宋体" w:cs="宋体"/>
                <w:color w:val="auto"/>
                <w:szCs w:val="21"/>
                <w:highlight w:val="none"/>
              </w:rPr>
            </w:pPr>
          </w:p>
        </w:tc>
        <w:tc>
          <w:tcPr>
            <w:tcW w:w="725" w:type="dxa"/>
            <w:shd w:val="clear" w:color="auto" w:fill="EEECE1"/>
            <w:noWrap w:val="0"/>
            <w:vAlign w:val="center"/>
          </w:tcPr>
          <w:p>
            <w:pPr>
              <w:jc w:val="center"/>
              <w:rPr>
                <w:rFonts w:hint="eastAsia" w:ascii="宋体" w:hAnsi="宋体" w:cs="宋体"/>
                <w:color w:val="auto"/>
                <w:szCs w:val="21"/>
                <w:highlight w:val="none"/>
              </w:rPr>
            </w:pPr>
          </w:p>
        </w:tc>
        <w:tc>
          <w:tcPr>
            <w:tcW w:w="726" w:type="dxa"/>
            <w:shd w:val="clear" w:color="auto" w:fill="EEECE1"/>
            <w:noWrap w:val="0"/>
            <w:vAlign w:val="center"/>
          </w:tcPr>
          <w:p>
            <w:pPr>
              <w:jc w:val="center"/>
              <w:rPr>
                <w:rFonts w:hint="eastAsia" w:ascii="宋体" w:hAnsi="宋体" w:cs="宋体"/>
                <w:color w:val="auto"/>
                <w:szCs w:val="21"/>
                <w:highlight w:val="none"/>
              </w:rPr>
            </w:pPr>
          </w:p>
        </w:tc>
      </w:tr>
    </w:tbl>
    <w:p>
      <w:pPr>
        <w:pStyle w:val="2"/>
        <w:ind w:firstLine="0" w:firstLineChars="0"/>
        <w:rPr>
          <w:rFonts w:hint="eastAsia"/>
          <w:b/>
          <w:bCs/>
          <w:color w:val="auto"/>
          <w:highlight w:val="none"/>
        </w:rPr>
      </w:pPr>
      <w:r>
        <w:rPr>
          <w:rFonts w:hint="eastAsia"/>
          <w:b/>
          <w:bCs/>
          <w:color w:val="auto"/>
          <w:highlight w:val="none"/>
        </w:rPr>
        <w:t>注：上述的证明材料均为复印件加盖投标人公章。</w:t>
      </w:r>
    </w:p>
    <w:p>
      <w:pPr>
        <w:spacing w:line="440" w:lineRule="exact"/>
        <w:rPr>
          <w:rFonts w:ascii="黑体" w:eastAsia="黑体"/>
          <w:bCs/>
          <w:color w:val="auto"/>
          <w:sz w:val="28"/>
          <w:highlight w:val="none"/>
        </w:rPr>
        <w:sectPr>
          <w:pgSz w:w="11906" w:h="16838"/>
          <w:pgMar w:top="1440" w:right="586" w:bottom="1440" w:left="1440" w:header="851" w:footer="992" w:gutter="0"/>
          <w:cols w:space="720" w:num="1"/>
          <w:docGrid w:type="lines" w:linePitch="312" w:charSpace="0"/>
        </w:sectPr>
      </w:pPr>
    </w:p>
    <w:p>
      <w:pPr>
        <w:numPr>
          <w:ilvl w:val="0"/>
          <w:numId w:val="165"/>
        </w:numPr>
        <w:spacing w:line="440" w:lineRule="exact"/>
        <w:rPr>
          <w:rFonts w:hint="eastAsia" w:ascii="黑体" w:eastAsia="黑体"/>
          <w:bCs/>
          <w:color w:val="auto"/>
          <w:sz w:val="28"/>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bookmarkStart w:id="515" w:name="_Toc275865605"/>
      <w:r>
        <w:rPr>
          <w:rFonts w:hint="eastAsia"/>
          <w:b w:val="0"/>
          <w:color w:val="auto"/>
          <w:highlight w:val="none"/>
        </w:rPr>
        <w:t>投  标  函</w:t>
      </w:r>
      <w:bookmarkEnd w:id="515"/>
    </w:p>
    <w:p>
      <w:pPr>
        <w:spacing w:line="360" w:lineRule="auto"/>
        <w:ind w:left="105" w:leftChars="50" w:firstLine="2"/>
        <w:rPr>
          <w:rFonts w:hint="eastAsia" w:ascii="宋体" w:hAnsi="宋体"/>
          <w:b/>
          <w:color w:val="auto"/>
          <w:highlight w:val="none"/>
        </w:rPr>
      </w:pPr>
      <w:r>
        <w:rPr>
          <w:rFonts w:hint="eastAsia" w:ascii="宋体" w:hAnsi="宋体"/>
          <w:b/>
          <w:color w:val="auto"/>
          <w:highlight w:val="none"/>
        </w:rPr>
        <w:t>致：广东中采招标有限公司</w:t>
      </w:r>
    </w:p>
    <w:p>
      <w:pPr>
        <w:spacing w:line="360" w:lineRule="auto"/>
        <w:ind w:left="105" w:leftChars="50" w:firstLine="373" w:firstLineChars="178"/>
        <w:rPr>
          <w:rFonts w:hint="eastAsia" w:ascii="宋体" w:hAnsi="宋体"/>
          <w:color w:val="auto"/>
          <w:highlight w:val="none"/>
        </w:rPr>
      </w:pPr>
      <w:r>
        <w:rPr>
          <w:rFonts w:hint="eastAsia" w:ascii="宋体" w:hAnsi="宋体"/>
          <w:color w:val="auto"/>
          <w:highlight w:val="none"/>
        </w:rPr>
        <w:t>我方确认收到贵方</w:t>
      </w:r>
      <w:r>
        <w:rPr>
          <w:rFonts w:hint="eastAsia" w:ascii="宋体" w:hAnsi="宋体"/>
          <w:color w:val="auto"/>
          <w:kern w:val="28"/>
          <w:highlight w:val="none"/>
          <w:u w:val="single"/>
        </w:rPr>
        <w:t xml:space="preserve">           （项目名称）        </w:t>
      </w:r>
      <w:r>
        <w:rPr>
          <w:rFonts w:hint="eastAsia" w:ascii="宋体" w:hAnsi="宋体"/>
          <w:color w:val="auto"/>
          <w:kern w:val="28"/>
          <w:highlight w:val="none"/>
          <w:u w:val="none"/>
          <w:lang w:eastAsia="zh-CN"/>
        </w:rPr>
        <w:t>招标</w:t>
      </w:r>
      <w:r>
        <w:rPr>
          <w:rFonts w:hint="eastAsia" w:ascii="宋体" w:hAnsi="宋体"/>
          <w:color w:val="auto"/>
          <w:highlight w:val="none"/>
        </w:rPr>
        <w:t>的招标文件（项目编号：</w:t>
      </w:r>
      <w:r>
        <w:rPr>
          <w:rFonts w:hint="eastAsia" w:ascii="宋体" w:hAnsi="宋体"/>
          <w:color w:val="auto"/>
          <w:highlight w:val="none"/>
          <w:lang w:eastAsia="zh-CN"/>
        </w:rPr>
        <w:t>JG2022(SZ)XZ0013</w:t>
      </w:r>
      <w:r>
        <w:rPr>
          <w:rFonts w:hint="eastAsia" w:ascii="宋体" w:hAnsi="宋体"/>
          <w:color w:val="auto"/>
          <w:highlight w:val="none"/>
        </w:rPr>
        <w:t>），</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(投标人名称、地址)</w:t>
      </w:r>
      <w:r>
        <w:rPr>
          <w:rFonts w:hint="eastAsia" w:ascii="宋体" w:hAnsi="宋体"/>
          <w:color w:val="auto"/>
          <w:kern w:val="28"/>
          <w:highlight w:val="none"/>
          <w:u w:val="single"/>
        </w:rPr>
        <w:t xml:space="preserve">     </w:t>
      </w:r>
      <w:r>
        <w:rPr>
          <w:rFonts w:hint="eastAsia" w:ascii="宋体" w:hAnsi="宋体"/>
          <w:color w:val="auto"/>
          <w:highlight w:val="none"/>
        </w:rPr>
        <w:t>作为投标人已正式授权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(被投标人授权代表全名、职务)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为我方签名代表，签名代表在此声明并同意：</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我们愿意遵守招标代理机构招标文件的各项规定，自愿参加投标，并已清楚招标文件的要求及有关文件规定，并严格按照招标文件的规定履行全部责任和义务。</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我们同意本投标自投标截止之日起</w:t>
      </w:r>
      <w:r>
        <w:rPr>
          <w:rFonts w:hint="eastAsia" w:ascii="宋体" w:hAnsi="宋体"/>
          <w:b/>
          <w:color w:val="auto"/>
          <w:highlight w:val="none"/>
          <w:u w:val="single"/>
        </w:rPr>
        <w:t>90</w:t>
      </w:r>
      <w:r>
        <w:rPr>
          <w:rFonts w:hint="eastAsia" w:ascii="宋体" w:hAnsi="宋体"/>
          <w:b/>
          <w:color w:val="auto"/>
          <w:highlight w:val="none"/>
        </w:rPr>
        <w:t>天内有效。如果我们的投标被接受，则直至合同生效时止，本投标始终有效并不撤回已递交的投标文件。</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我们已经详细地阅读并完全明白了全部招标文件及附件，包括澄清（如有）及参考文件，我们完全理解本招标文件的要求，</w:t>
      </w:r>
      <w:r>
        <w:rPr>
          <w:rFonts w:hint="eastAsia" w:ascii="宋体"/>
          <w:b/>
          <w:color w:val="auto"/>
          <w:highlight w:val="none"/>
        </w:rPr>
        <w:t>我们同意放弃对招标文件提出不明或误解的一切权力</w:t>
      </w:r>
      <w:r>
        <w:rPr>
          <w:rFonts w:hint="eastAsia" w:ascii="宋体" w:hAnsi="宋体"/>
          <w:b/>
          <w:color w:val="auto"/>
          <w:highlight w:val="none"/>
        </w:rPr>
        <w:t>。</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我们同意提供招标采购单位与评标委员会要求的有关投标的一切数据或资料。</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 xml:space="preserve">如果我们未对招标文件全部要求作出实质性响应，则完全同意并接受按无效投标处理。 </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如果我们提供的声明或承诺不真实，则完全同意认定为我司提供虚假材料，并同意作相应处理。</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我们是依法注册的法人，在法律、财务及运作上完全独立于招标人、用户单位（如有）和招标代理机构。</w:t>
      </w:r>
    </w:p>
    <w:p>
      <w:pPr>
        <w:numPr>
          <w:ilvl w:val="0"/>
          <w:numId w:val="166"/>
        </w:numPr>
        <w:snapToGrid w:val="0"/>
        <w:spacing w:line="360" w:lineRule="auto"/>
        <w:rPr>
          <w:rFonts w:hint="eastAsia" w:ascii="宋体" w:hAnsi="宋体"/>
          <w:b/>
          <w:color w:val="auto"/>
          <w:highlight w:val="none"/>
        </w:rPr>
      </w:pPr>
      <w:r>
        <w:rPr>
          <w:rFonts w:hint="eastAsia" w:ascii="宋体" w:hAnsi="宋体"/>
          <w:b/>
          <w:color w:val="auto"/>
          <w:highlight w:val="none"/>
        </w:rPr>
        <w:t>所有有关本次投标的函电请寄：</w:t>
      </w:r>
      <w:r>
        <w:rPr>
          <w:rFonts w:hint="eastAsia" w:ascii="宋体" w:hAnsi="宋体"/>
          <w:b/>
          <w:color w:val="auto"/>
          <w:highlight w:val="none"/>
          <w:u w:val="single"/>
        </w:rPr>
        <w:t xml:space="preserve">  （投标人地址）   </w:t>
      </w:r>
      <w:r>
        <w:rPr>
          <w:rFonts w:hint="eastAsia" w:ascii="宋体" w:hAnsi="宋体"/>
          <w:b/>
          <w:color w:val="auto"/>
          <w:highlight w:val="none"/>
        </w:rPr>
        <w:t xml:space="preserve">  </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备注：本投标函中承诺的投标有效期应当不少于招标文件中载明的投标有效期，其他</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内容不得擅自删改，否则视为无效投标。 </w:t>
      </w:r>
    </w:p>
    <w:p>
      <w:pPr>
        <w:ind w:left="480"/>
        <w:rPr>
          <w:rFonts w:hint="eastAsia" w:ascii="宋体"/>
          <w:color w:val="auto"/>
          <w:highlight w:val="none"/>
        </w:rPr>
      </w:pPr>
    </w:p>
    <w:p>
      <w:pPr>
        <w:adjustRightInd w:val="0"/>
        <w:snapToGrid w:val="0"/>
        <w:spacing w:line="480" w:lineRule="auto"/>
        <w:ind w:firstLine="420" w:firstLineChars="200"/>
        <w:rPr>
          <w:rFonts w:hint="eastAsia" w:ascii="宋体" w:hAnsi="宋体"/>
          <w:color w:val="auto"/>
          <w:highlight w:val="none"/>
          <w:u w:val="single"/>
        </w:rPr>
      </w:pPr>
      <w:r>
        <w:rPr>
          <w:rFonts w:hint="eastAsia"/>
          <w:color w:val="auto"/>
          <w:highlight w:val="none"/>
        </w:rPr>
        <w:t>投标人名称（加盖公章）</w:t>
      </w:r>
      <w:r>
        <w:rPr>
          <w:rFonts w:hint="eastAsia"/>
          <w:color w:val="auto"/>
          <w:spacing w:val="4"/>
          <w:highlight w:val="none"/>
        </w:rPr>
        <w:t>：</w:t>
      </w:r>
      <w:r>
        <w:rPr>
          <w:rFonts w:hint="eastAsia"/>
          <w:color w:val="auto"/>
          <w:spacing w:val="4"/>
          <w:highlight w:val="none"/>
          <w:u w:val="single"/>
        </w:rPr>
        <w:t xml:space="preserve">                             </w:t>
      </w:r>
    </w:p>
    <w:p>
      <w:pPr>
        <w:adjustRightInd w:val="0"/>
        <w:snapToGrid w:val="0"/>
        <w:spacing w:line="480" w:lineRule="auto"/>
        <w:ind w:firstLine="432" w:firstLineChars="206"/>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pPr>
        <w:adjustRightInd w:val="0"/>
        <w:snapToGrid w:val="0"/>
        <w:spacing w:line="480" w:lineRule="auto"/>
        <w:ind w:firstLine="432" w:firstLineChars="206"/>
        <w:rPr>
          <w:rFonts w:hint="eastAsia"/>
          <w:color w:val="auto"/>
          <w:spacing w:val="4"/>
          <w:highlight w:val="none"/>
          <w:u w:val="single"/>
        </w:rPr>
      </w:pPr>
      <w:r>
        <w:rPr>
          <w:rFonts w:hint="eastAsia" w:ascii="宋体" w:hAnsi="宋体"/>
          <w:color w:val="auto"/>
          <w:highlight w:val="none"/>
        </w:rPr>
        <w:t>电话：</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p>
    <w:p>
      <w:pPr>
        <w:adjustRightInd w:val="0"/>
        <w:snapToGrid w:val="0"/>
        <w:spacing w:line="360" w:lineRule="auto"/>
        <w:rPr>
          <w:rFonts w:hint="eastAsia"/>
          <w:color w:val="auto"/>
          <w:spacing w:val="4"/>
          <w:highlight w:val="none"/>
          <w:u w:val="single"/>
        </w:rPr>
      </w:pPr>
    </w:p>
    <w:p>
      <w:pPr>
        <w:numPr>
          <w:ilvl w:val="0"/>
          <w:numId w:val="165"/>
        </w:numPr>
        <w:spacing w:line="440" w:lineRule="exact"/>
        <w:rPr>
          <w:rFonts w:hint="eastAsia" w:ascii="黑体" w:eastAsia="黑体"/>
          <w:bCs/>
          <w:color w:val="auto"/>
          <w:sz w:val="28"/>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bookmarkStart w:id="516" w:name="_Toc275865606"/>
      <w:r>
        <w:rPr>
          <w:rFonts w:hint="eastAsia"/>
          <w:b w:val="0"/>
          <w:color w:val="auto"/>
          <w:highlight w:val="none"/>
        </w:rPr>
        <w:t>投标人资格声明函</w:t>
      </w:r>
      <w:bookmarkEnd w:id="516"/>
    </w:p>
    <w:p>
      <w:pPr>
        <w:rPr>
          <w:rFonts w:hint="eastAsia"/>
          <w:b/>
          <w:color w:val="auto"/>
          <w:highlight w:val="none"/>
        </w:rPr>
      </w:pPr>
      <w:r>
        <w:rPr>
          <w:rFonts w:hint="eastAsia"/>
          <w:b/>
          <w:color w:val="auto"/>
          <w:highlight w:val="none"/>
        </w:rPr>
        <w:t>广东中采招标有限公司：</w:t>
      </w:r>
    </w:p>
    <w:p>
      <w:pPr>
        <w:snapToGrid w:val="0"/>
        <w:spacing w:before="156" w:beforeLines="50" w:line="360" w:lineRule="auto"/>
        <w:ind w:firstLine="424" w:firstLineChars="202"/>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lang w:eastAsia="zh-CN"/>
        </w:rPr>
        <w:t>JG2022(SZ)XZ0013</w:t>
      </w:r>
      <w:r>
        <w:rPr>
          <w:rFonts w:hint="eastAsia" w:ascii="宋体" w:hAnsi="宋体"/>
          <w:color w:val="auto"/>
          <w:highlight w:val="none"/>
        </w:rPr>
        <w:t>）的</w:t>
      </w:r>
      <w:r>
        <w:rPr>
          <w:rFonts w:hint="eastAsia" w:ascii="宋体" w:hAnsi="宋体"/>
          <w:color w:val="auto"/>
          <w:highlight w:val="none"/>
          <w:lang w:eastAsia="zh-CN"/>
        </w:rPr>
        <w:t>招标</w:t>
      </w:r>
      <w:r>
        <w:rPr>
          <w:rFonts w:hint="eastAsia" w:ascii="宋体" w:hAnsi="宋体"/>
          <w:color w:val="auto"/>
          <w:highlight w:val="none"/>
        </w:rPr>
        <w:t>公告，本公司（企业）愿意参加投标，并声明：</w:t>
      </w:r>
    </w:p>
    <w:p>
      <w:pPr>
        <w:numPr>
          <w:ilvl w:val="0"/>
          <w:numId w:val="167"/>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本公司（企业）具备</w:t>
      </w:r>
      <w:r>
        <w:rPr>
          <w:rFonts w:hint="eastAsia" w:ascii="宋体" w:hAnsi="宋体"/>
          <w:color w:val="auto"/>
          <w:highlight w:val="none"/>
          <w:lang w:eastAsia="zh-CN"/>
        </w:rPr>
        <w:t>招标</w:t>
      </w:r>
      <w:r>
        <w:rPr>
          <w:rFonts w:hint="eastAsia" w:ascii="宋体" w:hAnsi="宋体"/>
          <w:color w:val="auto"/>
          <w:highlight w:val="none"/>
        </w:rPr>
        <w:t>文件第一章</w:t>
      </w:r>
      <w:r>
        <w:rPr>
          <w:rFonts w:hint="eastAsia" w:ascii="宋体" w:hAnsi="宋体"/>
          <w:color w:val="auto"/>
          <w:highlight w:val="none"/>
          <w:lang w:eastAsia="zh-CN"/>
        </w:rPr>
        <w:t>投标</w:t>
      </w:r>
      <w:r>
        <w:rPr>
          <w:rFonts w:hint="eastAsia" w:ascii="宋体" w:hAnsi="宋体"/>
          <w:color w:val="auto"/>
          <w:highlight w:val="none"/>
        </w:rPr>
        <w:t>邀请中的“</w:t>
      </w:r>
      <w:r>
        <w:rPr>
          <w:rFonts w:hint="eastAsia" w:ascii="宋体" w:hAnsi="宋体"/>
          <w:color w:val="auto"/>
          <w:highlight w:val="none"/>
          <w:lang w:eastAsia="zh-CN"/>
        </w:rPr>
        <w:t>投标人</w:t>
      </w:r>
      <w:r>
        <w:rPr>
          <w:rFonts w:hint="eastAsia" w:ascii="宋体" w:hAnsi="宋体"/>
          <w:color w:val="auto"/>
          <w:highlight w:val="none"/>
        </w:rPr>
        <w:t>资格”，并已清楚</w:t>
      </w:r>
      <w:r>
        <w:rPr>
          <w:rFonts w:hint="eastAsia" w:ascii="宋体" w:hAnsi="宋体"/>
          <w:color w:val="auto"/>
          <w:highlight w:val="none"/>
          <w:lang w:eastAsia="zh-CN"/>
        </w:rPr>
        <w:t>招标</w:t>
      </w:r>
      <w:r>
        <w:rPr>
          <w:rFonts w:hint="eastAsia" w:ascii="宋体" w:hAnsi="宋体"/>
          <w:color w:val="auto"/>
          <w:highlight w:val="none"/>
        </w:rPr>
        <w:t>文件的要求及有关文件规定，并承诺在本次采购活动中，如有违法、违规、弄虚作假行为，所造成的损失、不良后果及法律责任，一律由我公司（企业）承担。</w:t>
      </w:r>
    </w:p>
    <w:p>
      <w:pPr>
        <w:numPr>
          <w:ilvl w:val="0"/>
          <w:numId w:val="167"/>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本公司（企业）如为本采购项目</w:t>
      </w:r>
      <w:r>
        <w:rPr>
          <w:rFonts w:hint="eastAsia" w:ascii="宋体" w:hAnsi="宋体"/>
          <w:color w:val="auto"/>
          <w:highlight w:val="none"/>
          <w:lang w:val="en-US" w:eastAsia="zh-CN"/>
        </w:rPr>
        <w:t>各包组</w:t>
      </w:r>
      <w:r>
        <w:rPr>
          <w:rFonts w:hint="eastAsia" w:ascii="宋体" w:hAnsi="宋体"/>
          <w:color w:val="auto"/>
          <w:highlight w:val="none"/>
        </w:rPr>
        <w:t>提供整体设计、规范编制</w:t>
      </w:r>
      <w:r>
        <w:rPr>
          <w:rFonts w:hint="eastAsia" w:ascii="宋体" w:hAnsi="宋体"/>
          <w:color w:val="auto"/>
          <w:highlight w:val="none"/>
          <w:lang w:eastAsia="zh-CN"/>
        </w:rPr>
        <w:t>、</w:t>
      </w:r>
      <w:r>
        <w:rPr>
          <w:rFonts w:hint="eastAsia" w:ascii="宋体" w:hAnsi="宋体"/>
          <w:color w:val="auto"/>
          <w:highlight w:val="none"/>
        </w:rPr>
        <w:t>项目管理、监理、检测</w:t>
      </w:r>
      <w:r>
        <w:rPr>
          <w:rFonts w:hint="eastAsia" w:ascii="宋体" w:hAnsi="宋体"/>
          <w:color w:val="auto"/>
          <w:highlight w:val="none"/>
          <w:lang w:eastAsia="zh-CN"/>
        </w:rPr>
        <w:t>、</w:t>
      </w:r>
      <w:r>
        <w:rPr>
          <w:rFonts w:hint="eastAsia" w:ascii="宋体" w:hAnsi="宋体"/>
          <w:color w:val="auto"/>
          <w:highlight w:val="none"/>
        </w:rPr>
        <w:t>估（概）算编审、预算编审、全过程造价咨询等服务的供应商，不得再参加该采购项目（包组）的其他</w:t>
      </w:r>
      <w:r>
        <w:rPr>
          <w:rFonts w:hint="eastAsia" w:ascii="宋体" w:hAnsi="宋体"/>
          <w:color w:val="auto"/>
          <w:highlight w:val="none"/>
          <w:lang w:eastAsia="zh-CN"/>
        </w:rPr>
        <w:t>投标</w:t>
      </w:r>
      <w:r>
        <w:rPr>
          <w:rFonts w:hint="eastAsia" w:ascii="宋体" w:hAnsi="宋体"/>
          <w:color w:val="auto"/>
          <w:highlight w:val="none"/>
        </w:rPr>
        <w:t>。否则，由此所造成的损失、不良后果及法律责任，一律由我公司（企业）承担。</w:t>
      </w:r>
    </w:p>
    <w:p>
      <w:pPr>
        <w:numPr>
          <w:ilvl w:val="0"/>
          <w:numId w:val="167"/>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szCs w:val="21"/>
          <w:highlight w:val="none"/>
        </w:rPr>
        <w:t>我方承诺单位负责人为同一人或者存在直接控股、管理关系的不同供应商，不得同时参加本采购项目（包组）投标</w:t>
      </w:r>
      <w:r>
        <w:rPr>
          <w:rFonts w:hint="eastAsia" w:ascii="宋体" w:hAnsi="宋体"/>
          <w:color w:val="auto"/>
          <w:highlight w:val="none"/>
        </w:rPr>
        <w:t>。</w:t>
      </w:r>
    </w:p>
    <w:p>
      <w:pPr>
        <w:widowControl/>
        <w:numPr>
          <w:ilvl w:val="0"/>
          <w:numId w:val="167"/>
        </w:numPr>
        <w:adjustRightInd w:val="0"/>
        <w:snapToGrid w:val="0"/>
        <w:spacing w:line="360" w:lineRule="auto"/>
        <w:ind w:left="567" w:hanging="567"/>
        <w:rPr>
          <w:rFonts w:ascii="宋体" w:hAnsi="宋体" w:cs="宋体"/>
          <w:color w:val="auto"/>
          <w:kern w:val="0"/>
          <w:sz w:val="24"/>
          <w:highlight w:val="none"/>
        </w:rPr>
      </w:pPr>
      <w:r>
        <w:rPr>
          <w:rFonts w:hint="eastAsia" w:ascii="宋体" w:hAnsi="宋体"/>
          <w:color w:val="auto"/>
          <w:highlight w:val="none"/>
        </w:rPr>
        <w:t>本公司（企业）的</w:t>
      </w:r>
      <w:r>
        <w:rPr>
          <w:rFonts w:hint="eastAsia"/>
          <w:color w:val="auto"/>
          <w:highlight w:val="none"/>
        </w:rPr>
        <w:t>信誉（信用）状况声明如下：</w:t>
      </w:r>
    </w:p>
    <w:p>
      <w:pPr>
        <w:widowControl/>
        <w:numPr>
          <w:ilvl w:val="0"/>
          <w:numId w:val="168"/>
        </w:num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本单位近三年（自招标公告发布之日上溯）没有发生骗取中标、被取消投标资格的行政处罚、严重违约、重大工程质量问题及重大安全生产责任事故的情况。</w:t>
      </w:r>
    </w:p>
    <w:p>
      <w:pPr>
        <w:widowControl/>
        <w:numPr>
          <w:ilvl w:val="0"/>
          <w:numId w:val="168"/>
        </w:num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本单位目前没有处于被责令停业，财产被接管、冻结，破产状态。</w:t>
      </w:r>
    </w:p>
    <w:p>
      <w:pPr>
        <w:widowControl/>
        <w:numPr>
          <w:ilvl w:val="0"/>
          <w:numId w:val="168"/>
        </w:num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本单位未被佛山市中级法院列为失信被执行人。</w:t>
      </w:r>
    </w:p>
    <w:p>
      <w:pPr>
        <w:widowControl/>
        <w:numPr>
          <w:ilvl w:val="0"/>
          <w:numId w:val="168"/>
        </w:num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本单位未被佛山市公共信用信息管理系统列入失信名单。</w:t>
      </w:r>
    </w:p>
    <w:p>
      <w:pPr>
        <w:widowControl/>
        <w:numPr>
          <w:ilvl w:val="0"/>
          <w:numId w:val="167"/>
        </w:numPr>
        <w:adjustRightInd w:val="0"/>
        <w:snapToGrid w:val="0"/>
        <w:spacing w:line="360" w:lineRule="auto"/>
        <w:ind w:left="567" w:hanging="567"/>
        <w:rPr>
          <w:rFonts w:ascii="宋体" w:hAnsi="宋体" w:cs="宋体"/>
          <w:color w:val="auto"/>
          <w:kern w:val="0"/>
          <w:sz w:val="24"/>
          <w:highlight w:val="none"/>
        </w:rPr>
      </w:pPr>
      <w:r>
        <w:rPr>
          <w:rFonts w:hint="eastAsia" w:ascii="宋体" w:hAnsi="宋体"/>
          <w:color w:val="auto"/>
          <w:highlight w:val="none"/>
        </w:rPr>
        <w:t>本公司（企业）</w:t>
      </w:r>
      <w:r>
        <w:rPr>
          <w:rFonts w:hint="eastAsia"/>
          <w:color w:val="auto"/>
          <w:highlight w:val="none"/>
        </w:rPr>
        <w:t>非联合体参与本项目投标。</w:t>
      </w:r>
    </w:p>
    <w:p>
      <w:pPr>
        <w:pStyle w:val="2"/>
        <w:rPr>
          <w:rFonts w:hint="eastAsia"/>
          <w:color w:val="auto"/>
          <w:highlight w:val="none"/>
        </w:rPr>
      </w:pPr>
    </w:p>
    <w:p>
      <w:pPr>
        <w:spacing w:line="360" w:lineRule="auto"/>
        <w:ind w:firstLine="420"/>
        <w:rPr>
          <w:rFonts w:hint="eastAsia"/>
          <w:color w:val="auto"/>
          <w:highlight w:val="none"/>
        </w:rPr>
      </w:pPr>
      <w:r>
        <w:rPr>
          <w:rFonts w:hint="eastAsia"/>
          <w:color w:val="auto"/>
          <w:highlight w:val="none"/>
        </w:rPr>
        <w:t>特此声明！</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备注：本投标人资格声明函内容不得擅自删改，否则视为无效投标。 </w:t>
      </w:r>
    </w:p>
    <w:p>
      <w:pPr>
        <w:spacing w:line="360" w:lineRule="auto"/>
        <w:ind w:firstLine="420"/>
        <w:rPr>
          <w:rFonts w:hint="eastAsia"/>
          <w:color w:val="auto"/>
          <w:highlight w:val="none"/>
        </w:rPr>
      </w:pPr>
      <w:r>
        <w:rPr>
          <w:rFonts w:hint="eastAsia"/>
          <w:color w:val="auto"/>
          <w:highlight w:val="none"/>
        </w:rPr>
        <w:t>投标人名称（加盖公章）：　　　　　　　　　　　　　　　　</w:t>
      </w:r>
    </w:p>
    <w:p>
      <w:pPr>
        <w:spacing w:line="360" w:lineRule="auto"/>
        <w:ind w:firstLine="420"/>
        <w:rPr>
          <w:rFonts w:hint="eastAsia"/>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rFonts w:hint="eastAsia"/>
          <w:color w:val="auto"/>
          <w:highlight w:val="none"/>
        </w:rPr>
        <w:t>：</w:t>
      </w:r>
    </w:p>
    <w:p>
      <w:pPr>
        <w:spacing w:line="360" w:lineRule="auto"/>
        <w:ind w:firstLine="420"/>
        <w:rPr>
          <w:rFonts w:hint="eastAsia"/>
          <w:color w:val="auto"/>
          <w:highlight w:val="none"/>
        </w:rPr>
      </w:pPr>
      <w:r>
        <w:rPr>
          <w:rFonts w:hint="eastAsia"/>
          <w:color w:val="auto"/>
          <w:highlight w:val="none"/>
        </w:rPr>
        <w:t>单位地址：　　　　　　　　　　　　　　　　</w:t>
      </w:r>
    </w:p>
    <w:p>
      <w:pPr>
        <w:spacing w:line="360" w:lineRule="auto"/>
        <w:ind w:firstLine="420"/>
        <w:rPr>
          <w:rFonts w:hint="eastAsia"/>
          <w:color w:val="auto"/>
          <w:highlight w:val="none"/>
        </w:rPr>
      </w:pPr>
      <w:r>
        <w:rPr>
          <w:rFonts w:hint="eastAsia"/>
          <w:color w:val="auto"/>
          <w:highlight w:val="none"/>
        </w:rPr>
        <w:t>邮政编码：　　　　　　　　　　　　　　　　日期：</w:t>
      </w:r>
    </w:p>
    <w:p>
      <w:pPr>
        <w:spacing w:line="360" w:lineRule="auto"/>
        <w:ind w:firstLine="420" w:firstLineChars="200"/>
        <w:rPr>
          <w:rFonts w:hint="eastAsia"/>
          <w:color w:val="auto"/>
          <w:highlight w:val="none"/>
        </w:rPr>
      </w:pPr>
      <w:r>
        <w:rPr>
          <w:rFonts w:hint="eastAsia"/>
          <w:color w:val="auto"/>
          <w:highlight w:val="none"/>
        </w:rPr>
        <w:t>联系电话：</w:t>
      </w:r>
    </w:p>
    <w:p>
      <w:pPr>
        <w:numPr>
          <w:ilvl w:val="0"/>
          <w:numId w:val="165"/>
        </w:numPr>
        <w:tabs>
          <w:tab w:val="clear" w:pos="425"/>
        </w:tabs>
        <w:spacing w:line="440" w:lineRule="exact"/>
        <w:rPr>
          <w:rFonts w:hint="eastAsia" w:ascii="宋体" w:hAnsi="宋体"/>
          <w:color w:val="auto"/>
          <w:szCs w:val="21"/>
          <w:highlight w:val="none"/>
        </w:rPr>
      </w:pPr>
      <w:r>
        <w:rPr>
          <w:rFonts w:hint="eastAsia" w:ascii="黑体" w:eastAsia="黑体"/>
          <w:bCs/>
          <w:color w:val="auto"/>
          <w:sz w:val="28"/>
          <w:highlight w:val="none"/>
        </w:rPr>
        <w:br w:type="page"/>
      </w:r>
      <w:r>
        <w:rPr>
          <w:rFonts w:hint="eastAsia" w:ascii="黑体" w:eastAsia="黑体"/>
          <w:bCs/>
          <w:color w:val="auto"/>
          <w:sz w:val="28"/>
          <w:highlight w:val="none"/>
        </w:rPr>
        <w:t xml:space="preserve">   </w:t>
      </w: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bookmarkStart w:id="517" w:name="_Toc275865607"/>
      <w:bookmarkStart w:id="518" w:name="_Toc50736477"/>
      <w:bookmarkStart w:id="519" w:name="_Toc50737329"/>
      <w:bookmarkStart w:id="520" w:name="_Toc52165081"/>
      <w:bookmarkStart w:id="521" w:name="_Toc50737297"/>
      <w:bookmarkStart w:id="522" w:name="_Toc50737296"/>
      <w:bookmarkStart w:id="523" w:name="_Toc50737328"/>
      <w:bookmarkStart w:id="524" w:name="_Toc50736476"/>
      <w:bookmarkStart w:id="525" w:name="_Toc50691034"/>
      <w:bookmarkStart w:id="526" w:name="_Toc52165080"/>
      <w:r>
        <w:rPr>
          <w:rFonts w:hint="eastAsia"/>
          <w:b w:val="0"/>
          <w:color w:val="auto"/>
          <w:highlight w:val="none"/>
        </w:rPr>
        <w:t>法定代表人授权委托书</w:t>
      </w:r>
      <w:bookmarkEnd w:id="517"/>
      <w:bookmarkEnd w:id="518"/>
      <w:bookmarkEnd w:id="519"/>
      <w:bookmarkEnd w:id="520"/>
      <w:bookmarkEnd w:id="521"/>
    </w:p>
    <w:p>
      <w:pPr>
        <w:pStyle w:val="16"/>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（投标人地址）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（项目名称、项目编号</w:t>
      </w:r>
      <w:r>
        <w:rPr>
          <w:rFonts w:hint="eastAsia"/>
          <w:color w:val="auto"/>
          <w:highlight w:val="none"/>
        </w:rPr>
        <w:t>）的招投标活动，提交投标文件及采购合同的签订、执行、完成和售后服务，作为投标人代表以我方的名义处理一切与之有关的事务。</w:t>
      </w:r>
    </w:p>
    <w:p>
      <w:pPr>
        <w:pStyle w:val="16"/>
        <w:spacing w:line="360" w:lineRule="auto"/>
        <w:ind w:firstLine="420" w:firstLineChars="200"/>
        <w:rPr>
          <w:rFonts w:hint="eastAsia"/>
          <w:color w:val="auto"/>
          <w:highlight w:val="none"/>
        </w:rPr>
      </w:pPr>
      <w:r>
        <w:rPr>
          <w:rFonts w:hint="eastAsia"/>
          <w:color w:val="auto"/>
          <w:highlight w:val="none"/>
        </w:rPr>
        <w:t>被授权人（投标人授权代表）无转委托权限。</w:t>
      </w:r>
    </w:p>
    <w:p>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本授权书自法定代表人签名之日起生效，特此声明。</w:t>
      </w:r>
    </w:p>
    <w:p>
      <w:pPr>
        <w:spacing w:line="480" w:lineRule="auto"/>
        <w:ind w:left="2" w:leftChars="1" w:firstLine="1365" w:firstLineChars="650"/>
        <w:rPr>
          <w:rFonts w:hint="eastAsia" w:ascii="宋体" w:hAnsi="宋体"/>
          <w:color w:val="auto"/>
          <w:highlight w:val="none"/>
        </w:rPr>
      </w:pPr>
    </w:p>
    <w:p>
      <w:pPr>
        <w:spacing w:line="360" w:lineRule="auto"/>
        <w:rPr>
          <w:rFonts w:hint="eastAsia" w:ascii="宋体"/>
          <w:b/>
          <w:color w:val="auto"/>
          <w:highlight w:val="none"/>
        </w:rPr>
      </w:pPr>
      <w:r>
        <w:rPr>
          <w:rFonts w:hint="eastAsia" w:ascii="宋体"/>
          <w:b/>
          <w:color w:val="auto"/>
          <w:highlight w:val="none"/>
        </w:rPr>
        <w:t>随附《法定代表人证明》</w:t>
      </w:r>
    </w:p>
    <w:p>
      <w:pPr>
        <w:spacing w:line="360" w:lineRule="auto"/>
        <w:rPr>
          <w:rFonts w:hint="eastAsia" w:ascii="宋体"/>
          <w:color w:val="auto"/>
          <w:highlight w:val="none"/>
        </w:rPr>
      </w:pPr>
    </w:p>
    <w:p>
      <w:pPr>
        <w:spacing w:line="360" w:lineRule="auto"/>
        <w:rPr>
          <w:rFonts w:hint="eastAsia" w:ascii="宋体"/>
          <w:color w:val="auto"/>
          <w:highlight w:val="none"/>
        </w:rPr>
      </w:pPr>
      <w:r>
        <w:rPr>
          <w:rFonts w:hint="eastAsia" w:ascii="宋体"/>
          <w:color w:val="auto"/>
          <w:highlight w:val="none"/>
        </w:rPr>
        <w:t>投标人名称（加</w:t>
      </w:r>
      <w:r>
        <w:rPr>
          <w:rFonts w:hint="eastAsia" w:ascii="宋体" w:hAnsi="宋体"/>
          <w:color w:val="auto"/>
          <w:highlight w:val="none"/>
        </w:rPr>
        <w:t>盖</w:t>
      </w:r>
      <w:r>
        <w:rPr>
          <w:rFonts w:hint="eastAsia" w:ascii="宋体"/>
          <w:color w:val="auto"/>
          <w:highlight w:val="none"/>
        </w:rPr>
        <w:t>公章）：</w:t>
      </w:r>
    </w:p>
    <w:p>
      <w:pPr>
        <w:spacing w:line="360" w:lineRule="auto"/>
        <w:rPr>
          <w:rFonts w:ascii="宋体"/>
          <w:color w:val="auto"/>
          <w:highlight w:val="none"/>
        </w:rPr>
      </w:pPr>
      <w:r>
        <w:rPr>
          <w:rFonts w:hint="eastAsia" w:ascii="宋体"/>
          <w:color w:val="auto"/>
          <w:highlight w:val="none"/>
        </w:rPr>
        <w:t>地      址：</w:t>
      </w:r>
    </w:p>
    <w:p>
      <w:pPr>
        <w:tabs>
          <w:tab w:val="left" w:pos="3780"/>
        </w:tabs>
        <w:spacing w:line="360" w:lineRule="auto"/>
        <w:rPr>
          <w:rFonts w:hint="eastAsia" w:ascii="宋体"/>
          <w:color w:val="auto"/>
          <w:highlight w:val="none"/>
        </w:rPr>
      </w:pPr>
      <w:r>
        <w:rPr>
          <w:rFonts w:hint="eastAsia" w:ascii="宋体"/>
          <w:color w:val="auto"/>
          <w:highlight w:val="none"/>
        </w:rPr>
        <w:t>法定代表人（</w:t>
      </w:r>
      <w:r>
        <w:rPr>
          <w:rFonts w:hint="eastAsia" w:ascii="宋体" w:hAnsi="宋体"/>
          <w:color w:val="auto"/>
          <w:highlight w:val="none"/>
        </w:rPr>
        <w:t>签名或盖章</w:t>
      </w:r>
      <w:r>
        <w:rPr>
          <w:rFonts w:hint="eastAsia" w:ascii="宋体"/>
          <w:color w:val="auto"/>
          <w:highlight w:val="none"/>
        </w:rPr>
        <w:t xml:space="preserve">）：                         </w:t>
      </w:r>
    </w:p>
    <w:p>
      <w:pPr>
        <w:tabs>
          <w:tab w:val="left" w:pos="3780"/>
        </w:tabs>
        <w:spacing w:line="360" w:lineRule="auto"/>
        <w:rPr>
          <w:rFonts w:hint="eastAsia" w:ascii="宋体"/>
          <w:color w:val="auto"/>
          <w:highlight w:val="none"/>
        </w:rPr>
      </w:pPr>
      <w:r>
        <w:rPr>
          <w:rFonts w:hint="eastAsia" w:ascii="宋体"/>
          <w:color w:val="auto"/>
          <w:highlight w:val="none"/>
        </w:rPr>
        <w:t>签名日期：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left="1159" w:leftChars="552" w:firstLine="2261"/>
        <w:rPr>
          <w:rFonts w:hint="eastAsia" w:ascii="宋体"/>
          <w:color w:val="auto"/>
          <w:highlight w:val="none"/>
        </w:rPr>
      </w:pPr>
    </w:p>
    <w:p>
      <w:pPr>
        <w:spacing w:line="360" w:lineRule="auto"/>
        <w:rPr>
          <w:rFonts w:hint="eastAsia" w:ascii="宋体"/>
          <w:color w:val="auto"/>
          <w:highlight w:val="none"/>
        </w:rPr>
      </w:pPr>
      <w:r>
        <w:rPr>
          <w:rFonts w:hint="eastAsia" w:asci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2952750</wp:posOffset>
                </wp:positionH>
                <wp:positionV relativeFrom="paragraph">
                  <wp:posOffset>217170</wp:posOffset>
                </wp:positionV>
                <wp:extent cx="2781300" cy="1639570"/>
                <wp:effectExtent l="4445" t="4445" r="14605" b="13335"/>
                <wp:wrapNone/>
                <wp:docPr id="8" name="矩形 8"/>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wps:txbx>
                      <wps:bodyPr wrap="square" upright="1"/>
                    </wps:wsp>
                  </a:graphicData>
                </a:graphic>
              </wp:anchor>
            </w:drawing>
          </mc:Choice>
          <mc:Fallback>
            <w:pict>
              <v:rect id="_x0000_s1026" o:spid="_x0000_s1026" o:spt="1" style="position:absolute;left:0pt;margin-left:232.5pt;margin-top:17.1pt;height:129.1pt;width:219pt;z-index:251661312;mso-width-relative:page;mso-height-relative:page;" fillcolor="#FFFFFF" filled="t" stroked="t" coordsize="21600,21600" o:gfxdata="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q/ebjZAAAACgEAAA8AAAAA&#10;AAAAAQAgAAAAIgAAAGRycy9kb3ducmV2LnhtbFBLAQIUABQAAAAIAIdO4kC8qoTvEwIAAEYEAAAO&#10;AAAAAAAAAAEAIAAAACgBAABkcnMvZTJvRG9jLnhtbFBLBQYAAAAABgAGAFkBAACtBQ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v:textbox>
              </v:rect>
            </w:pict>
          </mc:Fallback>
        </mc:AlternateContent>
      </w:r>
      <w:r>
        <w:rPr>
          <w:rFonts w:asci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217170</wp:posOffset>
                </wp:positionV>
                <wp:extent cx="2781300" cy="1639570"/>
                <wp:effectExtent l="4445" t="4445" r="14605" b="13335"/>
                <wp:wrapNone/>
                <wp:docPr id="1" name="矩形 1"/>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
                            <w:pPr>
                              <w:jc w:val="center"/>
                              <w:rPr>
                                <w:rFonts w:hint="eastAsia"/>
                              </w:rPr>
                            </w:pPr>
                            <w:r>
                              <w:rPr>
                                <w:rFonts w:hint="eastAsia"/>
                              </w:rPr>
                              <w:t>（正面</w:t>
                            </w:r>
                            <w:r>
                              <w:t>）</w:t>
                            </w:r>
                          </w:p>
                        </w:txbxContent>
                      </wps:txbx>
                      <wps:bodyPr wrap="square" upright="1"/>
                    </wps:wsp>
                  </a:graphicData>
                </a:graphic>
              </wp:anchor>
            </w:drawing>
          </mc:Choice>
          <mc:Fallback>
            <w:pict>
              <v:rect id="_x0000_s1026" o:spid="_x0000_s1026" o:spt="1" style="position:absolute;left:0pt;margin-left:-2.25pt;margin-top:17.1pt;height:129.1pt;width:219pt;z-index:251660288;mso-width-relative:page;mso-height-relative:page;" fillcolor="#FFFFFF" filled="t" stroked="t" coordsize="21600,21600" o:gfxdata="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NmkNNgAAAAJAQAADwAAAAAA&#10;AAABACAAAAAiAAAAZHJzL2Rvd25yZXYueG1sUEsBAhQAFAAAAAgAh07iQOhDK7oTAgAARgQAAA4A&#10;AAAAAAAAAQAgAAAAJwEAAGRycy9lMm9Eb2MueG1sUEsFBgAAAAAGAAYAWQEAAKwFA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
                      <w:pPr>
                        <w:jc w:val="center"/>
                        <w:rPr>
                          <w:rFonts w:hint="eastAsia"/>
                        </w:rPr>
                      </w:pPr>
                      <w:r>
                        <w:rPr>
                          <w:rFonts w:hint="eastAsia"/>
                        </w:rPr>
                        <w:t>（正面</w:t>
                      </w:r>
                      <w:r>
                        <w:t>）</w:t>
                      </w:r>
                    </w:p>
                  </w:txbxContent>
                </v:textbox>
              </v:rect>
            </w:pict>
          </mc:Fallback>
        </mc:AlternateContent>
      </w: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440" w:lineRule="exact"/>
        <w:rPr>
          <w:rFonts w:ascii="宋体"/>
          <w:color w:val="auto"/>
          <w:sz w:val="24"/>
          <w:highlight w:val="none"/>
        </w:rPr>
        <w:sectPr>
          <w:pgSz w:w="11906" w:h="16838"/>
          <w:pgMar w:top="1440" w:right="1286" w:bottom="1440" w:left="1440" w:header="851" w:footer="992" w:gutter="0"/>
          <w:cols w:space="720" w:num="1"/>
          <w:docGrid w:type="lines" w:linePitch="312" w:charSpace="0"/>
        </w:sectPr>
      </w:pPr>
      <w:bookmarkStart w:id="527" w:name="_Toc226217114"/>
    </w:p>
    <w:bookmarkEnd w:id="527"/>
    <w:p>
      <w:pPr>
        <w:numPr>
          <w:ilvl w:val="0"/>
          <w:numId w:val="165"/>
        </w:numPr>
        <w:spacing w:line="440" w:lineRule="exact"/>
        <w:rPr>
          <w:rFonts w:hint="eastAsia" w:ascii="黑体" w:eastAsia="黑体"/>
          <w:color w:val="auto"/>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bookmarkStart w:id="528" w:name="_Toc275865608"/>
      <w:r>
        <w:rPr>
          <w:rFonts w:hint="eastAsia"/>
          <w:b w:val="0"/>
          <w:color w:val="auto"/>
          <w:highlight w:val="none"/>
        </w:rPr>
        <w:t>法定代表人证明书</w:t>
      </w:r>
      <w:bookmarkEnd w:id="522"/>
      <w:bookmarkEnd w:id="523"/>
      <w:bookmarkEnd w:id="524"/>
      <w:bookmarkEnd w:id="525"/>
      <w:bookmarkEnd w:id="526"/>
      <w:bookmarkEnd w:id="528"/>
    </w:p>
    <w:p>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有效日期与本公司投标文件中标注的投标有效期相同。签发日期：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ascii="宋体" w:hAnsi="宋体"/>
          <w:color w:val="auto"/>
          <w:highlight w:val="none"/>
        </w:rPr>
        <w:t xml:space="preserve">             </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经营范围：</w:t>
      </w:r>
    </w:p>
    <w:p>
      <w:pPr>
        <w:spacing w:line="480" w:lineRule="auto"/>
        <w:ind w:firstLine="800" w:firstLineChars="400"/>
        <w:rPr>
          <w:rFonts w:hint="eastAsia" w:ascii="宋体" w:hAnsi="宋体"/>
          <w:color w:val="auto"/>
          <w:sz w:val="24"/>
          <w:highlight w:val="none"/>
        </w:rPr>
      </w:pPr>
      <w:r>
        <w:rPr>
          <w:rFonts w:ascii="宋体" w:hAnsi="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243840</wp:posOffset>
                </wp:positionV>
                <wp:extent cx="2743200" cy="162242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rPr>
                                <w:rFonts w:hint="eastAsia"/>
                              </w:rPr>
                            </w:pPr>
                            <w:r>
                              <w:rPr>
                                <w:rFonts w:hint="eastAsia"/>
                              </w:rPr>
                              <w:t xml:space="preserve"> </w:t>
                            </w:r>
                          </w:p>
                          <w:p>
                            <w:pPr>
                              <w:ind w:firstLine="1050" w:firstLineChars="500"/>
                              <w:rPr>
                                <w:rFonts w:hint="eastAsia"/>
                              </w:rPr>
                            </w:pPr>
                            <w:r>
                              <w:t xml:space="preserve">       </w:t>
                            </w:r>
                            <w:r>
                              <w:rPr>
                                <w:rFonts w:hint="eastAsia"/>
                              </w:rPr>
                              <w:t>（正面</w:t>
                            </w:r>
                            <w:r>
                              <w:t>）</w:t>
                            </w:r>
                          </w:p>
                        </w:txbxContent>
                      </wps:txbx>
                      <wps:bodyPr wrap="square" upright="1"/>
                    </wps:wsp>
                  </a:graphicData>
                </a:graphic>
              </wp:anchor>
            </w:drawing>
          </mc:Choice>
          <mc:Fallback>
            <w:pict>
              <v:rect id="_x0000_s1026" o:spid="_x0000_s1026" o:spt="1" style="position:absolute;left:0pt;margin-left:5.6pt;margin-top:19.2pt;height:127.75pt;width:216pt;z-index:251659264;mso-width-relative:page;mso-height-relative:page;" fillcolor="#FFFFFF" filled="t" stroked="t" coordsize="21600,21600" o:gfxdata="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aLUqtYAAAAJAQAADwAAAAAAAAABACAA&#10;AAAiAAAAZHJzL2Rvd25yZXYueG1sUEsBAhQAFAAAAAgAh07iQKFqfM0PAgAARgQAAA4AAAAAAAAA&#10;AQAgAAAAJQEAAGRycy9lMm9Eb2MueG1sUEsFBgAAAAAGAAYAWQEAAKYFA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rPr>
                          <w:rFonts w:hint="eastAsia"/>
                        </w:rPr>
                      </w:pPr>
                      <w:r>
                        <w:rPr>
                          <w:rFonts w:hint="eastAsia"/>
                        </w:rPr>
                        <w:t xml:space="preserve"> </w:t>
                      </w:r>
                    </w:p>
                    <w:p>
                      <w:pPr>
                        <w:ind w:firstLine="1050" w:firstLineChars="500"/>
                        <w:rPr>
                          <w:rFonts w:hint="eastAsia"/>
                        </w:rPr>
                      </w:pPr>
                      <w:r>
                        <w:t xml:space="preserve">       </w:t>
                      </w:r>
                      <w:r>
                        <w:rPr>
                          <w:rFonts w:hint="eastAsia"/>
                        </w:rPr>
                        <w:t>（正面</w:t>
                      </w:r>
                      <w:r>
                        <w:t>）</w:t>
                      </w:r>
                    </w:p>
                  </w:txbxContent>
                </v:textbox>
              </v:rect>
            </w:pict>
          </mc:Fallback>
        </mc:AlternateContent>
      </w:r>
      <w:r>
        <w:rPr>
          <w:rFonts w:hint="eastAsia" w:ascii="宋体"/>
          <w:b/>
          <w:bCs/>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3023870</wp:posOffset>
                </wp:positionH>
                <wp:positionV relativeFrom="paragraph">
                  <wp:posOffset>243840</wp:posOffset>
                </wp:positionV>
                <wp:extent cx="2743200" cy="1622425"/>
                <wp:effectExtent l="4445" t="4445" r="14605" b="11430"/>
                <wp:wrapNone/>
                <wp:docPr id="2" name="矩形 2"/>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wps:txbx>
                      <wps:bodyPr wrap="square" upright="1"/>
                    </wps:wsp>
                  </a:graphicData>
                </a:graphic>
              </wp:anchor>
            </w:drawing>
          </mc:Choice>
          <mc:Fallback>
            <w:pict>
              <v:rect id="_x0000_s1026" o:spid="_x0000_s1026" o:spt="1" style="position:absolute;left:0pt;margin-left:238.1pt;margin-top:19.2pt;height:127.75pt;width:216pt;z-index:251662336;mso-width-relative:page;mso-height-relative:page;" fillcolor="#FFFFFF" filled="t" stroked="t" coordsize="21600,21600" o:gfxdata="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PI58/YAAAACgEAAA8AAAAAAAAAAQAg&#10;AAAAIgAAAGRycy9kb3ducmV2LnhtbFBLAQIUABQAAAAIAIdO4kCvmPV/DgIAAEYEAAAOAAAAAAAA&#10;AAEAIAAAACcBAABkcnMvZTJvRG9jLnhtbFBLBQYAAAAABgAGAFkBAACnBQ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v:textbox>
              </v:rect>
            </w:pict>
          </mc:Fallback>
        </mc:AlternateContent>
      </w: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r>
        <w:rPr>
          <w:rFonts w:hint="eastAsia" w:ascii="宋体"/>
          <w:b/>
          <w:bCs/>
          <w:color w:val="auto"/>
          <w:highlight w:val="none"/>
        </w:rPr>
        <w:t xml:space="preserve">                         </w:t>
      </w:r>
    </w:p>
    <w:p>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rPr>
        <w:t>投标人名称(加盖公章)：</w:t>
      </w:r>
    </w:p>
    <w:p>
      <w:pPr>
        <w:spacing w:line="500" w:lineRule="exact"/>
        <w:rPr>
          <w:rFonts w:hint="eastAsia" w:ascii="宋体" w:hAnsi="宋体"/>
          <w:color w:val="auto"/>
          <w:highlight w:val="none"/>
        </w:rPr>
      </w:pPr>
      <w:r>
        <w:rPr>
          <w:rFonts w:hint="eastAsia" w:ascii="宋体" w:hAnsi="宋体"/>
          <w:color w:val="auto"/>
          <w:highlight w:val="none"/>
        </w:rPr>
        <w:t xml:space="preserve">                                           地址：</w:t>
      </w:r>
    </w:p>
    <w:p>
      <w:pPr>
        <w:spacing w:line="500" w:lineRule="exact"/>
        <w:rPr>
          <w:rFonts w:hint="eastAsia" w:ascii="宋体"/>
          <w:b/>
          <w:bCs/>
          <w:color w:val="auto"/>
          <w:highlight w:val="none"/>
        </w:rPr>
      </w:pPr>
      <w:r>
        <w:rPr>
          <w:rFonts w:hint="eastAsia" w:ascii="宋体" w:hAnsi="宋体"/>
          <w:color w:val="auto"/>
          <w:highlight w:val="none"/>
        </w:rPr>
        <w:t xml:space="preserve">                                           日期：</w:t>
      </w:r>
    </w:p>
    <w:p>
      <w:pPr>
        <w:numPr>
          <w:ilvl w:val="0"/>
          <w:numId w:val="165"/>
        </w:numPr>
        <w:spacing w:line="440" w:lineRule="exact"/>
        <w:rPr>
          <w:rFonts w:hint="eastAsia" w:ascii="黑体" w:eastAsia="黑体"/>
          <w:bCs/>
          <w:color w:val="auto"/>
          <w:sz w:val="28"/>
          <w:highlight w:val="none"/>
        </w:rPr>
      </w:pPr>
      <w:r>
        <w:rPr>
          <w:rFonts w:ascii="宋体"/>
          <w:b/>
          <w:bCs/>
          <w:color w:val="auto"/>
          <w:highlight w:val="none"/>
        </w:rPr>
        <w:br w:type="page"/>
      </w:r>
      <w:r>
        <w:rPr>
          <w:rFonts w:hint="eastAsia" w:ascii="宋体"/>
          <w:b/>
          <w:bCs/>
          <w:color w:val="auto"/>
          <w:highlight w:val="none"/>
        </w:rPr>
        <w:t xml:space="preserve">   </w:t>
      </w:r>
    </w:p>
    <w:p>
      <w:pPr>
        <w:pStyle w:val="4"/>
        <w:numPr>
          <w:ilvl w:val="1"/>
          <w:numId w:val="122"/>
        </w:numPr>
        <w:adjustRightInd w:val="0"/>
        <w:snapToGrid w:val="0"/>
        <w:spacing w:before="156" w:beforeLines="50" w:after="156" w:afterLines="50" w:line="360" w:lineRule="auto"/>
        <w:jc w:val="center"/>
        <w:rPr>
          <w:b w:val="0"/>
          <w:color w:val="auto"/>
          <w:highlight w:val="none"/>
        </w:rPr>
      </w:pPr>
      <w:r>
        <w:rPr>
          <w:rFonts w:hint="eastAsia"/>
          <w:b w:val="0"/>
          <w:color w:val="auto"/>
          <w:highlight w:val="none"/>
        </w:rPr>
        <w:t>实质性响应一览表</w:t>
      </w:r>
    </w:p>
    <w:p>
      <w:pPr>
        <w:widowControl/>
        <w:wordWrap w:val="0"/>
        <w:spacing w:line="360" w:lineRule="auto"/>
        <w:jc w:val="left"/>
        <w:rPr>
          <w:rFonts w:hint="eastAsia" w:ascii="黑体" w:hAnsi="黑体" w:eastAsia="黑体" w:cs="黑体"/>
          <w:b/>
          <w:color w:val="auto"/>
          <w:sz w:val="24"/>
          <w:highlight w:val="none"/>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r>
        <w:rPr>
          <w:rFonts w:ascii="ˎ̥" w:hAnsi="ˎ̥" w:cs="宋体"/>
          <w:color w:val="auto"/>
          <w:kern w:val="0"/>
          <w:sz w:val="18"/>
          <w:szCs w:val="18"/>
          <w:highlight w:val="none"/>
        </w:rPr>
        <w:t> </w:t>
      </w:r>
    </w:p>
    <w:tbl>
      <w:tblPr>
        <w:tblStyle w:val="25"/>
        <w:tblW w:w="0" w:type="auto"/>
        <w:tblInd w:w="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530"/>
        <w:gridCol w:w="2531"/>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19" w:type="dxa"/>
            <w:tcBorders>
              <w:top w:val="single" w:color="auto" w:sz="12" w:space="0"/>
              <w:bottom w:val="double" w:color="auto" w:sz="4" w:space="0"/>
            </w:tcBorders>
            <w:shd w:val="clear" w:color="auto" w:fill="EEECE1"/>
            <w:noWrap w:val="0"/>
            <w:vAlign w:val="center"/>
          </w:tcPr>
          <w:p>
            <w:pPr>
              <w:ind w:left="-90" w:leftChars="-43" w:right="-103" w:rightChars="-49"/>
              <w:jc w:val="center"/>
              <w:rPr>
                <w:rFonts w:hint="eastAsia" w:ascii="宋体" w:hAnsi="宋体"/>
                <w:color w:val="auto"/>
                <w:szCs w:val="21"/>
                <w:highlight w:val="none"/>
              </w:rPr>
            </w:pPr>
            <w:r>
              <w:rPr>
                <w:rFonts w:hint="eastAsia" w:ascii="宋体" w:hAnsi="宋体"/>
                <w:color w:val="auto"/>
                <w:szCs w:val="21"/>
                <w:highlight w:val="none"/>
              </w:rPr>
              <w:t>序号</w:t>
            </w:r>
          </w:p>
        </w:tc>
        <w:tc>
          <w:tcPr>
            <w:tcW w:w="2530"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原条款描述</w:t>
            </w:r>
          </w:p>
        </w:tc>
        <w:tc>
          <w:tcPr>
            <w:tcW w:w="2531"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投标人响应描述</w:t>
            </w:r>
          </w:p>
        </w:tc>
        <w:tc>
          <w:tcPr>
            <w:tcW w:w="2003" w:type="dxa"/>
            <w:tcBorders>
              <w:top w:val="single" w:color="auto" w:sz="12" w:space="0"/>
              <w:bottom w:val="double" w:color="auto" w:sz="4" w:space="0"/>
              <w:right w:val="single" w:color="auto" w:sz="2" w:space="0"/>
            </w:tcBorders>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偏离情况说明</w:t>
            </w:r>
          </w:p>
          <w:p>
            <w:pPr>
              <w:jc w:val="center"/>
              <w:rPr>
                <w:rFonts w:hint="eastAsia" w:ascii="宋体" w:hAnsi="宋体"/>
                <w:color w:val="auto"/>
                <w:highlight w:val="none"/>
              </w:rPr>
            </w:pPr>
            <w:r>
              <w:rPr>
                <w:rFonts w:hint="eastAsia" w:ascii="宋体" w:hAnsi="宋体"/>
                <w:color w:val="auto"/>
                <w:highlight w:val="none"/>
              </w:rPr>
              <w:t>（</w:t>
            </w:r>
            <w:r>
              <w:rPr>
                <w:rFonts w:hint="eastAsia"/>
                <w:color w:val="auto"/>
                <w:highlight w:val="none"/>
              </w:rPr>
              <w:t>正偏离/完全响应/负偏离</w:t>
            </w:r>
            <w:r>
              <w:rPr>
                <w:rFonts w:hint="eastAsia" w:ascii="宋体" w:hAnsi="宋体"/>
                <w:color w:val="auto"/>
                <w:highlight w:val="none"/>
              </w:rPr>
              <w:t>）</w:t>
            </w:r>
          </w:p>
        </w:tc>
        <w:tc>
          <w:tcPr>
            <w:tcW w:w="1440" w:type="dxa"/>
            <w:tcBorders>
              <w:top w:val="single" w:color="auto" w:sz="12" w:space="0"/>
              <w:left w:val="single" w:color="auto" w:sz="2" w:space="0"/>
              <w:bottom w:val="double" w:color="auto" w:sz="4" w:space="0"/>
            </w:tcBorders>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23" w:type="dxa"/>
            <w:gridSpan w:val="5"/>
            <w:tcBorders>
              <w:top w:val="doub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b/>
                <w:bCs/>
                <w:color w:val="auto"/>
                <w:szCs w:val="21"/>
                <w:highlight w:val="none"/>
                <w:lang w:eastAsia="zh-CN"/>
              </w:rPr>
              <w:t>商务条款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op w:val="double" w:color="auto" w:sz="4" w:space="0"/>
            </w:tcBorders>
            <w:noWrap w:val="0"/>
            <w:vAlign w:val="center"/>
          </w:tcPr>
          <w:p>
            <w:pPr>
              <w:numPr>
                <w:ilvl w:val="0"/>
                <w:numId w:val="169"/>
              </w:numPr>
              <w:jc w:val="center"/>
              <w:rPr>
                <w:rFonts w:hint="eastAsia" w:ascii="宋体" w:hAnsi="宋体"/>
                <w:color w:val="auto"/>
                <w:szCs w:val="21"/>
                <w:highlight w:val="none"/>
              </w:rPr>
            </w:pPr>
          </w:p>
        </w:tc>
        <w:tc>
          <w:tcPr>
            <w:tcW w:w="2530" w:type="dxa"/>
            <w:tcBorders>
              <w:top w:val="double" w:color="auto" w:sz="4" w:space="0"/>
            </w:tcBorders>
            <w:noWrap w:val="0"/>
            <w:vAlign w:val="center"/>
          </w:tcPr>
          <w:p>
            <w:pPr>
              <w:rPr>
                <w:rFonts w:hint="eastAsia" w:ascii="宋体" w:hAnsi="宋体" w:eastAsia="宋体"/>
                <w:color w:val="auto"/>
                <w:highlight w:val="none"/>
                <w:lang w:eastAsia="zh-CN"/>
              </w:rPr>
            </w:pPr>
            <w:r>
              <w:rPr>
                <w:rFonts w:hint="eastAsia" w:ascii="宋体" w:hAnsi="宋体"/>
                <w:color w:val="auto"/>
                <w:highlight w:val="none"/>
                <w:lang w:eastAsia="zh-CN"/>
              </w:rPr>
              <w:t>质量要求</w:t>
            </w:r>
          </w:p>
        </w:tc>
        <w:tc>
          <w:tcPr>
            <w:tcW w:w="2531" w:type="dxa"/>
            <w:tcBorders>
              <w:top w:val="double" w:color="auto" w:sz="4" w:space="0"/>
            </w:tcBorders>
            <w:noWrap w:val="0"/>
            <w:vAlign w:val="center"/>
          </w:tcPr>
          <w:p>
            <w:pPr>
              <w:jc w:val="center"/>
              <w:rPr>
                <w:rFonts w:hint="eastAsia" w:ascii="宋体" w:hAnsi="宋体"/>
                <w:color w:val="auto"/>
                <w:highlight w:val="none"/>
              </w:rPr>
            </w:pPr>
          </w:p>
        </w:tc>
        <w:tc>
          <w:tcPr>
            <w:tcW w:w="2003" w:type="dxa"/>
            <w:tcBorders>
              <w:top w:val="double" w:color="auto" w:sz="4" w:space="0"/>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top w:val="double" w:color="auto" w:sz="4" w:space="0"/>
              <w:left w:val="single" w:color="auto" w:sz="2" w:space="0"/>
            </w:tcBorders>
            <w:noWrap w:val="0"/>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rPr>
                <w:rFonts w:hint="eastAsia" w:ascii="宋体" w:hAnsi="宋体" w:eastAsia="宋体"/>
                <w:color w:val="auto"/>
                <w:highlight w:val="none"/>
                <w:lang w:eastAsia="zh-CN"/>
              </w:rPr>
            </w:pPr>
            <w:r>
              <w:rPr>
                <w:rFonts w:hint="eastAsia" w:ascii="宋体" w:hAnsi="宋体"/>
                <w:color w:val="auto"/>
                <w:highlight w:val="none"/>
                <w:lang w:eastAsia="zh-CN"/>
              </w:rPr>
              <w:t>承包方式</w:t>
            </w:r>
          </w:p>
        </w:tc>
        <w:tc>
          <w:tcPr>
            <w:tcW w:w="2531" w:type="dxa"/>
            <w:noWrap w:val="0"/>
            <w:vAlign w:val="center"/>
          </w:tcPr>
          <w:p>
            <w:pPr>
              <w:jc w:val="center"/>
              <w:rPr>
                <w:rFonts w:hint="eastAsia" w:ascii="宋体" w:hAnsi="宋体"/>
                <w:color w:val="auto"/>
                <w:highlight w:val="none"/>
              </w:rPr>
            </w:pPr>
          </w:p>
        </w:tc>
        <w:tc>
          <w:tcPr>
            <w:tcW w:w="2003" w:type="dxa"/>
            <w:tcBorders>
              <w:right w:val="single" w:color="auto" w:sz="2" w:space="0"/>
            </w:tcBorders>
            <w:noWrap w:val="0"/>
            <w:vAlign w:val="center"/>
          </w:tcPr>
          <w:p>
            <w:pPr>
              <w:jc w:val="center"/>
              <w:rPr>
                <w:rFonts w:hint="eastAsia" w:ascii="宋体" w:hAnsi="宋体"/>
                <w:color w:val="auto"/>
                <w:highlight w:val="none"/>
              </w:rPr>
            </w:pPr>
          </w:p>
        </w:tc>
        <w:tc>
          <w:tcPr>
            <w:tcW w:w="1440" w:type="dxa"/>
            <w:tcBorders>
              <w:left w:val="single" w:color="auto" w:sz="2" w:space="0"/>
            </w:tcBorders>
            <w:noWrap w:val="0"/>
            <w:vAlign w:val="center"/>
          </w:tcPr>
          <w:p>
            <w:pPr>
              <w:jc w:val="center"/>
              <w:rPr>
                <w:rFonts w:hint="eastAsia" w:ascii="宋体" w:hAnsi="宋体"/>
                <w:color w:val="auto"/>
                <w:sz w:val="18"/>
                <w:szCs w:val="18"/>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spacing w:line="400" w:lineRule="exact"/>
              <w:rPr>
                <w:rFonts w:hint="eastAsia" w:ascii="宋体" w:hAnsi="宋体" w:eastAsia="宋体"/>
                <w:color w:val="auto"/>
                <w:highlight w:val="none"/>
                <w:lang w:eastAsia="zh-CN"/>
              </w:rPr>
            </w:pPr>
            <w:r>
              <w:rPr>
                <w:rFonts w:hint="eastAsia" w:ascii="宋体" w:hAnsi="宋体"/>
                <w:color w:val="auto"/>
                <w:highlight w:val="none"/>
                <w:lang w:eastAsia="zh-CN"/>
              </w:rPr>
              <w:t>报价要求</w:t>
            </w:r>
          </w:p>
        </w:tc>
        <w:tc>
          <w:tcPr>
            <w:tcW w:w="2531" w:type="dxa"/>
            <w:noWrap w:val="0"/>
            <w:vAlign w:val="center"/>
          </w:tcPr>
          <w:p>
            <w:pPr>
              <w:spacing w:line="400" w:lineRule="exact"/>
              <w:jc w:val="center"/>
              <w:rPr>
                <w:rFonts w:hint="eastAsia" w:ascii="宋体" w:hAnsi="宋体"/>
                <w:color w:val="auto"/>
                <w:highlight w:val="none"/>
              </w:rPr>
            </w:pPr>
          </w:p>
        </w:tc>
        <w:tc>
          <w:tcPr>
            <w:tcW w:w="2003" w:type="dxa"/>
            <w:tcBorders>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left w:val="single" w:color="auto" w:sz="2"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spacing w:line="400" w:lineRule="exact"/>
              <w:rPr>
                <w:rFonts w:hint="eastAsia" w:ascii="宋体" w:hAnsi="宋体" w:eastAsia="宋体"/>
                <w:color w:val="auto"/>
                <w:highlight w:val="none"/>
                <w:lang w:eastAsia="zh-CN"/>
              </w:rPr>
            </w:pPr>
            <w:r>
              <w:rPr>
                <w:rFonts w:hint="eastAsia" w:ascii="宋体" w:hAnsi="宋体"/>
                <w:color w:val="auto"/>
                <w:highlight w:val="none"/>
                <w:lang w:eastAsia="zh-CN"/>
              </w:rPr>
              <w:t>服务期限（成果提交日期）、实施地点</w:t>
            </w:r>
          </w:p>
        </w:tc>
        <w:tc>
          <w:tcPr>
            <w:tcW w:w="2531" w:type="dxa"/>
            <w:noWrap w:val="0"/>
            <w:vAlign w:val="center"/>
          </w:tcPr>
          <w:p>
            <w:pPr>
              <w:spacing w:line="400" w:lineRule="exact"/>
              <w:jc w:val="center"/>
              <w:rPr>
                <w:rFonts w:hint="eastAsia" w:ascii="宋体" w:hAnsi="宋体"/>
                <w:color w:val="auto"/>
                <w:highlight w:val="none"/>
              </w:rPr>
            </w:pPr>
          </w:p>
        </w:tc>
        <w:tc>
          <w:tcPr>
            <w:tcW w:w="2003" w:type="dxa"/>
            <w:tcBorders>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left w:val="single" w:color="auto" w:sz="2"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spacing w:line="400" w:lineRule="exact"/>
              <w:rPr>
                <w:rFonts w:hint="eastAsia" w:ascii="宋体" w:hAnsi="宋体" w:eastAsia="宋体"/>
                <w:color w:val="auto"/>
                <w:highlight w:val="none"/>
                <w:lang w:eastAsia="zh-CN"/>
              </w:rPr>
            </w:pPr>
            <w:r>
              <w:rPr>
                <w:rFonts w:hint="eastAsia" w:ascii="宋体" w:hAnsi="宋体"/>
                <w:color w:val="auto"/>
                <w:highlight w:val="none"/>
                <w:lang w:eastAsia="zh-CN"/>
              </w:rPr>
              <w:t>服务团队要求</w:t>
            </w:r>
          </w:p>
        </w:tc>
        <w:tc>
          <w:tcPr>
            <w:tcW w:w="2531" w:type="dxa"/>
            <w:noWrap w:val="0"/>
            <w:vAlign w:val="center"/>
          </w:tcPr>
          <w:p>
            <w:pPr>
              <w:spacing w:line="400" w:lineRule="exact"/>
              <w:jc w:val="center"/>
              <w:rPr>
                <w:rFonts w:hint="eastAsia" w:ascii="宋体" w:hAnsi="宋体"/>
                <w:color w:val="auto"/>
                <w:highlight w:val="none"/>
              </w:rPr>
            </w:pPr>
          </w:p>
        </w:tc>
        <w:tc>
          <w:tcPr>
            <w:tcW w:w="2003" w:type="dxa"/>
            <w:tcBorders>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left w:val="single" w:color="auto" w:sz="2"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spacing w:line="400" w:lineRule="exact"/>
              <w:rPr>
                <w:rFonts w:hint="eastAsia" w:ascii="宋体" w:hAnsi="宋体" w:eastAsia="宋体"/>
                <w:color w:val="auto"/>
                <w:highlight w:val="none"/>
                <w:lang w:eastAsia="zh-CN"/>
              </w:rPr>
            </w:pPr>
            <w:r>
              <w:rPr>
                <w:rFonts w:hint="eastAsia" w:ascii="宋体" w:hAnsi="宋体"/>
                <w:color w:val="auto"/>
                <w:highlight w:val="none"/>
                <w:lang w:eastAsia="zh-CN"/>
              </w:rPr>
              <w:t>履约保证金</w:t>
            </w:r>
          </w:p>
        </w:tc>
        <w:tc>
          <w:tcPr>
            <w:tcW w:w="2531" w:type="dxa"/>
            <w:noWrap w:val="0"/>
            <w:vAlign w:val="center"/>
          </w:tcPr>
          <w:p>
            <w:pPr>
              <w:spacing w:line="400" w:lineRule="exact"/>
              <w:jc w:val="center"/>
              <w:rPr>
                <w:rFonts w:hint="eastAsia" w:ascii="宋体" w:hAnsi="宋体"/>
                <w:color w:val="auto"/>
                <w:highlight w:val="none"/>
              </w:rPr>
            </w:pPr>
          </w:p>
        </w:tc>
        <w:tc>
          <w:tcPr>
            <w:tcW w:w="2003" w:type="dxa"/>
            <w:tcBorders>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left w:val="single" w:color="auto" w:sz="2"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numPr>
                <w:ilvl w:val="0"/>
                <w:numId w:val="169"/>
              </w:numPr>
              <w:jc w:val="center"/>
              <w:rPr>
                <w:rFonts w:hint="eastAsia" w:ascii="宋体" w:hAnsi="宋体"/>
                <w:color w:val="auto"/>
                <w:szCs w:val="21"/>
                <w:highlight w:val="none"/>
              </w:rPr>
            </w:pPr>
          </w:p>
        </w:tc>
        <w:tc>
          <w:tcPr>
            <w:tcW w:w="2530" w:type="dxa"/>
            <w:noWrap w:val="0"/>
            <w:vAlign w:val="center"/>
          </w:tcPr>
          <w:p>
            <w:pPr>
              <w:spacing w:line="400" w:lineRule="exact"/>
              <w:rPr>
                <w:rFonts w:hint="eastAsia" w:ascii="宋体" w:hAnsi="宋体" w:eastAsia="宋体"/>
                <w:color w:val="auto"/>
                <w:highlight w:val="none"/>
                <w:lang w:eastAsia="zh-CN"/>
              </w:rPr>
            </w:pPr>
            <w:r>
              <w:rPr>
                <w:rFonts w:hint="eastAsia" w:ascii="宋体" w:hAnsi="宋体"/>
                <w:color w:val="auto"/>
                <w:highlight w:val="none"/>
                <w:lang w:eastAsia="zh-CN"/>
              </w:rPr>
              <w:t>付款方式</w:t>
            </w:r>
          </w:p>
        </w:tc>
        <w:tc>
          <w:tcPr>
            <w:tcW w:w="2531" w:type="dxa"/>
            <w:noWrap w:val="0"/>
            <w:vAlign w:val="center"/>
          </w:tcPr>
          <w:p>
            <w:pPr>
              <w:spacing w:line="400" w:lineRule="exact"/>
              <w:jc w:val="center"/>
              <w:rPr>
                <w:rFonts w:hint="eastAsia" w:ascii="宋体" w:hAnsi="宋体"/>
                <w:color w:val="auto"/>
                <w:highlight w:val="none"/>
              </w:rPr>
            </w:pPr>
          </w:p>
        </w:tc>
        <w:tc>
          <w:tcPr>
            <w:tcW w:w="2003" w:type="dxa"/>
            <w:tcBorders>
              <w:right w:val="single" w:color="auto" w:sz="2" w:space="0"/>
            </w:tcBorders>
            <w:noWrap w:val="0"/>
            <w:vAlign w:val="center"/>
          </w:tcPr>
          <w:p>
            <w:pPr>
              <w:spacing w:line="400" w:lineRule="exact"/>
              <w:jc w:val="center"/>
              <w:rPr>
                <w:rFonts w:hint="eastAsia" w:ascii="宋体" w:hAnsi="宋体"/>
                <w:color w:val="auto"/>
                <w:highlight w:val="none"/>
              </w:rPr>
            </w:pPr>
          </w:p>
        </w:tc>
        <w:tc>
          <w:tcPr>
            <w:tcW w:w="1440" w:type="dxa"/>
            <w:tcBorders>
              <w:left w:val="single" w:color="auto" w:sz="2"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400" w:lineRule="exact"/>
        <w:rPr>
          <w:rFonts w:hint="eastAsia" w:ascii="宋体" w:hAnsi="宋体"/>
          <w:color w:val="auto"/>
          <w:highlight w:val="none"/>
        </w:rPr>
      </w:pPr>
      <w:r>
        <w:rPr>
          <w:rFonts w:hint="eastAsia" w:ascii="宋体" w:hAnsi="宋体"/>
          <w:color w:val="auto"/>
          <w:highlight w:val="none"/>
        </w:rPr>
        <w:t>说明：</w:t>
      </w:r>
    </w:p>
    <w:p>
      <w:pPr>
        <w:numPr>
          <w:ilvl w:val="0"/>
          <w:numId w:val="170"/>
        </w:numPr>
        <w:spacing w:line="400" w:lineRule="exact"/>
        <w:rPr>
          <w:rFonts w:hint="eastAsia" w:ascii="宋体" w:hAnsi="宋体"/>
          <w:color w:val="auto"/>
          <w:highlight w:val="none"/>
        </w:rPr>
      </w:pPr>
      <w:r>
        <w:rPr>
          <w:rFonts w:hint="eastAsia" w:ascii="宋体" w:hAnsi="宋体"/>
          <w:color w:val="auto"/>
          <w:highlight w:val="none"/>
        </w:rPr>
        <w:t>投标人必须对应招标文件</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w:t>
      </w:r>
      <w:r>
        <w:rPr>
          <w:rFonts w:hint="eastAsia" w:ascii="宋体" w:hAnsi="宋体"/>
          <w:color w:val="auto"/>
          <w:highlight w:val="none"/>
          <w:lang w:eastAsia="zh-CN"/>
        </w:rPr>
        <w:t>（如有）及商务条款</w:t>
      </w:r>
      <w:r>
        <w:rPr>
          <w:rFonts w:hint="eastAsia" w:ascii="宋体" w:hAnsi="宋体"/>
          <w:color w:val="auto"/>
          <w:highlight w:val="none"/>
        </w:rPr>
        <w:t>逐条应答并按要求填写上表。</w:t>
      </w:r>
    </w:p>
    <w:p>
      <w:pPr>
        <w:numPr>
          <w:ilvl w:val="0"/>
          <w:numId w:val="170"/>
        </w:numPr>
        <w:spacing w:line="400" w:lineRule="exact"/>
        <w:rPr>
          <w:rFonts w:hint="eastAsia" w:ascii="宋体" w:hAnsi="宋体"/>
          <w:color w:val="auto"/>
          <w:highlight w:val="none"/>
        </w:rPr>
      </w:pPr>
      <w:r>
        <w:rPr>
          <w:rFonts w:hint="eastAsia" w:ascii="宋体" w:hAnsi="宋体"/>
          <w:color w:val="auto"/>
          <w:highlight w:val="none"/>
        </w:rPr>
        <w:t>本表中“原条款描述”的条款与用户需求中的条款描述不一致的以用户需求中规定的为准。</w:t>
      </w:r>
    </w:p>
    <w:p>
      <w:pPr>
        <w:spacing w:line="500" w:lineRule="exact"/>
        <w:rPr>
          <w:rFonts w:hint="eastAsia"/>
          <w:color w:val="auto"/>
          <w:spacing w:val="4"/>
          <w:highlight w:val="none"/>
        </w:rPr>
      </w:pPr>
    </w:p>
    <w:p>
      <w:pPr>
        <w:spacing w:line="500" w:lineRule="exact"/>
        <w:ind w:firstLine="109" w:firstLineChars="50"/>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440" w:lineRule="exact"/>
        <w:ind w:firstLine="105" w:firstLineChars="50"/>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165"/>
        </w:numPr>
        <w:spacing w:line="440" w:lineRule="exact"/>
        <w:rPr>
          <w:rFonts w:hint="eastAsia" w:ascii="黑体" w:eastAsia="黑体"/>
          <w:bCs/>
          <w:color w:val="auto"/>
          <w:sz w:val="28"/>
          <w:highlight w:val="none"/>
        </w:rPr>
      </w:pPr>
      <w:r>
        <w:rPr>
          <w:rFonts w:hint="eastAsia" w:ascii="宋体"/>
          <w:b/>
          <w:bCs/>
          <w:color w:val="auto"/>
          <w:highlight w:val="none"/>
        </w:rPr>
        <w:br w:type="page"/>
      </w: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rPr>
        <w:t>开标一览表</w:t>
      </w:r>
      <w:r>
        <w:rPr>
          <w:rFonts w:hint="eastAsia"/>
          <w:b w:val="0"/>
          <w:color w:val="auto"/>
          <w:highlight w:val="none"/>
          <w:lang w:eastAsia="zh-CN"/>
        </w:rPr>
        <w:t>（</w:t>
      </w:r>
      <w:r>
        <w:rPr>
          <w:rFonts w:hint="eastAsia"/>
          <w:b w:val="0"/>
          <w:color w:val="auto"/>
          <w:highlight w:val="none"/>
        </w:rPr>
        <w:t>报价表</w:t>
      </w:r>
      <w:r>
        <w:rPr>
          <w:rFonts w:hint="eastAsia"/>
          <w:b w:val="0"/>
          <w:color w:val="auto"/>
          <w:highlight w:val="none"/>
          <w:lang w:eastAsia="zh-CN"/>
        </w:rPr>
        <w:t>）（包组一）</w:t>
      </w:r>
    </w:p>
    <w:p>
      <w:pPr>
        <w:tabs>
          <w:tab w:val="left" w:pos="7740"/>
        </w:tabs>
        <w:adjustRightInd w:val="0"/>
        <w:snapToGrid w:val="0"/>
        <w:rPr>
          <w:rFonts w:hint="eastAsia" w:ascii="宋体" w:hAnsi="宋体" w:eastAsia="宋体"/>
          <w:color w:val="auto"/>
          <w:highlight w:val="none"/>
          <w:lang w:eastAsia="zh-CN"/>
        </w:rPr>
      </w:pPr>
      <w:r>
        <w:rPr>
          <w:rFonts w:hint="eastAsia" w:ascii="宋体" w:hAnsi="宋体"/>
          <w:color w:val="auto"/>
          <w:highlight w:val="none"/>
        </w:rPr>
        <w:t>投标人名称：                                            项目编号：</w:t>
      </w:r>
      <w:r>
        <w:rPr>
          <w:rFonts w:hint="eastAsia" w:ascii="宋体" w:hAnsi="宋体"/>
          <w:color w:val="auto"/>
          <w:highlight w:val="none"/>
          <w:lang w:eastAsia="zh-CN"/>
        </w:rPr>
        <w:t>JG2022(SZ)XZ0013</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43"/>
        <w:gridCol w:w="526"/>
        <w:gridCol w:w="1763"/>
        <w:gridCol w:w="1294"/>
        <w:gridCol w:w="2911"/>
        <w:gridCol w:w="1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包组号</w:t>
            </w:r>
          </w:p>
        </w:tc>
        <w:tc>
          <w:tcPr>
            <w:tcW w:w="44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采购内容</w:t>
            </w:r>
          </w:p>
        </w:tc>
        <w:tc>
          <w:tcPr>
            <w:tcW w:w="2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数量</w:t>
            </w:r>
          </w:p>
        </w:tc>
        <w:tc>
          <w:tcPr>
            <w:tcW w:w="93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岩溶勘察部分预留金（或称暂列金额）</w:t>
            </w:r>
          </w:p>
        </w:tc>
        <w:tc>
          <w:tcPr>
            <w:tcW w:w="2238" w:type="pct"/>
            <w:gridSpan w:val="2"/>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eastAsia="宋体"/>
                <w:b/>
                <w:color w:val="auto"/>
                <w:szCs w:val="21"/>
                <w:highlight w:val="none"/>
                <w:lang w:eastAsia="zh-CN"/>
              </w:rPr>
            </w:pPr>
            <w:r>
              <w:rPr>
                <w:rFonts w:hint="eastAsia" w:ascii="宋体"/>
                <w:b/>
                <w:color w:val="auto"/>
                <w:szCs w:val="21"/>
                <w:highlight w:val="none"/>
              </w:rPr>
              <w:t>投标</w:t>
            </w:r>
            <w:r>
              <w:rPr>
                <w:rFonts w:hint="eastAsia" w:ascii="宋体"/>
                <w:b/>
                <w:color w:val="auto"/>
                <w:szCs w:val="21"/>
                <w:highlight w:val="none"/>
                <w:lang w:eastAsia="zh-CN"/>
              </w:rPr>
              <w:t>单价</w:t>
            </w:r>
          </w:p>
        </w:tc>
        <w:tc>
          <w:tcPr>
            <w:tcW w:w="7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b/>
                <w:bCs/>
                <w:color w:val="auto"/>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312"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rPr>
              <w:t>包组一</w:t>
            </w:r>
          </w:p>
        </w:tc>
        <w:tc>
          <w:tcPr>
            <w:tcW w:w="449"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hAnsi="宋体" w:eastAsia="宋体" w:cs="宋体"/>
                <w:bCs/>
                <w:color w:val="auto"/>
                <w:szCs w:val="21"/>
                <w:highlight w:val="none"/>
                <w:lang w:eastAsia="zh-CN"/>
              </w:rPr>
              <w:t>料源区及填方区</w:t>
            </w:r>
            <w:r>
              <w:rPr>
                <w:rFonts w:hint="eastAsia" w:ascii="宋体" w:hAnsi="宋体" w:eastAsia="宋体" w:cs="宋体"/>
                <w:bCs/>
                <w:color w:val="auto"/>
                <w:szCs w:val="21"/>
                <w:highlight w:val="none"/>
              </w:rPr>
              <w:t>勘察服务</w:t>
            </w:r>
          </w:p>
        </w:tc>
        <w:tc>
          <w:tcPr>
            <w:tcW w:w="280"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rPr>
              <w:t>1项</w:t>
            </w:r>
          </w:p>
        </w:tc>
        <w:tc>
          <w:tcPr>
            <w:tcW w:w="939" w:type="pct"/>
            <w:vMerge w:val="restart"/>
            <w:tcBorders>
              <w:top w:val="double" w:color="auto" w:sz="4" w:space="0"/>
            </w:tcBorders>
            <w:noWrap w:val="0"/>
            <w:vAlign w:val="center"/>
          </w:tcPr>
          <w:p>
            <w:pPr>
              <w:spacing w:line="360" w:lineRule="auto"/>
              <w:rPr>
                <w:rFonts w:hint="eastAsia" w:ascii="宋体" w:hAnsi="宋体" w:eastAsia="宋体" w:cs="宋体"/>
                <w:bCs/>
                <w:szCs w:val="21"/>
                <w:highlight w:val="none"/>
                <w:u w:val="single"/>
              </w:rPr>
            </w:pPr>
            <w:r>
              <w:rPr>
                <w:rFonts w:hint="eastAsia" w:ascii="宋体" w:hAnsi="宋体" w:eastAsia="宋体" w:cs="宋体"/>
                <w:bCs/>
                <w:szCs w:val="21"/>
                <w:highlight w:val="none"/>
              </w:rPr>
              <w:t>小写：</w:t>
            </w:r>
            <w:r>
              <w:rPr>
                <w:rFonts w:hint="eastAsia" w:ascii="宋体" w:hAnsi="宋体" w:eastAsia="宋体" w:cs="宋体"/>
                <w:bCs/>
                <w:szCs w:val="21"/>
                <w:highlight w:val="none"/>
                <w:u w:val="single"/>
                <w:lang w:val="en-US" w:eastAsia="zh-CN"/>
              </w:rPr>
              <w:t>¥1,000,000.00元</w:t>
            </w:r>
          </w:p>
          <w:p>
            <w:pPr>
              <w:adjustRightInd w:val="0"/>
              <w:snapToGrid w:val="0"/>
              <w:rPr>
                <w:rFonts w:hint="eastAsia" w:ascii="宋体" w:hAnsi="宋体" w:eastAsia="宋体" w:cs="宋体"/>
                <w:bCs/>
                <w:color w:val="auto"/>
                <w:szCs w:val="21"/>
                <w:highlight w:val="none"/>
              </w:rPr>
            </w:pPr>
            <w:r>
              <w:rPr>
                <w:rFonts w:hint="eastAsia" w:ascii="宋体" w:hAnsi="宋体" w:eastAsia="宋体" w:cs="宋体"/>
                <w:bCs/>
                <w:szCs w:val="21"/>
                <w:highlight w:val="none"/>
              </w:rPr>
              <w:t>大写：</w:t>
            </w:r>
            <w:r>
              <w:rPr>
                <w:rFonts w:hint="eastAsia" w:ascii="宋体" w:hAnsi="宋体" w:eastAsia="宋体" w:cs="宋体"/>
                <w:bCs/>
                <w:szCs w:val="21"/>
                <w:highlight w:val="none"/>
                <w:u w:val="single"/>
                <w:lang w:eastAsia="zh-CN"/>
              </w:rPr>
              <w:t>人民币壹佰万元整</w:t>
            </w:r>
          </w:p>
        </w:tc>
        <w:tc>
          <w:tcPr>
            <w:tcW w:w="688" w:type="pct"/>
            <w:tcBorders>
              <w:top w:val="double" w:color="auto" w:sz="4" w:space="0"/>
              <w:bottom w:val="single" w:color="auto" w:sz="4" w:space="0"/>
            </w:tcBorders>
            <w:noWrap w:val="0"/>
            <w:vAlign w:val="center"/>
          </w:tcPr>
          <w:p>
            <w:pPr>
              <w:adjustRightInd w:val="0"/>
              <w:snapToGrid w:val="0"/>
              <w:jc w:val="center"/>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lang w:eastAsia="zh-CN"/>
              </w:rPr>
              <w:t>主体协调工作部分</w:t>
            </w:r>
          </w:p>
        </w:tc>
        <w:tc>
          <w:tcPr>
            <w:tcW w:w="1550" w:type="pct"/>
            <w:tcBorders>
              <w:top w:val="double" w:color="auto" w:sz="4" w:space="0"/>
              <w:bottom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bCs/>
                <w:color w:val="auto"/>
                <w:szCs w:val="21"/>
                <w:highlight w:val="none"/>
                <w:u w:val="singl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c>
          <w:tcPr>
            <w:tcW w:w="780" w:type="pct"/>
            <w:vMerge w:val="restart"/>
            <w:tcBorders>
              <w:top w:val="double" w:color="auto" w:sz="4" w:space="0"/>
            </w:tcBorders>
            <w:noWrap w:val="0"/>
            <w:vAlign w:val="center"/>
          </w:tcPr>
          <w:p>
            <w:pPr>
              <w:pStyle w:val="48"/>
              <w:spacing w:line="440" w:lineRule="exact"/>
              <w:jc w:val="center"/>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rPr>
              <w:t>自招标人发出开工令之日起90日历天内提交最终勘察成果报告，包括：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312" w:type="pct"/>
            <w:vMerge w:val="continue"/>
            <w:noWrap w:val="0"/>
            <w:vAlign w:val="center"/>
          </w:tcPr>
          <w:p>
            <w:pPr>
              <w:spacing w:line="360" w:lineRule="auto"/>
              <w:jc w:val="center"/>
              <w:rPr>
                <w:rFonts w:hint="eastAsia" w:ascii="宋体"/>
                <w:bCs/>
                <w:color w:val="auto"/>
                <w:szCs w:val="21"/>
                <w:highlight w:val="none"/>
              </w:rPr>
            </w:pPr>
          </w:p>
        </w:tc>
        <w:tc>
          <w:tcPr>
            <w:tcW w:w="449" w:type="pct"/>
            <w:vMerge w:val="continue"/>
            <w:noWrap w:val="0"/>
            <w:vAlign w:val="center"/>
          </w:tcPr>
          <w:p>
            <w:pPr>
              <w:spacing w:line="360" w:lineRule="auto"/>
              <w:jc w:val="center"/>
              <w:rPr>
                <w:rFonts w:hint="eastAsia" w:ascii="宋体" w:hAnsi="宋体" w:eastAsia="宋体" w:cs="宋体"/>
                <w:bCs/>
                <w:color w:val="auto"/>
                <w:szCs w:val="21"/>
                <w:highlight w:val="none"/>
              </w:rPr>
            </w:pPr>
          </w:p>
        </w:tc>
        <w:tc>
          <w:tcPr>
            <w:tcW w:w="280" w:type="pct"/>
            <w:vMerge w:val="continue"/>
            <w:noWrap w:val="0"/>
            <w:vAlign w:val="center"/>
          </w:tcPr>
          <w:p>
            <w:pPr>
              <w:spacing w:line="360" w:lineRule="auto"/>
              <w:jc w:val="center"/>
              <w:rPr>
                <w:rFonts w:hint="eastAsia" w:ascii="宋体"/>
                <w:bCs/>
                <w:color w:val="auto"/>
                <w:szCs w:val="21"/>
                <w:highlight w:val="none"/>
              </w:rPr>
            </w:pPr>
          </w:p>
        </w:tc>
        <w:tc>
          <w:tcPr>
            <w:tcW w:w="939" w:type="pct"/>
            <w:vMerge w:val="continue"/>
            <w:noWrap w:val="0"/>
            <w:vAlign w:val="center"/>
          </w:tcPr>
          <w:p>
            <w:pPr>
              <w:adjustRightInd w:val="0"/>
              <w:snapToGrid w:val="0"/>
              <w:rPr>
                <w:rFonts w:hint="eastAsia" w:ascii="宋体" w:hAnsi="宋体" w:eastAsia="宋体" w:cs="宋体"/>
                <w:bCs/>
                <w:szCs w:val="21"/>
                <w:highlight w:val="none"/>
              </w:rPr>
            </w:pPr>
          </w:p>
        </w:tc>
        <w:tc>
          <w:tcPr>
            <w:tcW w:w="688" w:type="pct"/>
            <w:tcBorders>
              <w:top w:val="double" w:color="auto" w:sz="4" w:space="0"/>
              <w:bottom w:val="single" w:color="auto" w:sz="4" w:space="0"/>
            </w:tcBorders>
            <w:noWrap w:val="0"/>
            <w:vAlign w:val="center"/>
          </w:tcPr>
          <w:p>
            <w:pPr>
              <w:adjustRightInd w:val="0"/>
              <w:snapToGrid w:val="0"/>
              <w:jc w:val="center"/>
              <w:rPr>
                <w:rFonts w:hint="eastAsia" w:ascii="宋体"/>
                <w:bCs/>
                <w:color w:val="auto"/>
                <w:szCs w:val="21"/>
                <w:highlight w:val="none"/>
              </w:rPr>
            </w:pPr>
            <w:r>
              <w:rPr>
                <w:rFonts w:hint="eastAsia" w:ascii="宋体"/>
                <w:bCs/>
                <w:color w:val="auto"/>
                <w:szCs w:val="21"/>
                <w:highlight w:val="none"/>
                <w:lang w:eastAsia="zh-CN"/>
              </w:rPr>
              <w:t>机场料源区及填方区岩土工程初步勘察工作部分</w:t>
            </w:r>
          </w:p>
        </w:tc>
        <w:tc>
          <w:tcPr>
            <w:tcW w:w="1550" w:type="pct"/>
            <w:tcBorders>
              <w:top w:val="double" w:color="auto" w:sz="4" w:space="0"/>
              <w:bottom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c>
          <w:tcPr>
            <w:tcW w:w="780" w:type="pct"/>
            <w:vMerge w:val="continue"/>
            <w:noWrap w:val="0"/>
            <w:vAlign w:val="center"/>
          </w:tcPr>
          <w:p>
            <w:pPr>
              <w:pStyle w:val="48"/>
              <w:spacing w:line="440" w:lineRule="exact"/>
              <w:jc w:val="left"/>
              <w:rPr>
                <w:rFonts w:hint="eastAsia"/>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312"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449" w:type="pct"/>
            <w:vMerge w:val="continue"/>
            <w:tcBorders>
              <w:bottom w:val="single" w:color="auto" w:sz="4" w:space="0"/>
            </w:tcBorders>
            <w:noWrap w:val="0"/>
            <w:vAlign w:val="center"/>
          </w:tcPr>
          <w:p>
            <w:pPr>
              <w:spacing w:line="360" w:lineRule="auto"/>
              <w:jc w:val="center"/>
              <w:rPr>
                <w:rFonts w:hint="eastAsia" w:ascii="宋体" w:hAnsi="宋体" w:eastAsia="宋体" w:cs="宋体"/>
                <w:bCs/>
                <w:color w:val="auto"/>
                <w:szCs w:val="21"/>
                <w:highlight w:val="none"/>
              </w:rPr>
            </w:pPr>
          </w:p>
        </w:tc>
        <w:tc>
          <w:tcPr>
            <w:tcW w:w="280"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939" w:type="pct"/>
            <w:vMerge w:val="continue"/>
            <w:tcBorders>
              <w:bottom w:val="single" w:color="auto" w:sz="4" w:space="0"/>
            </w:tcBorders>
            <w:noWrap w:val="0"/>
            <w:vAlign w:val="center"/>
          </w:tcPr>
          <w:p>
            <w:pPr>
              <w:adjustRightInd w:val="0"/>
              <w:snapToGrid w:val="0"/>
              <w:rPr>
                <w:rFonts w:hint="eastAsia" w:ascii="宋体" w:hAnsi="宋体" w:eastAsia="宋体" w:cs="宋体"/>
                <w:bCs/>
                <w:szCs w:val="21"/>
                <w:highlight w:val="none"/>
              </w:rPr>
            </w:pPr>
          </w:p>
        </w:tc>
        <w:tc>
          <w:tcPr>
            <w:tcW w:w="688" w:type="pct"/>
            <w:tcBorders>
              <w:top w:val="double" w:color="auto" w:sz="4" w:space="0"/>
              <w:bottom w:val="single" w:color="auto" w:sz="4" w:space="0"/>
            </w:tcBorders>
            <w:noWrap w:val="0"/>
            <w:vAlign w:val="center"/>
          </w:tcPr>
          <w:p>
            <w:pPr>
              <w:adjustRightInd w:val="0"/>
              <w:snapToGrid w:val="0"/>
              <w:jc w:val="center"/>
              <w:rPr>
                <w:rFonts w:hint="eastAsia" w:ascii="宋体"/>
                <w:bCs/>
                <w:color w:val="auto"/>
                <w:szCs w:val="21"/>
                <w:highlight w:val="none"/>
                <w:lang w:eastAsia="zh-CN"/>
              </w:rPr>
            </w:pPr>
            <w:r>
              <w:rPr>
                <w:rFonts w:hint="eastAsia" w:ascii="宋体"/>
                <w:bCs/>
                <w:color w:val="auto"/>
                <w:szCs w:val="21"/>
                <w:highlight w:val="none"/>
                <w:lang w:val="en-US" w:eastAsia="zh-CN"/>
              </w:rPr>
              <w:t>钻孔综合单价（钻孔总进尺暂按29450米计算）</w:t>
            </w:r>
          </w:p>
        </w:tc>
        <w:tc>
          <w:tcPr>
            <w:tcW w:w="1550" w:type="pct"/>
            <w:tcBorders>
              <w:top w:val="double" w:color="auto" w:sz="4" w:space="0"/>
              <w:bottom w:val="single" w:color="auto" w:sz="4" w:space="0"/>
            </w:tcBorders>
            <w:noWrap w:val="0"/>
            <w:vAlign w:val="center"/>
          </w:tcPr>
          <w:p>
            <w:pPr>
              <w:spacing w:line="360" w:lineRule="auto"/>
              <w:rPr>
                <w:rFonts w:hint="default" w:ascii="宋体"/>
                <w:bCs/>
                <w:szCs w:val="21"/>
                <w:highlight w:val="none"/>
                <w:u w:val="single"/>
                <w:lang w:val="en-US"/>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元/延米</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szCs w:val="21"/>
                <w:highlight w:val="none"/>
                <w:u w:val="single"/>
                <w:lang w:val="en-US" w:eastAsia="zh-CN"/>
              </w:rPr>
              <w:t xml:space="preserve">   </w:t>
            </w:r>
            <w:r>
              <w:rPr>
                <w:rFonts w:hint="eastAsia" w:ascii="宋体"/>
                <w:bCs/>
                <w:szCs w:val="21"/>
                <w:highlight w:val="none"/>
                <w:u w:val="single"/>
              </w:rPr>
              <w:t xml:space="preserve"> </w:t>
            </w:r>
            <w:r>
              <w:rPr>
                <w:rFonts w:hint="eastAsia" w:ascii="宋体"/>
                <w:bCs/>
                <w:szCs w:val="21"/>
                <w:highlight w:val="none"/>
                <w:u w:val="single"/>
                <w:lang w:eastAsia="zh-CN"/>
              </w:rPr>
              <w:t>每延米</w:t>
            </w:r>
          </w:p>
        </w:tc>
        <w:tc>
          <w:tcPr>
            <w:tcW w:w="780" w:type="pct"/>
            <w:vMerge w:val="continue"/>
            <w:noWrap w:val="0"/>
            <w:vAlign w:val="center"/>
          </w:tcPr>
          <w:p>
            <w:pPr>
              <w:pStyle w:val="48"/>
              <w:spacing w:line="440" w:lineRule="exact"/>
              <w:jc w:val="left"/>
              <w:rPr>
                <w:rFonts w:hint="eastAsia"/>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2669" w:type="pct"/>
            <w:gridSpan w:val="5"/>
            <w:tcBorders>
              <w:top w:val="single" w:color="auto" w:sz="4" w:space="0"/>
            </w:tcBorders>
            <w:noWrap w:val="0"/>
            <w:vAlign w:val="center"/>
          </w:tcPr>
          <w:p>
            <w:pPr>
              <w:adjustRightInd w:val="0"/>
              <w:snapToGrid w:val="0"/>
              <w:jc w:val="center"/>
              <w:rPr>
                <w:rFonts w:hint="eastAsia" w:ascii="宋体" w:eastAsia="宋体"/>
                <w:bCs/>
                <w:color w:val="auto"/>
                <w:szCs w:val="21"/>
                <w:highlight w:val="none"/>
                <w:lang w:eastAsia="zh-CN"/>
              </w:rPr>
            </w:pPr>
            <w:r>
              <w:rPr>
                <w:rFonts w:hint="eastAsia" w:ascii="宋体"/>
                <w:b/>
                <w:bCs w:val="0"/>
                <w:color w:val="auto"/>
                <w:szCs w:val="21"/>
                <w:highlight w:val="none"/>
                <w:lang w:eastAsia="zh-CN"/>
              </w:rPr>
              <w:t>投标总报价</w:t>
            </w:r>
          </w:p>
        </w:tc>
        <w:tc>
          <w:tcPr>
            <w:tcW w:w="4376" w:type="dxa"/>
            <w:gridSpan w:val="2"/>
            <w:tcBorders>
              <w:top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hAnsi="宋体"/>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r>
    </w:tbl>
    <w:p>
      <w:pPr>
        <w:spacing w:line="500" w:lineRule="exact"/>
        <w:rPr>
          <w:rFonts w:hint="eastAsia" w:ascii="宋体" w:hAnsi="宋体"/>
          <w:color w:val="auto"/>
          <w:highlight w:val="none"/>
          <w:u w:val="single"/>
        </w:rPr>
      </w:pPr>
      <w:r>
        <w:rPr>
          <w:rFonts w:hint="eastAsia" w:ascii="宋体" w:hAnsi="宋体"/>
          <w:color w:val="auto"/>
          <w:highlight w:val="none"/>
        </w:rPr>
        <w:t>投标人名称(加盖公章)</w:t>
      </w:r>
      <w:r>
        <w:rPr>
          <w:rFonts w:hint="eastAsia"/>
          <w:color w:val="auto"/>
          <w:spacing w:val="4"/>
          <w:highlight w:val="none"/>
        </w:rPr>
        <w:t>：</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171"/>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w:t>
      </w:r>
      <w:r>
        <w:rPr>
          <w:rFonts w:hint="eastAsia"/>
          <w:b/>
          <w:color w:val="auto"/>
          <w:highlight w:val="none"/>
        </w:rPr>
        <w:t>为投标文件的组成部分，</w:t>
      </w:r>
      <w:r>
        <w:rPr>
          <w:b/>
          <w:color w:val="auto"/>
          <w:highlight w:val="none"/>
        </w:rPr>
        <w:t>须附在正、副本的投标文件中，并另封装一份于开标小信封中</w:t>
      </w:r>
      <w:r>
        <w:rPr>
          <w:rFonts w:hint="eastAsia"/>
          <w:b/>
          <w:color w:val="auto"/>
          <w:highlight w:val="none"/>
        </w:rPr>
        <w:t>。</w:t>
      </w:r>
    </w:p>
    <w:p>
      <w:pPr>
        <w:numPr>
          <w:ilvl w:val="1"/>
          <w:numId w:val="171"/>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pPr>
        <w:numPr>
          <w:ilvl w:val="1"/>
          <w:numId w:val="171"/>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投标报价要求具体见第五章“</w:t>
      </w:r>
      <w:bookmarkStart w:id="529" w:name="_Toc322076489"/>
      <w:r>
        <w:rPr>
          <w:rFonts w:hint="eastAsia" w:ascii="宋体" w:hAnsi="宋体"/>
          <w:b/>
          <w:bCs/>
          <w:color w:val="auto"/>
          <w:szCs w:val="21"/>
          <w:highlight w:val="none"/>
        </w:rPr>
        <w:t>投标报价</w:t>
      </w:r>
      <w:bookmarkEnd w:id="529"/>
      <w:r>
        <w:rPr>
          <w:rFonts w:hint="eastAsia"/>
          <w:b/>
          <w:color w:val="auto"/>
          <w:highlight w:val="none"/>
        </w:rPr>
        <w:t>”要求及用户需求书的要求。</w:t>
      </w:r>
    </w:p>
    <w:p>
      <w:pPr>
        <w:numPr>
          <w:ilvl w:val="1"/>
          <w:numId w:val="171"/>
        </w:numPr>
        <w:tabs>
          <w:tab w:val="left" w:pos="360"/>
          <w:tab w:val="left" w:pos="840"/>
          <w:tab w:val="clear" w:pos="1620"/>
        </w:tabs>
        <w:snapToGrid w:val="0"/>
        <w:spacing w:line="360" w:lineRule="auto"/>
        <w:ind w:left="360"/>
        <w:rPr>
          <w:rFonts w:hint="eastAsia"/>
          <w:b/>
          <w:bCs/>
          <w:color w:val="auto"/>
          <w:highlight w:val="none"/>
        </w:rPr>
      </w:pPr>
      <w:r>
        <w:rPr>
          <w:rFonts w:hint="eastAsia"/>
          <w:b/>
          <w:bCs/>
          <w:color w:val="auto"/>
          <w:highlight w:val="none"/>
        </w:rPr>
        <w:t>本项目不接受有选择性的投标报价</w:t>
      </w:r>
      <w:r>
        <w:rPr>
          <w:rFonts w:hint="eastAsia" w:ascii="宋体" w:hAnsi="宋体"/>
          <w:b/>
          <w:color w:val="auto"/>
          <w:highlight w:val="none"/>
        </w:rPr>
        <w:t>。</w:t>
      </w:r>
    </w:p>
    <w:p>
      <w:pPr>
        <w:numPr>
          <w:ilvl w:val="1"/>
          <w:numId w:val="171"/>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bCs/>
          <w:color w:val="auto"/>
          <w:spacing w:val="4"/>
          <w:highlight w:val="none"/>
        </w:rPr>
        <w:t>中文大写金额用汉字，如壹、贰、叁、肆、伍、陆、柒、捌、玖、拾、佰、仟、万、亿、元、角、分、零、整（正）等。</w:t>
      </w:r>
    </w:p>
    <w:p>
      <w:pPr>
        <w:numPr>
          <w:ilvl w:val="1"/>
          <w:numId w:val="171"/>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lang w:val="en-US" w:eastAsia="zh-CN"/>
        </w:rPr>
        <w:t>投标总报价=</w:t>
      </w:r>
      <w:r>
        <w:rPr>
          <w:rFonts w:hint="eastAsia" w:ascii="宋体" w:hAnsi="宋体"/>
          <w:b/>
          <w:color w:val="auto"/>
          <w:highlight w:val="none"/>
          <w:lang w:eastAsia="zh-CN"/>
        </w:rPr>
        <w:t>岩溶勘察部分预留金（或称暂列金额）</w:t>
      </w:r>
      <w:r>
        <w:rPr>
          <w:rFonts w:hint="eastAsia" w:ascii="宋体" w:hAnsi="宋体"/>
          <w:b/>
          <w:color w:val="auto"/>
          <w:highlight w:val="none"/>
          <w:lang w:val="en-US" w:eastAsia="zh-CN"/>
        </w:rPr>
        <w:t>+</w:t>
      </w:r>
      <w:r>
        <w:rPr>
          <w:rFonts w:hint="eastAsia" w:ascii="宋体" w:hAnsi="宋体"/>
          <w:b/>
          <w:color w:val="auto"/>
          <w:highlight w:val="none"/>
          <w:lang w:eastAsia="zh-CN"/>
        </w:rPr>
        <w:t>主体协调</w:t>
      </w:r>
      <w:r>
        <w:rPr>
          <w:rFonts w:hint="eastAsia" w:ascii="宋体" w:hAnsi="宋体"/>
          <w:b/>
          <w:color w:val="auto"/>
          <w:highlight w:val="none"/>
          <w:lang w:val="en-US" w:eastAsia="zh-CN"/>
        </w:rPr>
        <w:t>工作部分投标报价+机场料源区及填方区岩土工程初步勘察工作部分投标报价【其中机场料源区及填方区岩土工程初步勘察工作部分投标报价=钻孔综合单价报价（元/延米）×29450米】</w:t>
      </w:r>
      <w:r>
        <w:rPr>
          <w:rFonts w:hint="eastAsia" w:ascii="宋体" w:hAnsi="宋体"/>
          <w:b/>
          <w:color w:val="auto"/>
          <w:highlight w:val="none"/>
        </w:rPr>
        <w:t>。</w:t>
      </w:r>
    </w:p>
    <w:p>
      <w:pPr>
        <w:numPr>
          <w:ilvl w:val="1"/>
          <w:numId w:val="171"/>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rPr>
        <w:t>若报价有小数点后的数值的，保留小数点后两位小数。</w:t>
      </w:r>
    </w:p>
    <w:p>
      <w:pPr>
        <w:pStyle w:val="4"/>
        <w:numPr>
          <w:ilvl w:val="0"/>
          <w:numId w:val="0"/>
        </w:numPr>
        <w:adjustRightInd w:val="0"/>
        <w:snapToGrid w:val="0"/>
        <w:spacing w:before="156" w:beforeLines="50" w:after="156" w:afterLines="50" w:line="360" w:lineRule="auto"/>
        <w:ind w:leftChars="0"/>
        <w:jc w:val="center"/>
        <w:rPr>
          <w:rFonts w:hint="eastAsia"/>
          <w:b w:val="0"/>
          <w:color w:val="auto"/>
          <w:highlight w:val="none"/>
        </w:rPr>
        <w:sectPr>
          <w:pgSz w:w="11906" w:h="16838"/>
          <w:pgMar w:top="1440" w:right="1286" w:bottom="1440" w:left="1440" w:header="851" w:footer="992" w:gutter="0"/>
          <w:cols w:space="720" w:num="1"/>
          <w:docGrid w:type="lines" w:linePitch="312" w:charSpace="0"/>
        </w:sectPr>
      </w:pPr>
    </w:p>
    <w:p>
      <w:pPr>
        <w:pStyle w:val="4"/>
        <w:numPr>
          <w:ilvl w:val="0"/>
          <w:numId w:val="0"/>
        </w:numPr>
        <w:adjustRightInd w:val="0"/>
        <w:snapToGrid w:val="0"/>
        <w:spacing w:before="156" w:beforeLines="50" w:after="156" w:afterLines="50" w:line="360" w:lineRule="auto"/>
        <w:ind w:leftChars="0"/>
        <w:jc w:val="center"/>
        <w:rPr>
          <w:rFonts w:hint="eastAsia"/>
          <w:b w:val="0"/>
          <w:color w:val="auto"/>
          <w:highlight w:val="none"/>
        </w:rPr>
      </w:pPr>
      <w:r>
        <w:rPr>
          <w:rFonts w:hint="eastAsia"/>
          <w:b w:val="0"/>
          <w:color w:val="auto"/>
          <w:highlight w:val="none"/>
        </w:rPr>
        <w:t>开标一览表</w:t>
      </w:r>
      <w:r>
        <w:rPr>
          <w:rFonts w:hint="eastAsia"/>
          <w:b w:val="0"/>
          <w:color w:val="auto"/>
          <w:highlight w:val="none"/>
          <w:lang w:eastAsia="zh-CN"/>
        </w:rPr>
        <w:t>（</w:t>
      </w:r>
      <w:r>
        <w:rPr>
          <w:rFonts w:hint="eastAsia"/>
          <w:b w:val="0"/>
          <w:color w:val="auto"/>
          <w:highlight w:val="none"/>
        </w:rPr>
        <w:t>报价表</w:t>
      </w:r>
      <w:r>
        <w:rPr>
          <w:rFonts w:hint="eastAsia"/>
          <w:b w:val="0"/>
          <w:color w:val="auto"/>
          <w:highlight w:val="none"/>
          <w:lang w:eastAsia="zh-CN"/>
        </w:rPr>
        <w:t>）（包组二）</w:t>
      </w:r>
    </w:p>
    <w:p>
      <w:pPr>
        <w:tabs>
          <w:tab w:val="left" w:pos="7740"/>
        </w:tabs>
        <w:adjustRightInd w:val="0"/>
        <w:snapToGrid w:val="0"/>
        <w:rPr>
          <w:rFonts w:hint="eastAsia" w:ascii="宋体" w:hAnsi="宋体" w:eastAsia="宋体"/>
          <w:color w:val="auto"/>
          <w:highlight w:val="none"/>
          <w:lang w:eastAsia="zh-CN"/>
        </w:rPr>
      </w:pPr>
      <w:r>
        <w:rPr>
          <w:rFonts w:hint="eastAsia" w:ascii="宋体" w:hAnsi="宋体"/>
          <w:color w:val="auto"/>
          <w:highlight w:val="none"/>
        </w:rPr>
        <w:t>投标人名称：                                            项目编号：</w:t>
      </w:r>
      <w:r>
        <w:rPr>
          <w:rFonts w:hint="eastAsia" w:ascii="宋体" w:hAnsi="宋体"/>
          <w:color w:val="auto"/>
          <w:highlight w:val="none"/>
          <w:lang w:eastAsia="zh-CN"/>
        </w:rPr>
        <w:t>JG2022(SZ)XZ0013</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43"/>
        <w:gridCol w:w="526"/>
        <w:gridCol w:w="1763"/>
        <w:gridCol w:w="1298"/>
        <w:gridCol w:w="2911"/>
        <w:gridCol w:w="1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包组号</w:t>
            </w:r>
          </w:p>
        </w:tc>
        <w:tc>
          <w:tcPr>
            <w:tcW w:w="44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采购内容</w:t>
            </w:r>
          </w:p>
        </w:tc>
        <w:tc>
          <w:tcPr>
            <w:tcW w:w="2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数量</w:t>
            </w:r>
          </w:p>
        </w:tc>
        <w:tc>
          <w:tcPr>
            <w:tcW w:w="93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岩溶勘察部分预留金（或称暂列金额）</w:t>
            </w:r>
          </w:p>
        </w:tc>
        <w:tc>
          <w:tcPr>
            <w:tcW w:w="2240" w:type="pct"/>
            <w:gridSpan w:val="2"/>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eastAsia="宋体"/>
                <w:b/>
                <w:color w:val="auto"/>
                <w:szCs w:val="21"/>
                <w:highlight w:val="none"/>
                <w:lang w:eastAsia="zh-CN"/>
              </w:rPr>
            </w:pPr>
            <w:r>
              <w:rPr>
                <w:rFonts w:hint="eastAsia" w:ascii="宋体"/>
                <w:b/>
                <w:color w:val="auto"/>
                <w:szCs w:val="21"/>
                <w:highlight w:val="none"/>
              </w:rPr>
              <w:t>投标</w:t>
            </w:r>
            <w:r>
              <w:rPr>
                <w:rFonts w:hint="eastAsia" w:ascii="宋体"/>
                <w:b/>
                <w:color w:val="auto"/>
                <w:szCs w:val="21"/>
                <w:highlight w:val="none"/>
                <w:lang w:eastAsia="zh-CN"/>
              </w:rPr>
              <w:t>单价</w:t>
            </w:r>
          </w:p>
        </w:tc>
        <w:tc>
          <w:tcPr>
            <w:tcW w:w="7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b/>
                <w:bCs/>
                <w:color w:val="auto"/>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310" w:type="pct"/>
            <w:vMerge w:val="restart"/>
            <w:tcBorders>
              <w:top w:val="double" w:color="auto" w:sz="4" w:space="0"/>
            </w:tcBorders>
            <w:noWrap w:val="0"/>
            <w:vAlign w:val="center"/>
          </w:tcPr>
          <w:p>
            <w:pPr>
              <w:spacing w:line="360" w:lineRule="auto"/>
              <w:jc w:val="center"/>
              <w:rPr>
                <w:rFonts w:hint="eastAsia" w:ascii="宋体" w:eastAsia="宋体"/>
                <w:bCs/>
                <w:color w:val="auto"/>
                <w:szCs w:val="21"/>
                <w:highlight w:val="none"/>
                <w:lang w:eastAsia="zh-CN"/>
              </w:rPr>
            </w:pPr>
            <w:r>
              <w:rPr>
                <w:rFonts w:hint="eastAsia" w:ascii="宋体"/>
                <w:bCs/>
                <w:color w:val="auto"/>
                <w:szCs w:val="21"/>
                <w:highlight w:val="none"/>
              </w:rPr>
              <w:t>包组</w:t>
            </w:r>
            <w:r>
              <w:rPr>
                <w:rFonts w:hint="eastAsia" w:ascii="宋体"/>
                <w:bCs/>
                <w:color w:val="auto"/>
                <w:szCs w:val="21"/>
                <w:highlight w:val="none"/>
                <w:lang w:eastAsia="zh-CN"/>
              </w:rPr>
              <w:t>二</w:t>
            </w:r>
          </w:p>
        </w:tc>
        <w:tc>
          <w:tcPr>
            <w:tcW w:w="449"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hAnsi="宋体" w:eastAsia="宋体" w:cs="宋体"/>
                <w:bCs/>
                <w:color w:val="auto"/>
                <w:szCs w:val="21"/>
                <w:highlight w:val="none"/>
              </w:rPr>
              <w:t>航站区勘察服务</w:t>
            </w:r>
          </w:p>
        </w:tc>
        <w:tc>
          <w:tcPr>
            <w:tcW w:w="280"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rPr>
              <w:t>1项</w:t>
            </w:r>
          </w:p>
        </w:tc>
        <w:tc>
          <w:tcPr>
            <w:tcW w:w="939" w:type="pct"/>
            <w:vMerge w:val="restart"/>
            <w:tcBorders>
              <w:top w:val="double" w:color="auto" w:sz="4" w:space="0"/>
            </w:tcBorders>
            <w:noWrap w:val="0"/>
            <w:vAlign w:val="center"/>
          </w:tcPr>
          <w:p>
            <w:pPr>
              <w:spacing w:line="360" w:lineRule="auto"/>
              <w:rPr>
                <w:rFonts w:hint="eastAsia" w:ascii="宋体" w:hAnsi="宋体" w:eastAsia="宋体" w:cs="宋体"/>
                <w:bCs/>
                <w:szCs w:val="21"/>
                <w:highlight w:val="none"/>
                <w:u w:val="single"/>
              </w:rPr>
            </w:pPr>
            <w:r>
              <w:rPr>
                <w:rFonts w:hint="eastAsia" w:ascii="宋体" w:hAnsi="宋体" w:eastAsia="宋体" w:cs="宋体"/>
                <w:bCs/>
                <w:szCs w:val="21"/>
                <w:highlight w:val="none"/>
              </w:rPr>
              <w:t>小写：</w:t>
            </w:r>
            <w:r>
              <w:rPr>
                <w:rFonts w:hint="eastAsia" w:ascii="宋体" w:hAnsi="宋体" w:eastAsia="宋体" w:cs="宋体"/>
                <w:bCs/>
                <w:szCs w:val="21"/>
                <w:highlight w:val="none"/>
                <w:u w:val="single"/>
                <w:lang w:val="en-US" w:eastAsia="zh-CN"/>
              </w:rPr>
              <w:t>¥800,000.00元</w:t>
            </w:r>
          </w:p>
          <w:p>
            <w:pPr>
              <w:adjustRightInd w:val="0"/>
              <w:snapToGrid w:val="0"/>
              <w:rPr>
                <w:rFonts w:hint="eastAsia" w:ascii="宋体" w:hAnsi="宋体" w:eastAsia="宋体" w:cs="宋体"/>
                <w:bCs/>
                <w:color w:val="auto"/>
                <w:szCs w:val="21"/>
                <w:highlight w:val="none"/>
              </w:rPr>
            </w:pPr>
            <w:r>
              <w:rPr>
                <w:rFonts w:hint="eastAsia" w:ascii="宋体" w:hAnsi="宋体" w:eastAsia="宋体" w:cs="宋体"/>
                <w:bCs/>
                <w:szCs w:val="21"/>
                <w:highlight w:val="none"/>
              </w:rPr>
              <w:t>大写：</w:t>
            </w:r>
            <w:r>
              <w:rPr>
                <w:rFonts w:hint="eastAsia" w:ascii="宋体" w:hAnsi="宋体" w:eastAsia="宋体" w:cs="宋体"/>
                <w:bCs/>
                <w:szCs w:val="21"/>
                <w:highlight w:val="none"/>
                <w:u w:val="single"/>
                <w:lang w:eastAsia="zh-CN"/>
              </w:rPr>
              <w:t>人民币捌拾万元整</w:t>
            </w:r>
          </w:p>
        </w:tc>
        <w:tc>
          <w:tcPr>
            <w:tcW w:w="690" w:type="pct"/>
            <w:tcBorders>
              <w:top w:val="double" w:color="auto" w:sz="4" w:space="0"/>
            </w:tcBorders>
            <w:noWrap w:val="0"/>
            <w:vAlign w:val="center"/>
          </w:tcPr>
          <w:p>
            <w:pPr>
              <w:adjustRightInd w:val="0"/>
              <w:snapToGrid w:val="0"/>
              <w:jc w:val="center"/>
              <w:rPr>
                <w:rFonts w:hint="eastAsia" w:ascii="宋体"/>
                <w:bCs/>
                <w:color w:val="auto"/>
                <w:szCs w:val="21"/>
                <w:highlight w:val="none"/>
              </w:rPr>
            </w:pPr>
            <w:r>
              <w:rPr>
                <w:rFonts w:hint="eastAsia" w:ascii="宋体"/>
                <w:bCs/>
                <w:color w:val="auto"/>
                <w:szCs w:val="21"/>
                <w:highlight w:val="none"/>
                <w:lang w:val="en-US" w:eastAsia="zh-CN"/>
              </w:rPr>
              <w:t>机场航站区岩土工程初步勘察工作部分</w:t>
            </w:r>
          </w:p>
        </w:tc>
        <w:tc>
          <w:tcPr>
            <w:tcW w:w="1550" w:type="pct"/>
            <w:tcBorders>
              <w:top w:val="double" w:color="auto" w:sz="4" w:space="0"/>
              <w:bottom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c>
          <w:tcPr>
            <w:tcW w:w="1465" w:type="dxa"/>
            <w:vMerge w:val="restart"/>
            <w:tcBorders>
              <w:top w:val="double" w:color="auto" w:sz="4" w:space="0"/>
            </w:tcBorders>
            <w:noWrap w:val="0"/>
            <w:vAlign w:val="center"/>
          </w:tcPr>
          <w:p>
            <w:pPr>
              <w:pStyle w:val="48"/>
              <w:spacing w:line="440" w:lineRule="exact"/>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rPr>
              <w:t>自招标人发出开工令之日起</w:t>
            </w:r>
            <w:r>
              <w:rPr>
                <w:rFonts w:hint="eastAsia" w:ascii="宋体" w:hAnsi="宋体" w:eastAsia="宋体" w:cs="宋体"/>
                <w:snapToGrid/>
                <w:color w:val="auto"/>
                <w:spacing w:val="0"/>
                <w:kern w:val="2"/>
                <w:sz w:val="21"/>
                <w:szCs w:val="24"/>
                <w:highlight w:val="none"/>
                <w:lang w:val="en-US" w:eastAsia="zh-CN"/>
              </w:rPr>
              <w:t>60</w:t>
            </w:r>
            <w:r>
              <w:rPr>
                <w:rFonts w:hint="eastAsia" w:ascii="宋体" w:hAnsi="宋体" w:eastAsia="宋体" w:cs="宋体"/>
                <w:snapToGrid/>
                <w:color w:val="auto"/>
                <w:spacing w:val="0"/>
                <w:kern w:val="2"/>
                <w:sz w:val="21"/>
                <w:szCs w:val="24"/>
                <w:highlight w:val="none"/>
              </w:rPr>
              <w:t>日历天内提交最终勘察成果报告，包括：</w:t>
            </w:r>
            <w:r>
              <w:rPr>
                <w:rFonts w:hint="eastAsia" w:ascii="宋体" w:hAnsi="宋体" w:eastAsia="宋体" w:cs="宋体"/>
                <w:snapToGrid/>
                <w:color w:val="auto"/>
                <w:spacing w:val="0"/>
                <w:kern w:val="2"/>
                <w:sz w:val="21"/>
                <w:szCs w:val="24"/>
                <w:highlight w:val="none"/>
                <w:lang w:eastAsia="zh-CN"/>
              </w:rPr>
              <w:t>本包组</w:t>
            </w:r>
            <w:r>
              <w:rPr>
                <w:rFonts w:hint="eastAsia" w:ascii="宋体" w:hAnsi="宋体" w:eastAsia="宋体" w:cs="宋体"/>
                <w:snapToGrid/>
                <w:color w:val="auto"/>
                <w:spacing w:val="0"/>
                <w:kern w:val="2"/>
                <w:sz w:val="21"/>
                <w:szCs w:val="24"/>
                <w:highlight w:val="none"/>
              </w:rPr>
              <w:t>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310"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449" w:type="pct"/>
            <w:vMerge w:val="continue"/>
            <w:tcBorders>
              <w:bottom w:val="single" w:color="auto" w:sz="4" w:space="0"/>
            </w:tcBorders>
            <w:noWrap w:val="0"/>
            <w:vAlign w:val="center"/>
          </w:tcPr>
          <w:p>
            <w:pPr>
              <w:spacing w:line="360" w:lineRule="auto"/>
              <w:jc w:val="center"/>
              <w:rPr>
                <w:rFonts w:hint="eastAsia" w:ascii="宋体" w:hAnsi="宋体" w:eastAsia="宋体" w:cs="宋体"/>
                <w:bCs/>
                <w:color w:val="auto"/>
                <w:szCs w:val="21"/>
                <w:highlight w:val="none"/>
              </w:rPr>
            </w:pPr>
          </w:p>
        </w:tc>
        <w:tc>
          <w:tcPr>
            <w:tcW w:w="280"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939" w:type="pct"/>
            <w:vMerge w:val="continue"/>
            <w:tcBorders>
              <w:bottom w:val="single" w:color="auto" w:sz="4" w:space="0"/>
            </w:tcBorders>
            <w:noWrap w:val="0"/>
            <w:vAlign w:val="center"/>
          </w:tcPr>
          <w:p>
            <w:pPr>
              <w:adjustRightInd w:val="0"/>
              <w:snapToGrid w:val="0"/>
              <w:rPr>
                <w:rFonts w:hint="eastAsia" w:ascii="宋体" w:hAnsi="宋体" w:eastAsia="宋体" w:cs="宋体"/>
                <w:bCs/>
                <w:szCs w:val="21"/>
                <w:highlight w:val="none"/>
              </w:rPr>
            </w:pPr>
          </w:p>
        </w:tc>
        <w:tc>
          <w:tcPr>
            <w:tcW w:w="690" w:type="pct"/>
            <w:tcBorders>
              <w:top w:val="double" w:color="auto" w:sz="4" w:space="0"/>
              <w:bottom w:val="single" w:color="auto" w:sz="4" w:space="0"/>
            </w:tcBorders>
            <w:noWrap w:val="0"/>
            <w:vAlign w:val="center"/>
          </w:tcPr>
          <w:p>
            <w:pPr>
              <w:adjustRightInd w:val="0"/>
              <w:snapToGrid w:val="0"/>
              <w:jc w:val="center"/>
              <w:rPr>
                <w:rFonts w:hint="eastAsia" w:ascii="宋体"/>
                <w:bCs/>
                <w:color w:val="auto"/>
                <w:szCs w:val="21"/>
                <w:highlight w:val="none"/>
                <w:lang w:eastAsia="zh-CN"/>
              </w:rPr>
            </w:pPr>
            <w:r>
              <w:rPr>
                <w:rFonts w:hint="eastAsia" w:ascii="宋体"/>
                <w:bCs/>
                <w:color w:val="auto"/>
                <w:szCs w:val="21"/>
                <w:highlight w:val="none"/>
                <w:lang w:val="en-US" w:eastAsia="zh-CN"/>
              </w:rPr>
              <w:t>钻孔综合单价（钻孔总进尺暂按17850米计算）</w:t>
            </w:r>
          </w:p>
        </w:tc>
        <w:tc>
          <w:tcPr>
            <w:tcW w:w="1550" w:type="pct"/>
            <w:tcBorders>
              <w:top w:val="double" w:color="auto" w:sz="4" w:space="0"/>
              <w:bottom w:val="single" w:color="auto" w:sz="4" w:space="0"/>
            </w:tcBorders>
            <w:noWrap w:val="0"/>
            <w:vAlign w:val="center"/>
          </w:tcPr>
          <w:p>
            <w:pPr>
              <w:spacing w:line="360" w:lineRule="auto"/>
              <w:rPr>
                <w:rFonts w:hint="default" w:ascii="宋体"/>
                <w:bCs/>
                <w:szCs w:val="21"/>
                <w:highlight w:val="none"/>
                <w:u w:val="single"/>
                <w:lang w:val="en-US"/>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元/延米</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szCs w:val="21"/>
                <w:highlight w:val="none"/>
                <w:u w:val="single"/>
                <w:lang w:val="en-US" w:eastAsia="zh-CN"/>
              </w:rPr>
              <w:t xml:space="preserve">   </w:t>
            </w:r>
            <w:r>
              <w:rPr>
                <w:rFonts w:hint="eastAsia" w:ascii="宋体"/>
                <w:bCs/>
                <w:szCs w:val="21"/>
                <w:highlight w:val="none"/>
                <w:u w:val="single"/>
              </w:rPr>
              <w:t xml:space="preserve"> </w:t>
            </w:r>
            <w:r>
              <w:rPr>
                <w:rFonts w:hint="eastAsia" w:ascii="宋体"/>
                <w:bCs/>
                <w:szCs w:val="21"/>
                <w:highlight w:val="none"/>
                <w:u w:val="single"/>
                <w:lang w:eastAsia="zh-CN"/>
              </w:rPr>
              <w:t>每延米</w:t>
            </w:r>
          </w:p>
        </w:tc>
        <w:tc>
          <w:tcPr>
            <w:tcW w:w="780" w:type="pct"/>
            <w:vMerge w:val="continue"/>
            <w:noWrap w:val="0"/>
            <w:vAlign w:val="center"/>
          </w:tcPr>
          <w:p>
            <w:pPr>
              <w:pStyle w:val="48"/>
              <w:spacing w:line="440" w:lineRule="exact"/>
              <w:jc w:val="left"/>
              <w:rPr>
                <w:rFonts w:hint="eastAsia"/>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2669" w:type="pct"/>
            <w:gridSpan w:val="5"/>
            <w:tcBorders>
              <w:top w:val="single" w:color="auto" w:sz="4" w:space="0"/>
            </w:tcBorders>
            <w:noWrap w:val="0"/>
            <w:vAlign w:val="center"/>
          </w:tcPr>
          <w:p>
            <w:pPr>
              <w:adjustRightInd w:val="0"/>
              <w:snapToGrid w:val="0"/>
              <w:jc w:val="center"/>
              <w:rPr>
                <w:rFonts w:hint="eastAsia" w:ascii="宋体" w:eastAsia="宋体"/>
                <w:bCs/>
                <w:color w:val="auto"/>
                <w:szCs w:val="21"/>
                <w:highlight w:val="none"/>
                <w:lang w:eastAsia="zh-CN"/>
              </w:rPr>
            </w:pPr>
            <w:r>
              <w:rPr>
                <w:rFonts w:hint="eastAsia" w:ascii="宋体"/>
                <w:b/>
                <w:bCs w:val="0"/>
                <w:color w:val="auto"/>
                <w:szCs w:val="21"/>
                <w:highlight w:val="none"/>
                <w:lang w:eastAsia="zh-CN"/>
              </w:rPr>
              <w:t>投标总报价</w:t>
            </w:r>
          </w:p>
        </w:tc>
        <w:tc>
          <w:tcPr>
            <w:tcW w:w="2330" w:type="pct"/>
            <w:gridSpan w:val="2"/>
            <w:tcBorders>
              <w:top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hAnsi="宋体"/>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r>
    </w:tbl>
    <w:p>
      <w:pPr>
        <w:spacing w:line="500" w:lineRule="exact"/>
        <w:rPr>
          <w:rFonts w:hint="eastAsia" w:ascii="宋体" w:hAnsi="宋体"/>
          <w:color w:val="auto"/>
          <w:highlight w:val="none"/>
          <w:u w:val="single"/>
        </w:rPr>
      </w:pPr>
      <w:r>
        <w:rPr>
          <w:rFonts w:hint="eastAsia" w:ascii="宋体" w:hAnsi="宋体"/>
          <w:color w:val="auto"/>
          <w:highlight w:val="none"/>
        </w:rPr>
        <w:t>投标人名称(加盖公章)</w:t>
      </w:r>
      <w:r>
        <w:rPr>
          <w:rFonts w:hint="eastAsia"/>
          <w:color w:val="auto"/>
          <w:spacing w:val="4"/>
          <w:highlight w:val="none"/>
        </w:rPr>
        <w:t>：</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172"/>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w:t>
      </w:r>
      <w:r>
        <w:rPr>
          <w:rFonts w:hint="eastAsia"/>
          <w:b/>
          <w:color w:val="auto"/>
          <w:highlight w:val="none"/>
        </w:rPr>
        <w:t>为投标文件的组成部分，</w:t>
      </w:r>
      <w:r>
        <w:rPr>
          <w:b/>
          <w:color w:val="auto"/>
          <w:highlight w:val="none"/>
        </w:rPr>
        <w:t>须附在正、副本的投标文件中，并另封装一份于开标小信封中</w:t>
      </w:r>
      <w:r>
        <w:rPr>
          <w:rFonts w:hint="eastAsia"/>
          <w:b/>
          <w:color w:val="auto"/>
          <w:highlight w:val="none"/>
        </w:rPr>
        <w:t>。</w:t>
      </w:r>
    </w:p>
    <w:p>
      <w:pPr>
        <w:numPr>
          <w:ilvl w:val="1"/>
          <w:numId w:val="172"/>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pPr>
        <w:numPr>
          <w:ilvl w:val="1"/>
          <w:numId w:val="172"/>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投标报价要求具体见第五章“</w:t>
      </w:r>
      <w:r>
        <w:rPr>
          <w:rFonts w:hint="eastAsia" w:ascii="宋体" w:hAnsi="宋体"/>
          <w:b/>
          <w:bCs/>
          <w:color w:val="auto"/>
          <w:szCs w:val="21"/>
          <w:highlight w:val="none"/>
        </w:rPr>
        <w:t>投标报价</w:t>
      </w:r>
      <w:r>
        <w:rPr>
          <w:rFonts w:hint="eastAsia"/>
          <w:b/>
          <w:color w:val="auto"/>
          <w:highlight w:val="none"/>
        </w:rPr>
        <w:t>”要求及用户需求书的要求。</w:t>
      </w:r>
    </w:p>
    <w:p>
      <w:pPr>
        <w:numPr>
          <w:ilvl w:val="1"/>
          <w:numId w:val="172"/>
        </w:numPr>
        <w:tabs>
          <w:tab w:val="left" w:pos="360"/>
          <w:tab w:val="left" w:pos="840"/>
          <w:tab w:val="clear" w:pos="1620"/>
        </w:tabs>
        <w:snapToGrid w:val="0"/>
        <w:spacing w:line="360" w:lineRule="auto"/>
        <w:ind w:left="360"/>
        <w:rPr>
          <w:rFonts w:hint="eastAsia"/>
          <w:b/>
          <w:bCs/>
          <w:color w:val="auto"/>
          <w:highlight w:val="none"/>
        </w:rPr>
      </w:pPr>
      <w:r>
        <w:rPr>
          <w:rFonts w:hint="eastAsia"/>
          <w:b/>
          <w:bCs/>
          <w:color w:val="auto"/>
          <w:highlight w:val="none"/>
        </w:rPr>
        <w:t>本项目不接受有选择性的投标报价</w:t>
      </w:r>
      <w:r>
        <w:rPr>
          <w:rFonts w:hint="eastAsia" w:ascii="宋体" w:hAnsi="宋体"/>
          <w:b/>
          <w:color w:val="auto"/>
          <w:highlight w:val="none"/>
        </w:rPr>
        <w:t>。</w:t>
      </w:r>
    </w:p>
    <w:p>
      <w:pPr>
        <w:numPr>
          <w:ilvl w:val="1"/>
          <w:numId w:val="172"/>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bCs/>
          <w:color w:val="auto"/>
          <w:spacing w:val="4"/>
          <w:highlight w:val="none"/>
        </w:rPr>
        <w:t>中文大写金额用汉字，如壹、贰、叁、肆、伍、陆、柒、捌、玖、拾、佰、仟、万、亿、元、角、分、零、整（正）等。</w:t>
      </w:r>
    </w:p>
    <w:p>
      <w:pPr>
        <w:numPr>
          <w:ilvl w:val="1"/>
          <w:numId w:val="172"/>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lang w:val="en-US" w:eastAsia="zh-CN"/>
        </w:rPr>
        <w:t>投标总报价=</w:t>
      </w:r>
      <w:r>
        <w:rPr>
          <w:rFonts w:hint="eastAsia" w:ascii="宋体" w:hAnsi="宋体"/>
          <w:b/>
          <w:color w:val="auto"/>
          <w:highlight w:val="none"/>
          <w:lang w:eastAsia="zh-CN"/>
        </w:rPr>
        <w:t>岩溶勘察部分预留金（或称暂列金额）</w:t>
      </w:r>
      <w:r>
        <w:rPr>
          <w:rFonts w:hint="eastAsia" w:ascii="宋体" w:hAnsi="宋体"/>
          <w:b/>
          <w:color w:val="auto"/>
          <w:highlight w:val="none"/>
          <w:lang w:val="en-US" w:eastAsia="zh-CN"/>
        </w:rPr>
        <w:t>+机场航站区岩土工程初步勘察工作部分投标报价【其中机场航站区岩土工程初步勘察工作部分投标报价=钻孔综合单价报价（元/延米）×17850米】</w:t>
      </w:r>
      <w:r>
        <w:rPr>
          <w:rFonts w:hint="eastAsia" w:ascii="宋体" w:hAnsi="宋体"/>
          <w:b/>
          <w:color w:val="auto"/>
          <w:highlight w:val="none"/>
        </w:rPr>
        <w:t>。</w:t>
      </w:r>
    </w:p>
    <w:p>
      <w:pPr>
        <w:numPr>
          <w:ilvl w:val="1"/>
          <w:numId w:val="172"/>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rPr>
        <w:t>若报价有小数点后的数值的，保留小数点后两位小数。</w:t>
      </w:r>
    </w:p>
    <w:p>
      <w:pPr>
        <w:spacing w:line="440" w:lineRule="exact"/>
        <w:rPr>
          <w:rFonts w:hint="eastAsia" w:ascii="黑体" w:eastAsia="黑体"/>
          <w:bCs/>
          <w:color w:val="auto"/>
          <w:sz w:val="28"/>
          <w:highlight w:val="none"/>
        </w:rPr>
      </w:pPr>
    </w:p>
    <w:p>
      <w:pPr>
        <w:spacing w:line="440" w:lineRule="exact"/>
        <w:rPr>
          <w:rFonts w:hint="eastAsia" w:ascii="黑体" w:eastAsia="黑体"/>
          <w:bCs/>
          <w:color w:val="auto"/>
          <w:sz w:val="28"/>
          <w:highlight w:val="none"/>
        </w:rPr>
      </w:pPr>
    </w:p>
    <w:p>
      <w:pPr>
        <w:spacing w:line="440" w:lineRule="exact"/>
        <w:rPr>
          <w:rFonts w:hint="eastAsia" w:ascii="黑体" w:eastAsia="黑体"/>
          <w:bCs/>
          <w:color w:val="auto"/>
          <w:sz w:val="28"/>
          <w:highlight w:val="none"/>
        </w:rPr>
      </w:pPr>
    </w:p>
    <w:p>
      <w:pPr>
        <w:spacing w:line="440" w:lineRule="exact"/>
        <w:rPr>
          <w:rFonts w:hint="eastAsia" w:ascii="黑体" w:eastAsia="黑体"/>
          <w:bCs/>
          <w:color w:val="auto"/>
          <w:sz w:val="28"/>
          <w:highlight w:val="none"/>
        </w:rPr>
      </w:pPr>
    </w:p>
    <w:p>
      <w:pPr>
        <w:pStyle w:val="4"/>
        <w:numPr>
          <w:ilvl w:val="0"/>
          <w:numId w:val="0"/>
        </w:numPr>
        <w:adjustRightInd w:val="0"/>
        <w:snapToGrid w:val="0"/>
        <w:spacing w:before="156" w:beforeLines="50" w:after="156" w:afterLines="50" w:line="360" w:lineRule="auto"/>
        <w:ind w:leftChars="0"/>
        <w:jc w:val="center"/>
        <w:rPr>
          <w:rFonts w:hint="eastAsia"/>
          <w:b w:val="0"/>
          <w:color w:val="auto"/>
          <w:highlight w:val="none"/>
        </w:rPr>
      </w:pPr>
      <w:r>
        <w:rPr>
          <w:rFonts w:hint="eastAsia" w:ascii="黑体" w:eastAsia="黑体"/>
          <w:bCs w:val="0"/>
          <w:color w:val="auto"/>
          <w:sz w:val="28"/>
          <w:highlight w:val="none"/>
        </w:rPr>
        <w:br w:type="page"/>
      </w:r>
      <w:bookmarkStart w:id="530" w:name="_Toc229227176"/>
      <w:r>
        <w:rPr>
          <w:rFonts w:hint="eastAsia"/>
          <w:b w:val="0"/>
          <w:color w:val="auto"/>
          <w:highlight w:val="none"/>
        </w:rPr>
        <w:t>开标一览表</w:t>
      </w:r>
      <w:r>
        <w:rPr>
          <w:rFonts w:hint="eastAsia"/>
          <w:b w:val="0"/>
          <w:color w:val="auto"/>
          <w:highlight w:val="none"/>
          <w:lang w:eastAsia="zh-CN"/>
        </w:rPr>
        <w:t>（</w:t>
      </w:r>
      <w:r>
        <w:rPr>
          <w:rFonts w:hint="eastAsia"/>
          <w:b w:val="0"/>
          <w:color w:val="auto"/>
          <w:highlight w:val="none"/>
        </w:rPr>
        <w:t>报价表</w:t>
      </w:r>
      <w:r>
        <w:rPr>
          <w:rFonts w:hint="eastAsia"/>
          <w:b w:val="0"/>
          <w:color w:val="auto"/>
          <w:highlight w:val="none"/>
          <w:lang w:eastAsia="zh-CN"/>
        </w:rPr>
        <w:t>）（包组三）</w:t>
      </w:r>
    </w:p>
    <w:p>
      <w:pPr>
        <w:tabs>
          <w:tab w:val="left" w:pos="7740"/>
        </w:tabs>
        <w:adjustRightInd w:val="0"/>
        <w:snapToGrid w:val="0"/>
        <w:rPr>
          <w:rFonts w:hint="eastAsia" w:ascii="宋体" w:hAnsi="宋体" w:eastAsia="宋体"/>
          <w:color w:val="auto"/>
          <w:highlight w:val="none"/>
          <w:lang w:eastAsia="zh-CN"/>
        </w:rPr>
      </w:pPr>
      <w:r>
        <w:rPr>
          <w:rFonts w:hint="eastAsia" w:ascii="宋体" w:hAnsi="宋体"/>
          <w:color w:val="auto"/>
          <w:highlight w:val="none"/>
        </w:rPr>
        <w:t>投标人名称：                                            项目编号：</w:t>
      </w:r>
      <w:r>
        <w:rPr>
          <w:rFonts w:hint="eastAsia" w:ascii="宋体" w:hAnsi="宋体"/>
          <w:color w:val="auto"/>
          <w:highlight w:val="none"/>
          <w:lang w:eastAsia="zh-CN"/>
        </w:rPr>
        <w:t>JG2022(SZ)XZ0013</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43"/>
        <w:gridCol w:w="526"/>
        <w:gridCol w:w="1763"/>
        <w:gridCol w:w="1298"/>
        <w:gridCol w:w="2911"/>
        <w:gridCol w:w="1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1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包组号</w:t>
            </w:r>
          </w:p>
        </w:tc>
        <w:tc>
          <w:tcPr>
            <w:tcW w:w="44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采购内容</w:t>
            </w:r>
          </w:p>
        </w:tc>
        <w:tc>
          <w:tcPr>
            <w:tcW w:w="2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数量</w:t>
            </w:r>
          </w:p>
        </w:tc>
        <w:tc>
          <w:tcPr>
            <w:tcW w:w="939"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岩溶勘察部分预留金（或称暂列金额）</w:t>
            </w:r>
          </w:p>
        </w:tc>
        <w:tc>
          <w:tcPr>
            <w:tcW w:w="2240" w:type="pct"/>
            <w:gridSpan w:val="2"/>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eastAsia="宋体"/>
                <w:b/>
                <w:bCs w:val="0"/>
                <w:color w:val="auto"/>
                <w:szCs w:val="21"/>
                <w:highlight w:val="none"/>
                <w:lang w:eastAsia="zh-CN"/>
              </w:rPr>
            </w:pPr>
            <w:r>
              <w:rPr>
                <w:rFonts w:hint="eastAsia" w:ascii="宋体"/>
                <w:b/>
                <w:bCs w:val="0"/>
                <w:color w:val="auto"/>
                <w:szCs w:val="21"/>
                <w:highlight w:val="none"/>
              </w:rPr>
              <w:t>投标</w:t>
            </w:r>
            <w:r>
              <w:rPr>
                <w:rFonts w:hint="eastAsia" w:ascii="宋体"/>
                <w:b/>
                <w:bCs w:val="0"/>
                <w:color w:val="auto"/>
                <w:szCs w:val="21"/>
                <w:highlight w:val="none"/>
                <w:lang w:eastAsia="zh-CN"/>
              </w:rPr>
              <w:t>单价</w:t>
            </w:r>
          </w:p>
        </w:tc>
        <w:tc>
          <w:tcPr>
            <w:tcW w:w="780" w:type="pct"/>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bCs w:val="0"/>
                <w:color w:val="auto"/>
                <w:szCs w:val="21"/>
                <w:highlight w:val="none"/>
              </w:rPr>
            </w:pPr>
            <w:r>
              <w:rPr>
                <w:rFonts w:hint="eastAsia"/>
                <w:b/>
                <w:bCs w:val="0"/>
                <w:color w:val="auto"/>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484" w:hRule="atLeast"/>
          <w:jc w:val="center"/>
        </w:trPr>
        <w:tc>
          <w:tcPr>
            <w:tcW w:w="310" w:type="pct"/>
            <w:vMerge w:val="restart"/>
            <w:tcBorders>
              <w:top w:val="double" w:color="auto" w:sz="4" w:space="0"/>
            </w:tcBorders>
            <w:noWrap w:val="0"/>
            <w:vAlign w:val="center"/>
          </w:tcPr>
          <w:p>
            <w:pPr>
              <w:spacing w:line="360" w:lineRule="auto"/>
              <w:jc w:val="center"/>
              <w:rPr>
                <w:rFonts w:hint="eastAsia" w:ascii="宋体" w:eastAsia="宋体"/>
                <w:bCs/>
                <w:color w:val="auto"/>
                <w:szCs w:val="21"/>
                <w:highlight w:val="none"/>
                <w:lang w:eastAsia="zh-CN"/>
              </w:rPr>
            </w:pPr>
            <w:r>
              <w:rPr>
                <w:rFonts w:hint="eastAsia" w:ascii="宋体"/>
                <w:bCs/>
                <w:color w:val="auto"/>
                <w:szCs w:val="21"/>
                <w:highlight w:val="none"/>
              </w:rPr>
              <w:t>包组</w:t>
            </w:r>
            <w:r>
              <w:rPr>
                <w:rFonts w:hint="eastAsia" w:ascii="宋体"/>
                <w:bCs/>
                <w:color w:val="auto"/>
                <w:szCs w:val="21"/>
                <w:highlight w:val="none"/>
                <w:lang w:eastAsia="zh-CN"/>
              </w:rPr>
              <w:t>三</w:t>
            </w:r>
          </w:p>
        </w:tc>
        <w:tc>
          <w:tcPr>
            <w:tcW w:w="449"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hAnsi="宋体" w:eastAsia="宋体" w:cs="宋体"/>
                <w:bCs/>
                <w:color w:val="auto"/>
                <w:szCs w:val="21"/>
                <w:highlight w:val="none"/>
              </w:rPr>
              <w:t>工作区勘察服务</w:t>
            </w:r>
          </w:p>
        </w:tc>
        <w:tc>
          <w:tcPr>
            <w:tcW w:w="280" w:type="pct"/>
            <w:vMerge w:val="restart"/>
            <w:tcBorders>
              <w:top w:val="doub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rPr>
              <w:t>1项</w:t>
            </w:r>
          </w:p>
        </w:tc>
        <w:tc>
          <w:tcPr>
            <w:tcW w:w="939" w:type="pct"/>
            <w:vMerge w:val="restart"/>
            <w:tcBorders>
              <w:top w:val="double" w:color="auto" w:sz="4" w:space="0"/>
            </w:tcBorders>
            <w:noWrap w:val="0"/>
            <w:vAlign w:val="center"/>
          </w:tcPr>
          <w:p>
            <w:pPr>
              <w:spacing w:line="360" w:lineRule="auto"/>
              <w:rPr>
                <w:rFonts w:hint="eastAsia" w:ascii="宋体" w:hAnsi="宋体" w:eastAsia="宋体" w:cs="宋体"/>
                <w:bCs/>
                <w:szCs w:val="21"/>
                <w:highlight w:val="none"/>
                <w:u w:val="single"/>
              </w:rPr>
            </w:pPr>
            <w:r>
              <w:rPr>
                <w:rFonts w:hint="eastAsia" w:ascii="宋体" w:hAnsi="宋体" w:eastAsia="宋体" w:cs="宋体"/>
                <w:bCs/>
                <w:szCs w:val="21"/>
                <w:highlight w:val="none"/>
              </w:rPr>
              <w:t>小写：</w:t>
            </w:r>
            <w:r>
              <w:rPr>
                <w:rFonts w:hint="eastAsia" w:ascii="宋体" w:hAnsi="宋体" w:eastAsia="宋体" w:cs="宋体"/>
                <w:bCs/>
                <w:szCs w:val="21"/>
                <w:highlight w:val="none"/>
                <w:u w:val="single"/>
                <w:lang w:val="en-US" w:eastAsia="zh-CN"/>
              </w:rPr>
              <w:t>¥700,000.00元</w:t>
            </w:r>
          </w:p>
          <w:p>
            <w:pPr>
              <w:adjustRightInd w:val="0"/>
              <w:snapToGrid w:val="0"/>
              <w:rPr>
                <w:rFonts w:hint="eastAsia" w:ascii="宋体" w:hAnsi="宋体" w:eastAsia="宋体" w:cs="宋体"/>
                <w:bCs/>
                <w:color w:val="auto"/>
                <w:szCs w:val="21"/>
                <w:highlight w:val="none"/>
              </w:rPr>
            </w:pPr>
            <w:r>
              <w:rPr>
                <w:rFonts w:hint="eastAsia" w:ascii="宋体" w:hAnsi="宋体" w:eastAsia="宋体" w:cs="宋体"/>
                <w:bCs/>
                <w:szCs w:val="21"/>
                <w:highlight w:val="none"/>
              </w:rPr>
              <w:t>大写：</w:t>
            </w:r>
            <w:r>
              <w:rPr>
                <w:rFonts w:hint="eastAsia" w:ascii="宋体" w:hAnsi="宋体" w:eastAsia="宋体" w:cs="宋体"/>
                <w:bCs/>
                <w:szCs w:val="21"/>
                <w:highlight w:val="none"/>
                <w:u w:val="single"/>
                <w:lang w:eastAsia="zh-CN"/>
              </w:rPr>
              <w:t>人民币柒拾万元整</w:t>
            </w:r>
          </w:p>
        </w:tc>
        <w:tc>
          <w:tcPr>
            <w:tcW w:w="690" w:type="pct"/>
            <w:tcBorders>
              <w:top w:val="double" w:color="auto" w:sz="4" w:space="0"/>
            </w:tcBorders>
            <w:noWrap w:val="0"/>
            <w:vAlign w:val="center"/>
          </w:tcPr>
          <w:p>
            <w:pPr>
              <w:adjustRightInd w:val="0"/>
              <w:snapToGrid w:val="0"/>
              <w:jc w:val="center"/>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lang w:val="en-US" w:eastAsia="zh-CN"/>
              </w:rPr>
              <w:t>机场工作区岩土工程初步勘察工作部分</w:t>
            </w:r>
          </w:p>
        </w:tc>
        <w:tc>
          <w:tcPr>
            <w:tcW w:w="1550" w:type="pct"/>
            <w:tcBorders>
              <w:top w:val="double" w:color="auto" w:sz="4" w:space="0"/>
              <w:bottom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c>
          <w:tcPr>
            <w:tcW w:w="1465" w:type="dxa"/>
            <w:vMerge w:val="restart"/>
            <w:tcBorders>
              <w:top w:val="double" w:color="auto" w:sz="4" w:space="0"/>
            </w:tcBorders>
            <w:noWrap w:val="0"/>
            <w:vAlign w:val="center"/>
          </w:tcPr>
          <w:p>
            <w:pPr>
              <w:pStyle w:val="48"/>
              <w:spacing w:line="440" w:lineRule="exact"/>
              <w:rPr>
                <w:rFonts w:hint="eastAsia" w:ascii="宋体"/>
                <w:bCs/>
                <w:color w:val="auto"/>
                <w:szCs w:val="21"/>
                <w:highlight w:val="none"/>
              </w:rPr>
            </w:pPr>
            <w:r>
              <w:rPr>
                <w:rFonts w:hint="eastAsia" w:ascii="宋体" w:hAnsi="宋体" w:eastAsia="宋体" w:cs="宋体"/>
                <w:snapToGrid/>
                <w:color w:val="auto"/>
                <w:spacing w:val="0"/>
                <w:kern w:val="2"/>
                <w:sz w:val="21"/>
                <w:szCs w:val="21"/>
                <w:highlight w:val="none"/>
                <w:lang w:val="en-US" w:eastAsia="zh-CN"/>
              </w:rPr>
              <w:t>自招标人发出开工令之日起60日历天内提交最终勘察成果报告，包括：本包组勘察服务报告（含试验测试成果资料）、工程物探报告及其他专题勘察报告资料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310"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449" w:type="pct"/>
            <w:vMerge w:val="continue"/>
            <w:tcBorders>
              <w:bottom w:val="single" w:color="auto" w:sz="4" w:space="0"/>
            </w:tcBorders>
            <w:noWrap w:val="0"/>
            <w:vAlign w:val="center"/>
          </w:tcPr>
          <w:p>
            <w:pPr>
              <w:spacing w:line="360" w:lineRule="auto"/>
              <w:jc w:val="center"/>
              <w:rPr>
                <w:rFonts w:hint="eastAsia" w:ascii="宋体" w:hAnsi="宋体" w:eastAsia="宋体" w:cs="宋体"/>
                <w:bCs/>
                <w:color w:val="auto"/>
                <w:szCs w:val="21"/>
                <w:highlight w:val="none"/>
              </w:rPr>
            </w:pPr>
          </w:p>
        </w:tc>
        <w:tc>
          <w:tcPr>
            <w:tcW w:w="280" w:type="pct"/>
            <w:vMerge w:val="continue"/>
            <w:tcBorders>
              <w:bottom w:val="single" w:color="auto" w:sz="4" w:space="0"/>
            </w:tcBorders>
            <w:noWrap w:val="0"/>
            <w:vAlign w:val="center"/>
          </w:tcPr>
          <w:p>
            <w:pPr>
              <w:spacing w:line="360" w:lineRule="auto"/>
              <w:jc w:val="center"/>
              <w:rPr>
                <w:rFonts w:hint="eastAsia" w:ascii="宋体"/>
                <w:bCs/>
                <w:color w:val="auto"/>
                <w:szCs w:val="21"/>
                <w:highlight w:val="none"/>
              </w:rPr>
            </w:pPr>
          </w:p>
        </w:tc>
        <w:tc>
          <w:tcPr>
            <w:tcW w:w="939" w:type="pct"/>
            <w:vMerge w:val="continue"/>
            <w:tcBorders>
              <w:bottom w:val="single" w:color="auto" w:sz="4" w:space="0"/>
            </w:tcBorders>
            <w:noWrap w:val="0"/>
            <w:vAlign w:val="center"/>
          </w:tcPr>
          <w:p>
            <w:pPr>
              <w:adjustRightInd w:val="0"/>
              <w:snapToGrid w:val="0"/>
              <w:rPr>
                <w:rFonts w:hint="eastAsia" w:ascii="宋体" w:hAnsi="宋体" w:eastAsia="宋体" w:cs="宋体"/>
                <w:bCs/>
                <w:szCs w:val="21"/>
                <w:highlight w:val="none"/>
              </w:rPr>
            </w:pPr>
          </w:p>
        </w:tc>
        <w:tc>
          <w:tcPr>
            <w:tcW w:w="690" w:type="pct"/>
            <w:tcBorders>
              <w:top w:val="double" w:color="auto" w:sz="4" w:space="0"/>
              <w:bottom w:val="single" w:color="auto" w:sz="4" w:space="0"/>
            </w:tcBorders>
            <w:noWrap w:val="0"/>
            <w:vAlign w:val="center"/>
          </w:tcPr>
          <w:p>
            <w:pPr>
              <w:adjustRightInd w:val="0"/>
              <w:snapToGrid w:val="0"/>
              <w:jc w:val="center"/>
              <w:rPr>
                <w:rFonts w:hint="eastAsia" w:ascii="宋体"/>
                <w:bCs/>
                <w:color w:val="auto"/>
                <w:szCs w:val="21"/>
                <w:highlight w:val="none"/>
                <w:lang w:eastAsia="zh-CN"/>
              </w:rPr>
            </w:pPr>
            <w:r>
              <w:rPr>
                <w:rFonts w:hint="eastAsia" w:ascii="宋体"/>
                <w:bCs/>
                <w:color w:val="auto"/>
                <w:szCs w:val="21"/>
                <w:highlight w:val="none"/>
                <w:lang w:val="en-US" w:eastAsia="zh-CN"/>
              </w:rPr>
              <w:t>钻孔综合单价（钻孔总进尺暂按13600米计算）</w:t>
            </w:r>
          </w:p>
        </w:tc>
        <w:tc>
          <w:tcPr>
            <w:tcW w:w="1550" w:type="pct"/>
            <w:tcBorders>
              <w:top w:val="double" w:color="auto" w:sz="4" w:space="0"/>
              <w:bottom w:val="single" w:color="auto" w:sz="4" w:space="0"/>
            </w:tcBorders>
            <w:noWrap w:val="0"/>
            <w:vAlign w:val="center"/>
          </w:tcPr>
          <w:p>
            <w:pPr>
              <w:spacing w:line="360" w:lineRule="auto"/>
              <w:rPr>
                <w:rFonts w:hint="default" w:ascii="宋体"/>
                <w:bCs/>
                <w:szCs w:val="21"/>
                <w:highlight w:val="none"/>
                <w:u w:val="single"/>
                <w:lang w:val="en-US"/>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元/延米</w:t>
            </w:r>
          </w:p>
          <w:p>
            <w:pPr>
              <w:adjustRightInd w:val="0"/>
              <w:snapToGrid w:val="0"/>
              <w:rPr>
                <w:rFonts w:hint="eastAsia" w:ascii="宋体"/>
                <w:bCs/>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szCs w:val="21"/>
                <w:highlight w:val="none"/>
                <w:u w:val="single"/>
                <w:lang w:val="en-US" w:eastAsia="zh-CN"/>
              </w:rPr>
              <w:t xml:space="preserve">   </w:t>
            </w:r>
            <w:r>
              <w:rPr>
                <w:rFonts w:hint="eastAsia" w:ascii="宋体"/>
                <w:bCs/>
                <w:szCs w:val="21"/>
                <w:highlight w:val="none"/>
                <w:u w:val="single"/>
              </w:rPr>
              <w:t xml:space="preserve"> </w:t>
            </w:r>
            <w:r>
              <w:rPr>
                <w:rFonts w:hint="eastAsia" w:ascii="宋体"/>
                <w:bCs/>
                <w:szCs w:val="21"/>
                <w:highlight w:val="none"/>
                <w:u w:val="single"/>
                <w:lang w:eastAsia="zh-CN"/>
              </w:rPr>
              <w:t>每延米</w:t>
            </w:r>
          </w:p>
        </w:tc>
        <w:tc>
          <w:tcPr>
            <w:tcW w:w="780" w:type="pct"/>
            <w:vMerge w:val="continue"/>
            <w:noWrap w:val="0"/>
            <w:vAlign w:val="center"/>
          </w:tcPr>
          <w:p>
            <w:pPr>
              <w:pStyle w:val="48"/>
              <w:spacing w:line="440" w:lineRule="exact"/>
              <w:jc w:val="left"/>
              <w:rPr>
                <w:rFonts w:hint="eastAsia"/>
                <w:snapToGrid/>
                <w:color w:val="auto"/>
                <w:spacing w:val="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095" w:hRule="atLeast"/>
          <w:jc w:val="center"/>
        </w:trPr>
        <w:tc>
          <w:tcPr>
            <w:tcW w:w="2669" w:type="pct"/>
            <w:gridSpan w:val="5"/>
            <w:tcBorders>
              <w:top w:val="single" w:color="auto" w:sz="4" w:space="0"/>
            </w:tcBorders>
            <w:noWrap w:val="0"/>
            <w:vAlign w:val="center"/>
          </w:tcPr>
          <w:p>
            <w:pPr>
              <w:adjustRightInd w:val="0"/>
              <w:snapToGrid w:val="0"/>
              <w:jc w:val="center"/>
              <w:rPr>
                <w:rFonts w:hint="eastAsia" w:ascii="宋体" w:eastAsia="宋体"/>
                <w:bCs/>
                <w:color w:val="auto"/>
                <w:szCs w:val="21"/>
                <w:highlight w:val="none"/>
                <w:lang w:eastAsia="zh-CN"/>
              </w:rPr>
            </w:pPr>
            <w:r>
              <w:rPr>
                <w:rFonts w:hint="eastAsia" w:ascii="宋体"/>
                <w:b/>
                <w:bCs w:val="0"/>
                <w:color w:val="auto"/>
                <w:szCs w:val="21"/>
                <w:highlight w:val="none"/>
                <w:lang w:eastAsia="zh-CN"/>
              </w:rPr>
              <w:t>投标总报价</w:t>
            </w:r>
          </w:p>
        </w:tc>
        <w:tc>
          <w:tcPr>
            <w:tcW w:w="2330" w:type="pct"/>
            <w:gridSpan w:val="2"/>
            <w:tcBorders>
              <w:top w:val="single" w:color="auto" w:sz="4" w:space="0"/>
            </w:tcBorders>
            <w:noWrap w:val="0"/>
            <w:vAlign w:val="center"/>
          </w:tcPr>
          <w:p>
            <w:pPr>
              <w:spacing w:line="360" w:lineRule="auto"/>
              <w:rPr>
                <w:rFonts w:ascii="宋体"/>
                <w:bCs/>
                <w:szCs w:val="21"/>
                <w:highlight w:val="none"/>
                <w:u w:val="single"/>
              </w:rPr>
            </w:pPr>
            <w:r>
              <w:rPr>
                <w:rFonts w:hint="eastAsia" w:ascii="宋体"/>
                <w:bCs/>
                <w:szCs w:val="21"/>
                <w:highlight w:val="none"/>
              </w:rPr>
              <w:t>小写：</w:t>
            </w:r>
            <w:r>
              <w:rPr>
                <w:rFonts w:hint="eastAsia" w:ascii="宋体" w:hAnsi="宋体" w:eastAsia="宋体" w:cs="宋体"/>
                <w:bCs/>
                <w:szCs w:val="21"/>
                <w:highlight w:val="none"/>
                <w:u w:val="single"/>
                <w:lang w:val="en-US" w:eastAsia="zh-CN"/>
              </w:rPr>
              <w:t>¥                          元</w:t>
            </w:r>
          </w:p>
          <w:p>
            <w:pPr>
              <w:adjustRightInd w:val="0"/>
              <w:snapToGrid w:val="0"/>
              <w:rPr>
                <w:rFonts w:hint="eastAsia" w:ascii="宋体" w:hAnsi="宋体"/>
                <w:color w:val="auto"/>
                <w:szCs w:val="21"/>
                <w:highlight w:val="none"/>
              </w:rPr>
            </w:pPr>
            <w:r>
              <w:rPr>
                <w:rFonts w:hint="eastAsia" w:ascii="宋体"/>
                <w:bCs/>
                <w:szCs w:val="21"/>
                <w:highlight w:val="none"/>
              </w:rPr>
              <w:t>大写：</w:t>
            </w:r>
            <w:r>
              <w:rPr>
                <w:rFonts w:hint="eastAsia" w:ascii="宋体" w:hAnsi="宋体" w:eastAsia="宋体" w:cs="宋体"/>
                <w:bCs/>
                <w:szCs w:val="21"/>
                <w:highlight w:val="none"/>
                <w:u w:val="single"/>
                <w:lang w:eastAsia="zh-CN"/>
              </w:rPr>
              <w:t>人民币</w:t>
            </w:r>
            <w:r>
              <w:rPr>
                <w:rFonts w:hint="eastAsia" w:ascii="宋体"/>
                <w:bCs/>
                <w:szCs w:val="21"/>
                <w:highlight w:val="none"/>
                <w:u w:val="single"/>
              </w:rPr>
              <w:t xml:space="preserve">                      </w:t>
            </w:r>
            <w:r>
              <w:rPr>
                <w:rFonts w:hint="eastAsia" w:ascii="宋体"/>
                <w:bCs/>
                <w:color w:val="auto"/>
                <w:szCs w:val="21"/>
                <w:highlight w:val="none"/>
                <w:u w:val="single"/>
              </w:rPr>
              <w:t xml:space="preserve"> </w:t>
            </w:r>
          </w:p>
        </w:tc>
      </w:tr>
    </w:tbl>
    <w:p>
      <w:pPr>
        <w:spacing w:line="500" w:lineRule="exact"/>
        <w:rPr>
          <w:rFonts w:hint="eastAsia" w:ascii="宋体" w:hAnsi="宋体"/>
          <w:color w:val="auto"/>
          <w:highlight w:val="none"/>
          <w:u w:val="single"/>
        </w:rPr>
      </w:pPr>
      <w:r>
        <w:rPr>
          <w:rFonts w:hint="eastAsia" w:ascii="宋体" w:hAnsi="宋体"/>
          <w:color w:val="auto"/>
          <w:highlight w:val="none"/>
        </w:rPr>
        <w:t>投标人名称(加盖公章)</w:t>
      </w:r>
      <w:r>
        <w:rPr>
          <w:rFonts w:hint="eastAsia"/>
          <w:color w:val="auto"/>
          <w:spacing w:val="4"/>
          <w:highlight w:val="none"/>
        </w:rPr>
        <w:t>：</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173"/>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w:t>
      </w:r>
      <w:r>
        <w:rPr>
          <w:rFonts w:hint="eastAsia"/>
          <w:b/>
          <w:color w:val="auto"/>
          <w:highlight w:val="none"/>
        </w:rPr>
        <w:t>为投标文件的组成部分，</w:t>
      </w:r>
      <w:r>
        <w:rPr>
          <w:b/>
          <w:color w:val="auto"/>
          <w:highlight w:val="none"/>
        </w:rPr>
        <w:t>须附在正、副本的投标文件中，并另封装一份于开标小信封中</w:t>
      </w:r>
      <w:r>
        <w:rPr>
          <w:rFonts w:hint="eastAsia"/>
          <w:b/>
          <w:color w:val="auto"/>
          <w:highlight w:val="none"/>
        </w:rPr>
        <w:t>。</w:t>
      </w:r>
    </w:p>
    <w:p>
      <w:pPr>
        <w:numPr>
          <w:ilvl w:val="1"/>
          <w:numId w:val="173"/>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pPr>
        <w:numPr>
          <w:ilvl w:val="1"/>
          <w:numId w:val="173"/>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投标报价要求具体见第五章“</w:t>
      </w:r>
      <w:r>
        <w:rPr>
          <w:rFonts w:hint="eastAsia" w:ascii="宋体" w:hAnsi="宋体"/>
          <w:b/>
          <w:bCs/>
          <w:color w:val="auto"/>
          <w:szCs w:val="21"/>
          <w:highlight w:val="none"/>
        </w:rPr>
        <w:t>投标报价</w:t>
      </w:r>
      <w:r>
        <w:rPr>
          <w:rFonts w:hint="eastAsia"/>
          <w:b/>
          <w:color w:val="auto"/>
          <w:highlight w:val="none"/>
        </w:rPr>
        <w:t>”要求及用户需求书的要求。</w:t>
      </w:r>
    </w:p>
    <w:p>
      <w:pPr>
        <w:numPr>
          <w:ilvl w:val="1"/>
          <w:numId w:val="173"/>
        </w:numPr>
        <w:tabs>
          <w:tab w:val="left" w:pos="360"/>
          <w:tab w:val="left" w:pos="840"/>
          <w:tab w:val="clear" w:pos="1620"/>
        </w:tabs>
        <w:snapToGrid w:val="0"/>
        <w:spacing w:line="360" w:lineRule="auto"/>
        <w:ind w:left="360"/>
        <w:rPr>
          <w:rFonts w:hint="eastAsia"/>
          <w:b/>
          <w:bCs/>
          <w:color w:val="auto"/>
          <w:highlight w:val="none"/>
        </w:rPr>
      </w:pPr>
      <w:r>
        <w:rPr>
          <w:rFonts w:hint="eastAsia"/>
          <w:b/>
          <w:bCs/>
          <w:color w:val="auto"/>
          <w:highlight w:val="none"/>
        </w:rPr>
        <w:t>本项目不接受有选择性的投标报价</w:t>
      </w:r>
      <w:r>
        <w:rPr>
          <w:rFonts w:hint="eastAsia" w:ascii="宋体" w:hAnsi="宋体"/>
          <w:b/>
          <w:color w:val="auto"/>
          <w:highlight w:val="none"/>
        </w:rPr>
        <w:t>。</w:t>
      </w:r>
    </w:p>
    <w:p>
      <w:pPr>
        <w:numPr>
          <w:ilvl w:val="1"/>
          <w:numId w:val="173"/>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bCs/>
          <w:color w:val="auto"/>
          <w:spacing w:val="4"/>
          <w:highlight w:val="none"/>
        </w:rPr>
        <w:t>中文大写金额用汉字，如壹、贰、叁、肆、伍、陆、柒、捌、玖、拾、佰、仟、万、亿、元、角、分、零、整（正）等。</w:t>
      </w:r>
    </w:p>
    <w:p>
      <w:pPr>
        <w:numPr>
          <w:ilvl w:val="1"/>
          <w:numId w:val="173"/>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lang w:val="en-US" w:eastAsia="zh-CN"/>
        </w:rPr>
        <w:t>投标总报价=</w:t>
      </w:r>
      <w:r>
        <w:rPr>
          <w:rFonts w:hint="eastAsia" w:ascii="宋体" w:hAnsi="宋体"/>
          <w:b/>
          <w:color w:val="auto"/>
          <w:highlight w:val="none"/>
          <w:lang w:eastAsia="zh-CN"/>
        </w:rPr>
        <w:t>岩溶勘察部分预留金（或称暂列金额）</w:t>
      </w:r>
      <w:r>
        <w:rPr>
          <w:rFonts w:hint="eastAsia" w:ascii="宋体" w:hAnsi="宋体"/>
          <w:b/>
          <w:color w:val="auto"/>
          <w:highlight w:val="none"/>
          <w:lang w:val="en-US" w:eastAsia="zh-CN"/>
        </w:rPr>
        <w:t>+机场工作区岩土工程初步勘察工作部分投标报价【其中机场工作区岩土工程初步勘察工作部分投标报价=钻孔综合单价报价（元/延米）×13600米】</w:t>
      </w:r>
      <w:r>
        <w:rPr>
          <w:rFonts w:hint="eastAsia" w:ascii="宋体" w:hAnsi="宋体"/>
          <w:b/>
          <w:color w:val="auto"/>
          <w:highlight w:val="none"/>
        </w:rPr>
        <w:t>。</w:t>
      </w:r>
    </w:p>
    <w:p>
      <w:pPr>
        <w:numPr>
          <w:ilvl w:val="1"/>
          <w:numId w:val="173"/>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rPr>
        <w:t>若报价有小数点后的数值的，保留小数点后两位小数。</w:t>
      </w:r>
    </w:p>
    <w:p>
      <w:pPr>
        <w:spacing w:line="520" w:lineRule="exact"/>
        <w:rPr>
          <w:rFonts w:hint="eastAsia"/>
          <w:color w:val="auto"/>
          <w:spacing w:val="4"/>
          <w:highlight w:val="none"/>
          <w:u w:val="single"/>
        </w:rPr>
        <w:sectPr>
          <w:pgSz w:w="11906" w:h="16838"/>
          <w:pgMar w:top="1440" w:right="1286" w:bottom="1440" w:left="1440" w:header="851" w:footer="992" w:gutter="0"/>
          <w:cols w:space="720" w:num="1"/>
          <w:docGrid w:type="lines" w:linePitch="312" w:charSpace="0"/>
        </w:sectPr>
      </w:pPr>
    </w:p>
    <w:p>
      <w:pPr>
        <w:numPr>
          <w:ilvl w:val="0"/>
          <w:numId w:val="165"/>
        </w:numPr>
        <w:spacing w:line="440" w:lineRule="exact"/>
        <w:rPr>
          <w:rFonts w:hint="eastAsia" w:ascii="黑体" w:eastAsia="黑体"/>
          <w:bCs/>
          <w:color w:val="auto"/>
          <w:sz w:val="28"/>
          <w:highlight w:val="none"/>
        </w:rPr>
      </w:pPr>
    </w:p>
    <w:p>
      <w:pPr>
        <w:pStyle w:val="4"/>
        <w:numPr>
          <w:ilvl w:val="1"/>
          <w:numId w:val="122"/>
        </w:numPr>
        <w:adjustRightInd w:val="0"/>
        <w:snapToGrid w:val="0"/>
        <w:spacing w:before="0" w:after="0" w:line="360" w:lineRule="auto"/>
        <w:jc w:val="center"/>
        <w:rPr>
          <w:rFonts w:hint="eastAsia"/>
          <w:b w:val="0"/>
          <w:color w:val="auto"/>
          <w:highlight w:val="none"/>
        </w:rPr>
      </w:pPr>
      <w:r>
        <w:rPr>
          <w:rFonts w:hint="eastAsia"/>
          <w:b w:val="0"/>
          <w:color w:val="auto"/>
          <w:highlight w:val="none"/>
        </w:rPr>
        <w:t>投标技术服务方案</w:t>
      </w:r>
    </w:p>
    <w:p>
      <w:pPr>
        <w:spacing w:after="156" w:afterLines="50"/>
        <w:jc w:val="center"/>
        <w:outlineLvl w:val="2"/>
        <w:rPr>
          <w:rFonts w:hint="eastAsia" w:ascii="仿宋_GB2312" w:eastAsia="宋体"/>
          <w:b/>
          <w:color w:val="auto"/>
          <w:sz w:val="28"/>
          <w:szCs w:val="28"/>
          <w:highlight w:val="none"/>
          <w:lang w:eastAsia="zh-CN"/>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主要内容应包括但不限于以下内容（格式自定）：</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勘察范围、勘察内容</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勘察依据、勘察工作目标</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勘察机构设置和岗位职责</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勘察说明和勘察方案</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勘察质量、进度、保密等保证措施</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勘察安全保证措施</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勘察工作重点、难点分析及合理化建议</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与地方单位及民航行业主管部门协调措施</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总体协调工作和后续服务安排及保证措施（适用于包组一）</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后续服务安排及保证措施（适用于包组二、三）</w:t>
      </w:r>
      <w:r>
        <w:rPr>
          <w:rFonts w:hint="eastAsia" w:ascii="宋体" w:hAnsi="宋体" w:eastAsia="宋体" w:cs="宋体"/>
          <w:color w:val="auto"/>
          <w:highlight w:val="none"/>
          <w:lang w:eastAsia="zh-CN"/>
        </w:rPr>
        <w:t>；</w:t>
      </w:r>
    </w:p>
    <w:p>
      <w:pPr>
        <w:numPr>
          <w:ilvl w:val="0"/>
          <w:numId w:val="174"/>
        </w:numPr>
        <w:tabs>
          <w:tab w:val="left" w:pos="420"/>
        </w:tabs>
        <w:spacing w:line="360" w:lineRule="auto"/>
        <w:rPr>
          <w:rFonts w:ascii="宋体" w:hAnsi="宋体"/>
          <w:color w:val="auto"/>
          <w:szCs w:val="21"/>
          <w:highlight w:val="none"/>
        </w:rPr>
      </w:pPr>
      <w:r>
        <w:rPr>
          <w:rFonts w:hint="eastAsia" w:ascii="宋体" w:hAnsi="宋体"/>
          <w:color w:val="auto"/>
          <w:szCs w:val="21"/>
          <w:highlight w:val="none"/>
        </w:rPr>
        <w:t>须招标人配合事项；</w:t>
      </w:r>
    </w:p>
    <w:p>
      <w:pPr>
        <w:numPr>
          <w:ilvl w:val="0"/>
          <w:numId w:val="174"/>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投标人认为对投标有利的其他资料。</w:t>
      </w:r>
    </w:p>
    <w:p>
      <w:pPr>
        <w:spacing w:line="360" w:lineRule="auto"/>
        <w:rPr>
          <w:rFonts w:hint="eastAsia" w:ascii="宋体" w:hAnsi="宋体"/>
          <w:color w:val="auto"/>
          <w:szCs w:val="21"/>
          <w:highlight w:val="none"/>
        </w:rPr>
      </w:pPr>
    </w:p>
    <w:p>
      <w:pPr>
        <w:spacing w:line="400" w:lineRule="exact"/>
        <w:rPr>
          <w:rFonts w:hint="eastAsia" w:ascii="宋体" w:hAnsi="宋体"/>
          <w:color w:val="auto"/>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20" w:lineRule="exact"/>
        <w:ind w:firstLine="436" w:firstLineChars="200"/>
        <w:rPr>
          <w:color w:val="auto"/>
          <w:spacing w:val="4"/>
          <w:highlight w:val="none"/>
        </w:rPr>
        <w:sectPr>
          <w:pgSz w:w="11906" w:h="16838"/>
          <w:pgMar w:top="1440" w:right="1286" w:bottom="1440" w:left="1440" w:header="851" w:footer="992" w:gutter="0"/>
          <w:cols w:space="720" w:num="1"/>
          <w:docGrid w:type="lines" w:linePitch="312" w:charSpace="0"/>
        </w:sectPr>
      </w:pPr>
    </w:p>
    <w:p>
      <w:pPr>
        <w:numPr>
          <w:ilvl w:val="0"/>
          <w:numId w:val="165"/>
        </w:numPr>
        <w:spacing w:line="440" w:lineRule="exact"/>
        <w:rPr>
          <w:rFonts w:hint="eastAsia" w:hAnsi="宋体"/>
          <w:bCs/>
          <w:color w:val="auto"/>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eastAsia="zh-CN"/>
        </w:rPr>
        <w:t>项</w:t>
      </w:r>
      <w:r>
        <w:rPr>
          <w:rFonts w:hint="eastAsia"/>
          <w:b w:val="0"/>
          <w:color w:val="auto"/>
          <w:highlight w:val="none"/>
        </w:rPr>
        <w:t>目负责人及项目管理班子配备情况一览表</w:t>
      </w:r>
    </w:p>
    <w:p>
      <w:pPr>
        <w:spacing w:after="156" w:afterLines="50"/>
        <w:jc w:val="center"/>
        <w:outlineLvl w:val="2"/>
        <w:rPr>
          <w:rFonts w:hint="eastAsia" w:eastAsia="宋体"/>
          <w:color w:val="auto"/>
          <w:highlight w:val="none"/>
          <w:lang w:eastAsia="zh-CN"/>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695"/>
        <w:gridCol w:w="720"/>
        <w:gridCol w:w="825"/>
        <w:gridCol w:w="980"/>
        <w:gridCol w:w="862"/>
        <w:gridCol w:w="733"/>
        <w:gridCol w:w="1686"/>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74"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序号</w:t>
            </w:r>
          </w:p>
        </w:tc>
        <w:tc>
          <w:tcPr>
            <w:tcW w:w="1037" w:type="dxa"/>
            <w:tcBorders>
              <w:top w:val="single" w:color="auto" w:sz="12" w:space="0"/>
              <w:bottom w:val="double" w:color="auto" w:sz="4" w:space="0"/>
            </w:tcBorders>
            <w:shd w:val="clear" w:color="auto" w:fill="EEECE1"/>
            <w:noWrap w:val="0"/>
            <w:vAlign w:val="center"/>
          </w:tcPr>
          <w:p>
            <w:pPr>
              <w:pStyle w:val="48"/>
              <w:keepNext w:val="0"/>
              <w:snapToGrid w:val="0"/>
              <w:spacing w:before="0" w:after="0" w:line="240" w:lineRule="auto"/>
              <w:ind w:left="-84" w:leftChars="-40" w:right="-107" w:rightChars="-51"/>
              <w:textAlignment w:val="auto"/>
              <w:rPr>
                <w:snapToGrid/>
                <w:color w:val="auto"/>
                <w:spacing w:val="0"/>
                <w:kern w:val="2"/>
                <w:sz w:val="21"/>
                <w:szCs w:val="24"/>
                <w:highlight w:val="none"/>
              </w:rPr>
            </w:pPr>
            <w:r>
              <w:rPr>
                <w:rFonts w:hint="eastAsia"/>
                <w:snapToGrid/>
                <w:color w:val="auto"/>
                <w:spacing w:val="0"/>
                <w:kern w:val="2"/>
                <w:sz w:val="21"/>
                <w:szCs w:val="24"/>
                <w:highlight w:val="none"/>
              </w:rPr>
              <w:t>姓名</w:t>
            </w:r>
          </w:p>
        </w:tc>
        <w:tc>
          <w:tcPr>
            <w:tcW w:w="695"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性别</w:t>
            </w:r>
          </w:p>
        </w:tc>
        <w:tc>
          <w:tcPr>
            <w:tcW w:w="720"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年龄</w:t>
            </w:r>
          </w:p>
        </w:tc>
        <w:tc>
          <w:tcPr>
            <w:tcW w:w="825"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学历</w:t>
            </w:r>
          </w:p>
        </w:tc>
        <w:tc>
          <w:tcPr>
            <w:tcW w:w="980"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rFonts w:hint="eastAsia" w:eastAsia="宋体"/>
                <w:color w:val="auto"/>
                <w:highlight w:val="none"/>
                <w:lang w:val="en-US" w:eastAsia="zh-CN"/>
              </w:rPr>
            </w:pPr>
            <w:r>
              <w:rPr>
                <w:rFonts w:hint="eastAsia"/>
                <w:color w:val="auto"/>
                <w:highlight w:val="none"/>
              </w:rPr>
              <w:t>职称</w:t>
            </w:r>
            <w:r>
              <w:rPr>
                <w:rFonts w:hint="eastAsia"/>
                <w:color w:val="auto"/>
                <w:highlight w:val="none"/>
                <w:lang w:val="en-US" w:eastAsia="zh-CN"/>
              </w:rPr>
              <w:t>/执业资格证</w:t>
            </w:r>
          </w:p>
        </w:tc>
        <w:tc>
          <w:tcPr>
            <w:tcW w:w="862"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专业</w:t>
            </w:r>
          </w:p>
        </w:tc>
        <w:tc>
          <w:tcPr>
            <w:tcW w:w="733"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经验年限</w:t>
            </w:r>
          </w:p>
        </w:tc>
        <w:tc>
          <w:tcPr>
            <w:tcW w:w="1686"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color w:val="auto"/>
                <w:highlight w:val="none"/>
              </w:rPr>
            </w:pPr>
            <w:r>
              <w:rPr>
                <w:rFonts w:hint="eastAsia"/>
                <w:color w:val="auto"/>
                <w:highlight w:val="none"/>
              </w:rPr>
              <w:t>拟担任职务或承担工作内容</w:t>
            </w:r>
          </w:p>
        </w:tc>
        <w:tc>
          <w:tcPr>
            <w:tcW w:w="1394" w:type="dxa"/>
            <w:tcBorders>
              <w:top w:val="single" w:color="auto" w:sz="12" w:space="0"/>
              <w:bottom w:val="double" w:color="auto" w:sz="4" w:space="0"/>
            </w:tcBorders>
            <w:shd w:val="clear" w:color="auto" w:fill="EEECE1"/>
            <w:noWrap w:val="0"/>
            <w:vAlign w:val="top"/>
          </w:tcPr>
          <w:p>
            <w:pPr>
              <w:adjustRightInd w:val="0"/>
              <w:snapToGrid w:val="0"/>
              <w:ind w:left="-84" w:leftChars="-40" w:right="-107" w:rightChars="-51"/>
              <w:jc w:val="center"/>
              <w:rPr>
                <w:color w:val="auto"/>
                <w:highlight w:val="none"/>
              </w:rPr>
            </w:pPr>
            <w:r>
              <w:rPr>
                <w:rFonts w:hint="eastAsia"/>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ascii="宋体" w:hAnsi="宋体"/>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ascii="宋体" w:hAnsi="宋体"/>
                <w:color w:val="auto"/>
                <w:highlight w:val="none"/>
              </w:rPr>
            </w:pP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4" w:type="dxa"/>
            <w:noWrap w:val="0"/>
            <w:vAlign w:val="center"/>
          </w:tcPr>
          <w:p>
            <w:pPr>
              <w:numPr>
                <w:ilvl w:val="0"/>
                <w:numId w:val="175"/>
              </w:numPr>
              <w:tabs>
                <w:tab w:val="left" w:pos="142"/>
              </w:tabs>
              <w:jc w:val="center"/>
              <w:rPr>
                <w:rFonts w:ascii="宋体" w:hAnsi="宋体"/>
                <w:color w:val="auto"/>
                <w:highlight w:val="none"/>
              </w:rPr>
            </w:pPr>
          </w:p>
        </w:tc>
        <w:tc>
          <w:tcPr>
            <w:tcW w:w="1037"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695" w:type="dxa"/>
            <w:noWrap w:val="0"/>
            <w:vAlign w:val="center"/>
          </w:tcPr>
          <w:p>
            <w:pPr>
              <w:jc w:val="center"/>
              <w:rPr>
                <w:rFonts w:ascii="宋体" w:hAnsi="宋体"/>
                <w:color w:val="auto"/>
                <w:highlight w:val="none"/>
              </w:rPr>
            </w:pPr>
          </w:p>
        </w:tc>
        <w:tc>
          <w:tcPr>
            <w:tcW w:w="720" w:type="dxa"/>
            <w:noWrap w:val="0"/>
            <w:vAlign w:val="center"/>
          </w:tcPr>
          <w:p>
            <w:pPr>
              <w:jc w:val="center"/>
              <w:rPr>
                <w:rFonts w:ascii="宋体" w:hAnsi="宋体"/>
                <w:color w:val="auto"/>
                <w:highlight w:val="none"/>
              </w:rPr>
            </w:pPr>
          </w:p>
        </w:tc>
        <w:tc>
          <w:tcPr>
            <w:tcW w:w="825" w:type="dxa"/>
            <w:noWrap w:val="0"/>
            <w:vAlign w:val="center"/>
          </w:tcPr>
          <w:p>
            <w:pPr>
              <w:jc w:val="center"/>
              <w:rPr>
                <w:rFonts w:ascii="宋体" w:hAnsi="宋体"/>
                <w:color w:val="auto"/>
                <w:highlight w:val="none"/>
              </w:rPr>
            </w:pPr>
          </w:p>
        </w:tc>
        <w:tc>
          <w:tcPr>
            <w:tcW w:w="980" w:type="dxa"/>
            <w:noWrap w:val="0"/>
            <w:vAlign w:val="center"/>
          </w:tcPr>
          <w:p>
            <w:pPr>
              <w:jc w:val="center"/>
              <w:rPr>
                <w:rFonts w:ascii="宋体" w:hAnsi="宋体"/>
                <w:color w:val="auto"/>
                <w:highlight w:val="none"/>
              </w:rPr>
            </w:pPr>
          </w:p>
        </w:tc>
        <w:tc>
          <w:tcPr>
            <w:tcW w:w="862" w:type="dxa"/>
            <w:noWrap w:val="0"/>
            <w:vAlign w:val="center"/>
          </w:tcPr>
          <w:p>
            <w:pPr>
              <w:jc w:val="center"/>
              <w:rPr>
                <w:rFonts w:ascii="宋体" w:hAnsi="宋体"/>
                <w:color w:val="auto"/>
                <w:highlight w:val="none"/>
              </w:rPr>
            </w:pPr>
          </w:p>
        </w:tc>
        <w:tc>
          <w:tcPr>
            <w:tcW w:w="733" w:type="dxa"/>
            <w:noWrap w:val="0"/>
            <w:vAlign w:val="center"/>
          </w:tcPr>
          <w:p>
            <w:pPr>
              <w:jc w:val="center"/>
              <w:rPr>
                <w:rFonts w:ascii="宋体" w:hAnsi="宋体"/>
                <w:color w:val="auto"/>
                <w:highlight w:val="none"/>
              </w:rPr>
            </w:pPr>
          </w:p>
        </w:tc>
        <w:tc>
          <w:tcPr>
            <w:tcW w:w="1686" w:type="dxa"/>
            <w:noWrap w:val="0"/>
            <w:vAlign w:val="center"/>
          </w:tcPr>
          <w:p>
            <w:pPr>
              <w:jc w:val="center"/>
              <w:rPr>
                <w:rFonts w:ascii="宋体" w:hAnsi="宋体"/>
                <w:color w:val="auto"/>
                <w:highlight w:val="none"/>
              </w:rPr>
            </w:pPr>
          </w:p>
        </w:tc>
        <w:tc>
          <w:tcPr>
            <w:tcW w:w="1394"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500" w:lineRule="exact"/>
        <w:rPr>
          <w:rFonts w:hint="eastAsia"/>
          <w:bCs/>
          <w:color w:val="auto"/>
          <w:highlight w:val="none"/>
        </w:rPr>
      </w:pPr>
      <w:r>
        <w:rPr>
          <w:rFonts w:hint="eastAsia"/>
          <w:bCs/>
          <w:color w:val="auto"/>
          <w:highlight w:val="none"/>
        </w:rPr>
        <w:t>备注：</w:t>
      </w:r>
    </w:p>
    <w:p>
      <w:pPr>
        <w:numPr>
          <w:ilvl w:val="0"/>
          <w:numId w:val="176"/>
        </w:numPr>
        <w:spacing w:line="500" w:lineRule="exact"/>
        <w:rPr>
          <w:rFonts w:hint="eastAsia" w:ascii="宋体" w:hAnsi="宋体" w:cs="宋体"/>
          <w:bCs/>
          <w:color w:val="auto"/>
          <w:highlight w:val="none"/>
        </w:rPr>
      </w:pPr>
      <w:r>
        <w:rPr>
          <w:rFonts w:hint="eastAsia" w:ascii="宋体" w:hAnsi="宋体" w:cs="宋体"/>
          <w:color w:val="auto"/>
          <w:szCs w:val="21"/>
          <w:highlight w:val="none"/>
        </w:rPr>
        <w:t>根据评分表的要求提交相应资料</w:t>
      </w:r>
      <w:r>
        <w:rPr>
          <w:rFonts w:hint="eastAsia" w:ascii="宋体" w:hAnsi="宋体" w:cs="宋体"/>
          <w:bCs/>
          <w:color w:val="auto"/>
          <w:highlight w:val="none"/>
        </w:rPr>
        <w:t xml:space="preserve">。 </w:t>
      </w:r>
    </w:p>
    <w:p>
      <w:pPr>
        <w:numPr>
          <w:ilvl w:val="0"/>
          <w:numId w:val="176"/>
        </w:numPr>
        <w:spacing w:line="500" w:lineRule="exact"/>
        <w:rPr>
          <w:rFonts w:hint="eastAsia" w:ascii="宋体" w:hAnsi="宋体" w:cs="宋体"/>
          <w:color w:val="auto"/>
          <w:spacing w:val="4"/>
          <w:highlight w:val="none"/>
        </w:rPr>
      </w:pPr>
      <w:r>
        <w:rPr>
          <w:rFonts w:hint="eastAsia" w:ascii="宋体" w:hAnsi="宋体" w:cs="宋体"/>
          <w:bCs/>
          <w:color w:val="auto"/>
          <w:highlight w:val="none"/>
        </w:rPr>
        <w:t>如本表格式内容不能满足需要，投标人可根据本表格式自行扩展填写，但必须体现以上内容。</w:t>
      </w: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pStyle w:val="2"/>
        <w:rPr>
          <w:color w:val="auto"/>
          <w:spacing w:val="4"/>
          <w:highlight w:val="none"/>
          <w:u w:val="single"/>
        </w:rPr>
        <w:sectPr>
          <w:pgSz w:w="11906" w:h="16838"/>
          <w:pgMar w:top="1440" w:right="1286" w:bottom="1440" w:left="1440" w:header="851" w:footer="992" w:gutter="0"/>
          <w:cols w:space="720" w:num="1"/>
          <w:docGrid w:type="lines" w:linePitch="312" w:charSpace="0"/>
        </w:sectPr>
      </w:pPr>
    </w:p>
    <w:p>
      <w:pPr>
        <w:numPr>
          <w:ilvl w:val="0"/>
          <w:numId w:val="165"/>
        </w:numPr>
        <w:spacing w:line="440" w:lineRule="exact"/>
        <w:rPr>
          <w:rFonts w:hint="eastAsia"/>
          <w:b w:val="0"/>
          <w:color w:val="auto"/>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rPr>
        <w:t>投标人基本情况表</w:t>
      </w:r>
    </w:p>
    <w:p>
      <w:pPr>
        <w:numPr>
          <w:ilvl w:val="0"/>
          <w:numId w:val="177"/>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pPr>
        <w:numPr>
          <w:ilvl w:val="1"/>
          <w:numId w:val="17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17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177"/>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pPr>
        <w:numPr>
          <w:ilvl w:val="1"/>
          <w:numId w:val="177"/>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pPr>
        <w:numPr>
          <w:ilvl w:val="1"/>
          <w:numId w:val="17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pPr>
        <w:numPr>
          <w:ilvl w:val="1"/>
          <w:numId w:val="17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pPr>
        <w:spacing w:line="360" w:lineRule="auto"/>
        <w:ind w:left="360"/>
        <w:rPr>
          <w:rFonts w:hint="eastAsia" w:ascii="宋体" w:hAnsi="宋体" w:cs="Arial"/>
          <w:color w:val="auto"/>
          <w:szCs w:val="21"/>
          <w:highlight w:val="none"/>
        </w:rPr>
      </w:pPr>
      <w:r>
        <w:rPr>
          <w:rFonts w:hint="eastAsia" w:ascii="宋体" w:hAnsi="宋体"/>
          <w:color w:val="auto"/>
          <w:highlight w:val="none"/>
        </w:rPr>
        <w:t>图片描述：</w:t>
      </w:r>
      <w:r>
        <w:rPr>
          <w:rFonts w:hint="eastAsia" w:ascii="宋体" w:hAnsi="宋体"/>
          <w:bCs/>
          <w:color w:val="auto"/>
          <w:szCs w:val="21"/>
          <w:highlight w:val="none"/>
          <w:lang w:val="en-GB"/>
        </w:rPr>
        <w:t>经营场所、主要或关键产品介绍、生产场所及工艺流程等。</w:t>
      </w:r>
    </w:p>
    <w:p>
      <w:pPr>
        <w:numPr>
          <w:ilvl w:val="0"/>
          <w:numId w:val="177"/>
        </w:numPr>
        <w:spacing w:line="360" w:lineRule="auto"/>
        <w:rPr>
          <w:rFonts w:ascii="宋体" w:hAnsi="宋体" w:cs="Arial"/>
          <w:color w:val="auto"/>
          <w:szCs w:val="21"/>
          <w:highlight w:val="none"/>
        </w:rPr>
      </w:pPr>
      <w:r>
        <w:rPr>
          <w:rFonts w:ascii="宋体" w:hAnsi="宋体" w:cs="Arial"/>
          <w:color w:val="auto"/>
          <w:szCs w:val="21"/>
          <w:highlight w:val="none"/>
        </w:rPr>
        <w:t>投标人获得国家有关部门颁发的资质</w:t>
      </w:r>
      <w:r>
        <w:rPr>
          <w:rFonts w:hint="eastAsia" w:ascii="宋体" w:hAnsi="宋体" w:cs="Arial"/>
          <w:color w:val="auto"/>
          <w:szCs w:val="21"/>
          <w:highlight w:val="none"/>
        </w:rPr>
        <w:t>证书和奖项</w:t>
      </w:r>
      <w:r>
        <w:rPr>
          <w:rFonts w:ascii="宋体" w:hAnsi="宋体" w:cs="Arial"/>
          <w:color w:val="auto"/>
          <w:szCs w:val="21"/>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49" w:type="dxa"/>
            <w:tcBorders>
              <w:top w:val="single" w:color="auto" w:sz="12" w:space="0"/>
              <w:left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349" w:type="dxa"/>
            <w:tcBorders>
              <w:top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349" w:type="dxa"/>
            <w:tcBorders>
              <w:top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349" w:type="dxa"/>
            <w:tcBorders>
              <w:top w:val="single" w:color="auto" w:sz="12" w:space="0"/>
              <w:right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noWrap w:val="0"/>
            <w:vAlign w:val="top"/>
          </w:tcPr>
          <w:p>
            <w:pPr>
              <w:spacing w:line="360" w:lineRule="auto"/>
              <w:jc w:val="center"/>
              <w:rPr>
                <w:rFonts w:ascii="宋体" w:hAnsi="宋体" w:cs="Arial"/>
                <w:color w:val="auto"/>
                <w:szCs w:val="21"/>
                <w:highlight w:val="none"/>
              </w:rPr>
            </w:pPr>
          </w:p>
        </w:tc>
        <w:tc>
          <w:tcPr>
            <w:tcW w:w="2349" w:type="dxa"/>
            <w:noWrap w:val="0"/>
            <w:vAlign w:val="top"/>
          </w:tcPr>
          <w:p>
            <w:pPr>
              <w:spacing w:line="360" w:lineRule="auto"/>
              <w:jc w:val="center"/>
              <w:rPr>
                <w:rFonts w:ascii="宋体" w:hAnsi="宋体" w:cs="Arial"/>
                <w:color w:val="auto"/>
                <w:szCs w:val="21"/>
                <w:highlight w:val="none"/>
              </w:rPr>
            </w:pPr>
          </w:p>
        </w:tc>
        <w:tc>
          <w:tcPr>
            <w:tcW w:w="2349" w:type="dxa"/>
            <w:tcBorders>
              <w:right w:val="single" w:color="auto" w:sz="12" w:space="0"/>
            </w:tcBorders>
            <w:noWrap w:val="0"/>
            <w:vAlign w:val="top"/>
          </w:tcPr>
          <w:p>
            <w:pPr>
              <w:spacing w:line="360" w:lineRule="auto"/>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right w:val="single" w:color="auto" w:sz="12" w:space="0"/>
            </w:tcBorders>
            <w:noWrap w:val="0"/>
            <w:vAlign w:val="top"/>
          </w:tcPr>
          <w:p>
            <w:pPr>
              <w:spacing w:line="360" w:lineRule="auto"/>
              <w:jc w:val="center"/>
              <w:rPr>
                <w:rFonts w:ascii="宋体" w:hAnsi="宋体" w:cs="Arial"/>
                <w:color w:val="auto"/>
                <w:szCs w:val="21"/>
                <w:highlight w:val="none"/>
              </w:rPr>
            </w:pPr>
          </w:p>
        </w:tc>
      </w:tr>
    </w:tbl>
    <w:p>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pPr>
        <w:spacing w:line="360" w:lineRule="auto"/>
        <w:ind w:firstLine="315" w:firstLineChars="150"/>
        <w:rPr>
          <w:rFonts w:hint="eastAsia" w:ascii="宋体" w:hAnsi="宋体" w:cs="Arial"/>
          <w:color w:val="auto"/>
          <w:szCs w:val="21"/>
          <w:highlight w:val="none"/>
        </w:rPr>
      </w:pPr>
      <w:r>
        <w:rPr>
          <w:rFonts w:ascii="宋体" w:hAnsi="宋体" w:cs="Arial"/>
          <w:color w:val="auto"/>
          <w:szCs w:val="21"/>
          <w:highlight w:val="none"/>
        </w:rPr>
        <w:t>我/我们声明以上所述是正确无误的，您有权进行您认为必要的所有调查</w:t>
      </w:r>
      <w:r>
        <w:rPr>
          <w:rFonts w:hint="eastAsia" w:ascii="宋体" w:hAnsi="宋体" w:cs="Arial"/>
          <w:color w:val="auto"/>
          <w:szCs w:val="21"/>
          <w:highlight w:val="none"/>
        </w:rPr>
        <w:t>，</w:t>
      </w:r>
      <w:r>
        <w:rPr>
          <w:rFonts w:hint="eastAsia" w:hAnsi="宋体"/>
          <w:color w:val="auto"/>
          <w:szCs w:val="21"/>
          <w:highlight w:val="none"/>
          <w:lang w:val="en-GB"/>
        </w:rPr>
        <w:t>如以上数据有虚假，一经查实，自行承担相关责任。</w:t>
      </w:r>
    </w:p>
    <w:p>
      <w:pPr>
        <w:spacing w:line="500" w:lineRule="exact"/>
        <w:rPr>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0"/>
        </w:numPr>
        <w:spacing w:line="440" w:lineRule="exact"/>
        <w:ind w:leftChars="0"/>
        <w:rPr>
          <w:rFonts w:hint="eastAsia" w:ascii="黑体" w:eastAsia="黑体"/>
          <w:bCs/>
          <w:color w:val="auto"/>
          <w:sz w:val="28"/>
          <w:highlight w:val="none"/>
        </w:rPr>
        <w:sectPr>
          <w:pgSz w:w="11906" w:h="16838"/>
          <w:pgMar w:top="1440" w:right="1286" w:bottom="1440" w:left="1440" w:header="851" w:footer="992" w:gutter="0"/>
          <w:cols w:space="720" w:num="1"/>
          <w:docGrid w:type="lines" w:linePitch="312" w:charSpace="0"/>
        </w:sectPr>
      </w:pPr>
      <w:r>
        <w:rPr>
          <w:rFonts w:hint="eastAsia" w:ascii="黑体" w:eastAsia="黑体"/>
          <w:bCs/>
          <w:color w:val="auto"/>
          <w:sz w:val="28"/>
          <w:highlight w:val="none"/>
        </w:rPr>
        <w:t xml:space="preserve"> </w:t>
      </w:r>
    </w:p>
    <w:bookmarkEnd w:id="530"/>
    <w:p>
      <w:pPr>
        <w:numPr>
          <w:ilvl w:val="0"/>
          <w:numId w:val="165"/>
        </w:numPr>
        <w:spacing w:line="440" w:lineRule="exact"/>
        <w:rPr>
          <w:rFonts w:hint="eastAsia" w:ascii="黑体" w:eastAsia="黑体"/>
          <w:b/>
          <w:bCs/>
          <w:color w:val="auto"/>
          <w:sz w:val="28"/>
          <w:highlight w:val="none"/>
        </w:rPr>
      </w:pPr>
      <w:bookmarkStart w:id="531" w:name="_Toc43264525"/>
      <w:bookmarkStart w:id="532" w:name="_Toc50691037"/>
      <w:bookmarkStart w:id="533" w:name="_Toc50703730"/>
      <w:bookmarkStart w:id="534" w:name="_Toc43264518"/>
    </w:p>
    <w:p>
      <w:pPr>
        <w:pStyle w:val="4"/>
        <w:numPr>
          <w:ilvl w:val="1"/>
          <w:numId w:val="122"/>
        </w:numPr>
        <w:adjustRightInd w:val="0"/>
        <w:snapToGrid w:val="0"/>
        <w:spacing w:before="156" w:beforeLines="50" w:after="156" w:afterLines="50" w:line="360" w:lineRule="auto"/>
        <w:jc w:val="center"/>
        <w:rPr>
          <w:rFonts w:hint="eastAsia" w:ascii="Arial" w:hAnsi="Arial" w:cs="Times New Roman"/>
          <w:b/>
          <w:color w:val="auto"/>
          <w:highlight w:val="none"/>
        </w:rPr>
      </w:pPr>
      <w:bookmarkStart w:id="535" w:name="_Toc52165085"/>
      <w:bookmarkStart w:id="536" w:name="_Toc275865617"/>
      <w:bookmarkStart w:id="537" w:name="_Toc50737301"/>
      <w:bookmarkStart w:id="538" w:name="_Toc50691044"/>
      <w:bookmarkStart w:id="539" w:name="_Toc50736481"/>
      <w:bookmarkStart w:id="540" w:name="_Toc50737333"/>
      <w:r>
        <w:rPr>
          <w:rFonts w:hint="eastAsia" w:ascii="Arial" w:hAnsi="Arial" w:cs="Times New Roman"/>
          <w:b/>
          <w:color w:val="auto"/>
          <w:highlight w:val="none"/>
          <w:lang w:eastAsia="zh-CN"/>
        </w:rPr>
        <w:t>企业管理体系认证</w:t>
      </w:r>
      <w:r>
        <w:rPr>
          <w:rFonts w:hint="eastAsia" w:ascii="Arial" w:hAnsi="Arial" w:cs="Times New Roman"/>
          <w:b/>
          <w:color w:val="auto"/>
          <w:highlight w:val="none"/>
        </w:rPr>
        <w:t>一览表</w:t>
      </w:r>
    </w:p>
    <w:p>
      <w:pPr>
        <w:widowControl/>
        <w:jc w:val="left"/>
        <w:rPr>
          <w:rFonts w:hint="eastAsia" w:ascii="宋体" w:hAnsi="宋体" w:cs="宋体"/>
          <w:color w:val="auto"/>
          <w:kern w:val="0"/>
          <w:sz w:val="24"/>
          <w:highlight w:val="none"/>
          <w:lang w:bidi="ar"/>
        </w:rPr>
      </w:pPr>
    </w:p>
    <w:p>
      <w:pPr>
        <w:widowControl/>
        <w:jc w:val="left"/>
        <w:rPr>
          <w:rFonts w:hint="eastAsia" w:eastAsia="宋体"/>
          <w:color w:val="auto"/>
          <w:spacing w:val="4"/>
          <w:szCs w:val="21"/>
          <w:highlight w:val="none"/>
          <w:lang w:eastAsia="zh-CN"/>
        </w:rPr>
      </w:pPr>
      <w:r>
        <w:rPr>
          <w:rFonts w:hint="eastAsia" w:ascii="宋体" w:hAnsi="宋体"/>
          <w:color w:val="auto"/>
          <w:highlight w:val="none"/>
        </w:rPr>
        <w:t>投标人名称</w:t>
      </w:r>
      <w:r>
        <w:rPr>
          <w:rFonts w:hint="eastAsia" w:ascii="宋体" w:hAnsi="宋体" w:cs="宋体"/>
          <w:color w:val="auto"/>
          <w:kern w:val="0"/>
          <w:sz w:val="24"/>
          <w:highlight w:val="none"/>
          <w:lang w:bidi="ar"/>
        </w:rPr>
        <w:t xml:space="preserve">：                         </w:t>
      </w:r>
      <w:r>
        <w:rPr>
          <w:rFonts w:hint="eastAsia" w:ascii="宋体" w:hAnsi="宋体" w:cs="宋体"/>
          <w:color w:val="auto"/>
          <w:kern w:val="0"/>
          <w:szCs w:val="21"/>
          <w:highlight w:val="none"/>
          <w:lang w:bidi="ar"/>
        </w:rPr>
        <w:t>包组号：              项目编号：</w:t>
      </w:r>
      <w:r>
        <w:rPr>
          <w:rFonts w:hint="eastAsia" w:ascii="宋体" w:hAnsi="宋体" w:cs="宋体"/>
          <w:color w:val="auto"/>
          <w:kern w:val="0"/>
          <w:szCs w:val="21"/>
          <w:highlight w:val="none"/>
          <w:lang w:eastAsia="zh-CN" w:bidi="ar"/>
        </w:rPr>
        <w:t>JG2022(SZ)XZ0013</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4"/>
        <w:gridCol w:w="1881"/>
        <w:gridCol w:w="2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4" w:hRule="atLeast"/>
        </w:trPr>
        <w:tc>
          <w:tcPr>
            <w:tcW w:w="2264" w:type="dxa"/>
            <w:noWrap w:val="0"/>
            <w:vAlign w:val="top"/>
          </w:tcPr>
          <w:p>
            <w:pPr>
              <w:widowControl/>
              <w:spacing w:line="440" w:lineRule="exact"/>
              <w:jc w:val="center"/>
              <w:rPr>
                <w:rFonts w:hint="eastAsia" w:ascii="宋体" w:hAnsi="宋体" w:cs="宋体"/>
                <w:b/>
                <w:color w:val="auto"/>
                <w:spacing w:val="4"/>
                <w:szCs w:val="21"/>
                <w:highlight w:val="none"/>
              </w:rPr>
            </w:pPr>
            <w:r>
              <w:rPr>
                <w:rFonts w:hint="eastAsia" w:ascii="宋体" w:hAnsi="宋体" w:cs="宋体"/>
                <w:b/>
                <w:color w:val="auto"/>
                <w:kern w:val="0"/>
                <w:szCs w:val="21"/>
                <w:highlight w:val="none"/>
                <w:lang w:bidi="ar"/>
              </w:rPr>
              <w:t>证书名称</w:t>
            </w:r>
          </w:p>
        </w:tc>
        <w:tc>
          <w:tcPr>
            <w:tcW w:w="2264" w:type="dxa"/>
            <w:noWrap w:val="0"/>
            <w:vAlign w:val="top"/>
          </w:tcPr>
          <w:p>
            <w:pPr>
              <w:widowControl/>
              <w:spacing w:line="440" w:lineRule="exact"/>
              <w:jc w:val="center"/>
              <w:rPr>
                <w:rFonts w:hint="eastAsia" w:ascii="宋体" w:hAnsi="宋体" w:cs="宋体"/>
                <w:b/>
                <w:color w:val="auto"/>
                <w:spacing w:val="4"/>
                <w:szCs w:val="21"/>
                <w:highlight w:val="none"/>
              </w:rPr>
            </w:pPr>
            <w:r>
              <w:rPr>
                <w:rFonts w:hint="eastAsia" w:ascii="宋体" w:hAnsi="宋体" w:cs="宋体"/>
                <w:b/>
                <w:color w:val="auto"/>
                <w:spacing w:val="4"/>
                <w:szCs w:val="21"/>
                <w:highlight w:val="none"/>
              </w:rPr>
              <w:t>发证机构</w:t>
            </w:r>
          </w:p>
        </w:tc>
        <w:tc>
          <w:tcPr>
            <w:tcW w:w="1881" w:type="dxa"/>
            <w:noWrap w:val="0"/>
            <w:vAlign w:val="top"/>
          </w:tcPr>
          <w:p>
            <w:pPr>
              <w:widowControl/>
              <w:spacing w:line="440" w:lineRule="exact"/>
              <w:jc w:val="center"/>
              <w:rPr>
                <w:rFonts w:hint="eastAsia" w:ascii="宋体" w:hAnsi="宋体" w:cs="宋体"/>
                <w:b/>
                <w:color w:val="auto"/>
                <w:spacing w:val="4"/>
                <w:szCs w:val="21"/>
                <w:highlight w:val="none"/>
              </w:rPr>
            </w:pPr>
            <w:r>
              <w:rPr>
                <w:rFonts w:hint="eastAsia" w:ascii="宋体" w:hAnsi="宋体" w:cs="宋体"/>
                <w:b/>
                <w:color w:val="auto"/>
                <w:kern w:val="0"/>
                <w:szCs w:val="21"/>
                <w:highlight w:val="none"/>
                <w:lang w:bidi="ar"/>
              </w:rPr>
              <w:t>证书有限期</w:t>
            </w:r>
          </w:p>
        </w:tc>
        <w:tc>
          <w:tcPr>
            <w:tcW w:w="2649" w:type="dxa"/>
            <w:noWrap w:val="0"/>
            <w:vAlign w:val="top"/>
          </w:tcPr>
          <w:p>
            <w:pPr>
              <w:widowControl/>
              <w:spacing w:line="440" w:lineRule="exact"/>
              <w:jc w:val="center"/>
              <w:rPr>
                <w:rFonts w:hint="eastAsia" w:ascii="宋体" w:hAnsi="宋体" w:cs="宋体"/>
                <w:b/>
                <w:color w:val="auto"/>
                <w:spacing w:val="4"/>
                <w:szCs w:val="21"/>
                <w:highlight w:val="none"/>
              </w:rPr>
            </w:pPr>
            <w:r>
              <w:rPr>
                <w:rFonts w:hint="eastAsia" w:ascii="宋体" w:hAnsi="宋体" w:cs="宋体"/>
                <w:b/>
                <w:color w:val="auto"/>
                <w:spacing w:val="4"/>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64" w:type="dxa"/>
            <w:noWrap w:val="0"/>
            <w:vAlign w:val="top"/>
          </w:tcPr>
          <w:p>
            <w:pPr>
              <w:spacing w:line="440" w:lineRule="exact"/>
              <w:rPr>
                <w:rFonts w:hint="eastAsia"/>
                <w:color w:val="auto"/>
                <w:spacing w:val="4"/>
                <w:highlight w:val="none"/>
              </w:rPr>
            </w:pPr>
          </w:p>
        </w:tc>
        <w:tc>
          <w:tcPr>
            <w:tcW w:w="2264" w:type="dxa"/>
            <w:noWrap w:val="0"/>
            <w:vAlign w:val="top"/>
          </w:tcPr>
          <w:p>
            <w:pPr>
              <w:spacing w:line="440" w:lineRule="exact"/>
              <w:rPr>
                <w:rFonts w:hint="eastAsia"/>
                <w:color w:val="auto"/>
                <w:spacing w:val="4"/>
                <w:highlight w:val="none"/>
              </w:rPr>
            </w:pPr>
          </w:p>
        </w:tc>
        <w:tc>
          <w:tcPr>
            <w:tcW w:w="1881" w:type="dxa"/>
            <w:noWrap w:val="0"/>
            <w:vAlign w:val="top"/>
          </w:tcPr>
          <w:p>
            <w:pPr>
              <w:spacing w:line="440" w:lineRule="exact"/>
              <w:rPr>
                <w:rFonts w:hint="eastAsia"/>
                <w:color w:val="auto"/>
                <w:spacing w:val="4"/>
                <w:highlight w:val="none"/>
              </w:rPr>
            </w:pPr>
          </w:p>
        </w:tc>
        <w:tc>
          <w:tcPr>
            <w:tcW w:w="2649" w:type="dxa"/>
            <w:noWrap w:val="0"/>
            <w:vAlign w:val="center"/>
          </w:tcPr>
          <w:p>
            <w:pPr>
              <w:adjustRightInd w:val="0"/>
              <w:snapToGrid w:val="0"/>
              <w:ind w:left="-84" w:leftChars="-40" w:right="-107" w:rightChars="-51"/>
              <w:jc w:val="center"/>
              <w:rPr>
                <w:rFonts w:hint="eastAsia"/>
                <w:color w:val="auto"/>
                <w:spacing w:val="4"/>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64" w:type="dxa"/>
            <w:noWrap w:val="0"/>
            <w:vAlign w:val="top"/>
          </w:tcPr>
          <w:p>
            <w:pPr>
              <w:spacing w:line="440" w:lineRule="exact"/>
              <w:rPr>
                <w:rFonts w:hint="eastAsia"/>
                <w:color w:val="auto"/>
                <w:spacing w:val="4"/>
                <w:highlight w:val="none"/>
              </w:rPr>
            </w:pPr>
          </w:p>
        </w:tc>
        <w:tc>
          <w:tcPr>
            <w:tcW w:w="2264" w:type="dxa"/>
            <w:noWrap w:val="0"/>
            <w:vAlign w:val="top"/>
          </w:tcPr>
          <w:p>
            <w:pPr>
              <w:spacing w:line="440" w:lineRule="exact"/>
              <w:rPr>
                <w:rFonts w:hint="eastAsia"/>
                <w:color w:val="auto"/>
                <w:spacing w:val="4"/>
                <w:highlight w:val="none"/>
              </w:rPr>
            </w:pPr>
          </w:p>
        </w:tc>
        <w:tc>
          <w:tcPr>
            <w:tcW w:w="1881" w:type="dxa"/>
            <w:noWrap w:val="0"/>
            <w:vAlign w:val="top"/>
          </w:tcPr>
          <w:p>
            <w:pPr>
              <w:spacing w:line="440" w:lineRule="exact"/>
              <w:rPr>
                <w:rFonts w:hint="eastAsia"/>
                <w:color w:val="auto"/>
                <w:spacing w:val="4"/>
                <w:highlight w:val="none"/>
              </w:rPr>
            </w:pPr>
          </w:p>
        </w:tc>
        <w:tc>
          <w:tcPr>
            <w:tcW w:w="2649" w:type="dxa"/>
            <w:noWrap w:val="0"/>
            <w:vAlign w:val="center"/>
          </w:tcPr>
          <w:p>
            <w:pPr>
              <w:adjustRightInd w:val="0"/>
              <w:snapToGrid w:val="0"/>
              <w:ind w:left="-84" w:leftChars="-40" w:right="-107" w:rightChars="-51"/>
              <w:jc w:val="center"/>
              <w:rPr>
                <w:rFonts w:hint="eastAsia"/>
                <w:color w:val="auto"/>
                <w:spacing w:val="4"/>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64" w:type="dxa"/>
            <w:noWrap w:val="0"/>
            <w:vAlign w:val="top"/>
          </w:tcPr>
          <w:p>
            <w:pPr>
              <w:spacing w:line="440" w:lineRule="exact"/>
              <w:rPr>
                <w:rFonts w:hint="eastAsia"/>
                <w:color w:val="auto"/>
                <w:spacing w:val="4"/>
                <w:highlight w:val="none"/>
              </w:rPr>
            </w:pPr>
          </w:p>
        </w:tc>
        <w:tc>
          <w:tcPr>
            <w:tcW w:w="2264" w:type="dxa"/>
            <w:noWrap w:val="0"/>
            <w:vAlign w:val="top"/>
          </w:tcPr>
          <w:p>
            <w:pPr>
              <w:spacing w:line="440" w:lineRule="exact"/>
              <w:rPr>
                <w:rFonts w:hint="eastAsia"/>
                <w:color w:val="auto"/>
                <w:spacing w:val="4"/>
                <w:highlight w:val="none"/>
              </w:rPr>
            </w:pPr>
          </w:p>
        </w:tc>
        <w:tc>
          <w:tcPr>
            <w:tcW w:w="1881" w:type="dxa"/>
            <w:noWrap w:val="0"/>
            <w:vAlign w:val="top"/>
          </w:tcPr>
          <w:p>
            <w:pPr>
              <w:spacing w:line="440" w:lineRule="exact"/>
              <w:rPr>
                <w:rFonts w:hint="eastAsia"/>
                <w:color w:val="auto"/>
                <w:spacing w:val="4"/>
                <w:highlight w:val="none"/>
              </w:rPr>
            </w:pPr>
          </w:p>
        </w:tc>
        <w:tc>
          <w:tcPr>
            <w:tcW w:w="2649" w:type="dxa"/>
            <w:noWrap w:val="0"/>
            <w:vAlign w:val="center"/>
          </w:tcPr>
          <w:p>
            <w:pPr>
              <w:adjustRightInd w:val="0"/>
              <w:snapToGrid w:val="0"/>
              <w:ind w:left="-84" w:leftChars="-40" w:right="-107" w:rightChars="-51"/>
              <w:jc w:val="center"/>
              <w:rPr>
                <w:rFonts w:hint="eastAsia"/>
                <w:color w:val="auto"/>
                <w:spacing w:val="4"/>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440" w:lineRule="exact"/>
        <w:rPr>
          <w:rFonts w:hint="eastAsia"/>
          <w:color w:val="auto"/>
          <w:spacing w:val="4"/>
          <w:highlight w:val="none"/>
        </w:rPr>
      </w:pPr>
      <w:r>
        <w:rPr>
          <w:rFonts w:hint="eastAsia"/>
          <w:color w:val="auto"/>
          <w:spacing w:val="4"/>
          <w:highlight w:val="none"/>
        </w:rPr>
        <w:t>备注：</w:t>
      </w:r>
    </w:p>
    <w:p>
      <w:pPr>
        <w:numPr>
          <w:ilvl w:val="0"/>
          <w:numId w:val="178"/>
        </w:numPr>
        <w:spacing w:line="440" w:lineRule="exact"/>
        <w:rPr>
          <w:rFonts w:hint="eastAsia" w:ascii="宋体" w:hAnsi="宋体" w:cs="宋体"/>
          <w:color w:val="auto"/>
          <w:spacing w:val="4"/>
          <w:highlight w:val="none"/>
        </w:rPr>
      </w:pPr>
      <w:r>
        <w:rPr>
          <w:rFonts w:hint="eastAsia" w:ascii="宋体" w:hAnsi="宋体" w:cs="宋体"/>
          <w:color w:val="auto"/>
          <w:spacing w:val="4"/>
          <w:highlight w:val="none"/>
        </w:rPr>
        <w:t xml:space="preserve">根据评分表的要求提交相应资料。 </w:t>
      </w:r>
    </w:p>
    <w:p>
      <w:pPr>
        <w:numPr>
          <w:ilvl w:val="0"/>
          <w:numId w:val="178"/>
        </w:numPr>
        <w:spacing w:line="440" w:lineRule="exact"/>
        <w:rPr>
          <w:rFonts w:hint="eastAsia" w:ascii="宋体" w:hAnsi="宋体" w:cs="宋体"/>
          <w:color w:val="auto"/>
          <w:spacing w:val="4"/>
          <w:highlight w:val="none"/>
        </w:rPr>
      </w:pPr>
      <w:r>
        <w:rPr>
          <w:rFonts w:hint="eastAsia" w:ascii="宋体" w:hAnsi="宋体" w:cs="宋体"/>
          <w:color w:val="auto"/>
          <w:spacing w:val="4"/>
          <w:highlight w:val="none"/>
        </w:rPr>
        <w:t>如本表格式内容不能满足需要，投标人可根据本表格式自行扩展填写，但必须体现以上内容。</w:t>
      </w:r>
    </w:p>
    <w:p>
      <w:pPr>
        <w:spacing w:line="440" w:lineRule="exact"/>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sectPr>
          <w:pgSz w:w="11906" w:h="16838"/>
          <w:pgMar w:top="1440" w:right="1286" w:bottom="1440" w:left="1440" w:header="851" w:footer="992" w:gutter="0"/>
          <w:cols w:space="720" w:num="1"/>
          <w:docGrid w:type="lines" w:linePitch="312" w:charSpace="0"/>
        </w:sect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165"/>
        </w:numPr>
        <w:spacing w:line="440" w:lineRule="exact"/>
        <w:rPr>
          <w:rFonts w:hint="eastAsia"/>
          <w:b/>
          <w:color w:val="auto"/>
          <w:highlight w:val="none"/>
        </w:rPr>
      </w:pPr>
    </w:p>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eastAsia="zh-CN"/>
        </w:rPr>
        <w:t>企业</w:t>
      </w:r>
      <w:r>
        <w:rPr>
          <w:rFonts w:hint="eastAsia"/>
          <w:b w:val="0"/>
          <w:color w:val="auto"/>
          <w:highlight w:val="none"/>
        </w:rPr>
        <w:t>类似</w:t>
      </w:r>
      <w:r>
        <w:rPr>
          <w:rFonts w:hint="eastAsia"/>
          <w:b w:val="0"/>
          <w:color w:val="auto"/>
          <w:highlight w:val="none"/>
          <w:lang w:eastAsia="zh-CN"/>
        </w:rPr>
        <w:t>工程</w:t>
      </w:r>
      <w:r>
        <w:rPr>
          <w:rFonts w:hint="eastAsia"/>
          <w:b w:val="0"/>
          <w:color w:val="auto"/>
          <w:highlight w:val="none"/>
        </w:rPr>
        <w:t>业绩情况一览表</w:t>
      </w:r>
      <w:bookmarkEnd w:id="531"/>
      <w:bookmarkEnd w:id="535"/>
      <w:bookmarkEnd w:id="536"/>
      <w:bookmarkEnd w:id="537"/>
      <w:bookmarkEnd w:id="538"/>
      <w:bookmarkEnd w:id="539"/>
      <w:bookmarkEnd w:id="540"/>
    </w:p>
    <w:p>
      <w:pPr>
        <w:spacing w:after="156" w:afterLines="50"/>
        <w:jc w:val="center"/>
        <w:outlineLvl w:val="2"/>
        <w:rPr>
          <w:rFonts w:hint="eastAsia" w:eastAsia="宋体"/>
          <w:color w:val="auto"/>
          <w:highlight w:val="none"/>
          <w:lang w:eastAsia="zh-CN"/>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p>
    <w:tbl>
      <w:tblPr>
        <w:tblStyle w:val="25"/>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136"/>
        <w:gridCol w:w="1155"/>
        <w:gridCol w:w="1095"/>
        <w:gridCol w:w="1275"/>
        <w:gridCol w:w="1278"/>
        <w:gridCol w:w="19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noWrap w:val="0"/>
            <w:vAlign w:val="center"/>
          </w:tcPr>
          <w:p>
            <w:pPr>
              <w:adjustRightInd w:val="0"/>
              <w:snapToGrid w:val="0"/>
              <w:ind w:left="-69" w:leftChars="-33" w:right="-97" w:rightChars="-46"/>
              <w:jc w:val="center"/>
              <w:rPr>
                <w:rFonts w:hint="eastAsia"/>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业主名称</w:t>
            </w:r>
          </w:p>
        </w:tc>
        <w:tc>
          <w:tcPr>
            <w:tcW w:w="113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项目名称</w:t>
            </w:r>
          </w:p>
        </w:tc>
        <w:tc>
          <w:tcPr>
            <w:tcW w:w="115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服务内容</w:t>
            </w:r>
          </w:p>
        </w:tc>
        <w:tc>
          <w:tcPr>
            <w:tcW w:w="109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合同总价</w:t>
            </w:r>
          </w:p>
        </w:tc>
        <w:tc>
          <w:tcPr>
            <w:tcW w:w="127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签约及完成时间</w:t>
            </w:r>
          </w:p>
        </w:tc>
        <w:tc>
          <w:tcPr>
            <w:tcW w:w="1278"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单位联系人及电话</w:t>
            </w:r>
          </w:p>
        </w:tc>
        <w:tc>
          <w:tcPr>
            <w:tcW w:w="1966"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rFonts w:hint="eastAsia"/>
                <w:color w:val="auto"/>
                <w:highlight w:val="none"/>
              </w:rPr>
            </w:pPr>
            <w:r>
              <w:rPr>
                <w:rFonts w:hint="eastAsia"/>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0" w:type="dxa"/>
            <w:tcBorders>
              <w:top w:val="double" w:color="auto"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w:t>
            </w:r>
          </w:p>
        </w:tc>
        <w:tc>
          <w:tcPr>
            <w:tcW w:w="1260" w:type="dxa"/>
            <w:tcBorders>
              <w:top w:val="double" w:color="auto" w:sz="4" w:space="0"/>
            </w:tcBorders>
            <w:noWrap w:val="0"/>
            <w:vAlign w:val="center"/>
          </w:tcPr>
          <w:p>
            <w:pPr>
              <w:spacing w:line="400" w:lineRule="exact"/>
              <w:jc w:val="center"/>
              <w:rPr>
                <w:rFonts w:hint="eastAsia"/>
                <w:color w:val="auto"/>
                <w:highlight w:val="none"/>
              </w:rPr>
            </w:pPr>
          </w:p>
        </w:tc>
        <w:tc>
          <w:tcPr>
            <w:tcW w:w="1136" w:type="dxa"/>
            <w:tcBorders>
              <w:top w:val="double" w:color="auto" w:sz="4" w:space="0"/>
            </w:tcBorders>
            <w:noWrap w:val="0"/>
            <w:vAlign w:val="center"/>
          </w:tcPr>
          <w:p>
            <w:pPr>
              <w:spacing w:line="400" w:lineRule="exact"/>
              <w:jc w:val="center"/>
              <w:rPr>
                <w:rFonts w:hint="eastAsia"/>
                <w:color w:val="auto"/>
                <w:highlight w:val="none"/>
              </w:rPr>
            </w:pPr>
          </w:p>
        </w:tc>
        <w:tc>
          <w:tcPr>
            <w:tcW w:w="1155" w:type="dxa"/>
            <w:tcBorders>
              <w:top w:val="double" w:color="auto" w:sz="4" w:space="0"/>
            </w:tcBorders>
            <w:noWrap w:val="0"/>
            <w:vAlign w:val="center"/>
          </w:tcPr>
          <w:p>
            <w:pPr>
              <w:spacing w:line="400" w:lineRule="exact"/>
              <w:jc w:val="center"/>
              <w:rPr>
                <w:rFonts w:hint="eastAsia"/>
                <w:color w:val="auto"/>
                <w:highlight w:val="none"/>
              </w:rPr>
            </w:pPr>
          </w:p>
        </w:tc>
        <w:tc>
          <w:tcPr>
            <w:tcW w:w="1095" w:type="dxa"/>
            <w:tcBorders>
              <w:top w:val="double" w:color="auto" w:sz="4" w:space="0"/>
            </w:tcBorders>
            <w:noWrap w:val="0"/>
            <w:vAlign w:val="center"/>
          </w:tcPr>
          <w:p>
            <w:pPr>
              <w:spacing w:line="400" w:lineRule="exact"/>
              <w:jc w:val="center"/>
              <w:rPr>
                <w:rFonts w:hint="eastAsia"/>
                <w:color w:val="auto"/>
                <w:highlight w:val="none"/>
              </w:rPr>
            </w:pPr>
          </w:p>
        </w:tc>
        <w:tc>
          <w:tcPr>
            <w:tcW w:w="1275" w:type="dxa"/>
            <w:tcBorders>
              <w:top w:val="double" w:color="auto" w:sz="4" w:space="0"/>
            </w:tcBorders>
            <w:noWrap w:val="0"/>
            <w:vAlign w:val="center"/>
          </w:tcPr>
          <w:p>
            <w:pPr>
              <w:spacing w:line="400" w:lineRule="exact"/>
              <w:jc w:val="center"/>
              <w:rPr>
                <w:rFonts w:hint="eastAsia"/>
                <w:color w:val="auto"/>
                <w:highlight w:val="none"/>
              </w:rPr>
            </w:pPr>
          </w:p>
        </w:tc>
        <w:tc>
          <w:tcPr>
            <w:tcW w:w="1278" w:type="dxa"/>
            <w:tcBorders>
              <w:top w:val="double" w:color="auto" w:sz="4" w:space="0"/>
            </w:tcBorders>
            <w:noWrap w:val="0"/>
            <w:vAlign w:val="center"/>
          </w:tcPr>
          <w:p>
            <w:pPr>
              <w:spacing w:line="400" w:lineRule="exact"/>
              <w:jc w:val="center"/>
              <w:rPr>
                <w:rFonts w:hint="eastAsia"/>
                <w:color w:val="auto"/>
                <w:highlight w:val="none"/>
              </w:rPr>
            </w:pPr>
          </w:p>
        </w:tc>
        <w:tc>
          <w:tcPr>
            <w:tcW w:w="1966" w:type="dxa"/>
            <w:tcBorders>
              <w:top w:val="double" w:color="auto" w:sz="4" w:space="0"/>
            </w:tcBorders>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2</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3</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4</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5</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6</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78" w:type="dxa"/>
            <w:noWrap w:val="0"/>
            <w:vAlign w:val="center"/>
          </w:tcPr>
          <w:p>
            <w:pPr>
              <w:spacing w:line="400" w:lineRule="exact"/>
              <w:jc w:val="center"/>
              <w:rPr>
                <w:rFonts w:hint="eastAsia"/>
                <w:color w:val="auto"/>
                <w:highlight w:val="none"/>
              </w:rPr>
            </w:pPr>
          </w:p>
        </w:tc>
        <w:tc>
          <w:tcPr>
            <w:tcW w:w="1966"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adjustRightInd w:val="0"/>
        <w:snapToGrid w:val="0"/>
        <w:spacing w:line="360" w:lineRule="auto"/>
        <w:rPr>
          <w:rFonts w:hint="eastAsia"/>
          <w:bCs/>
          <w:color w:val="auto"/>
          <w:highlight w:val="none"/>
        </w:rPr>
      </w:pPr>
      <w:r>
        <w:rPr>
          <w:rFonts w:hint="eastAsia"/>
          <w:bCs/>
          <w:color w:val="auto"/>
          <w:highlight w:val="none"/>
        </w:rPr>
        <w:t>备注：</w:t>
      </w:r>
    </w:p>
    <w:p>
      <w:pPr>
        <w:numPr>
          <w:ilvl w:val="0"/>
          <w:numId w:val="179"/>
        </w:numPr>
        <w:adjustRightInd w:val="0"/>
        <w:snapToGrid w:val="0"/>
        <w:spacing w:line="360" w:lineRule="auto"/>
        <w:rPr>
          <w:rFonts w:hint="eastAsia" w:ascii="宋体" w:hAnsi="宋体" w:cs="宋体"/>
          <w:bCs/>
          <w:color w:val="auto"/>
          <w:highlight w:val="none"/>
        </w:rPr>
      </w:pPr>
      <w:r>
        <w:rPr>
          <w:rFonts w:hint="eastAsia" w:ascii="宋体" w:hAnsi="宋体" w:cs="宋体"/>
          <w:color w:val="auto"/>
          <w:szCs w:val="21"/>
          <w:highlight w:val="none"/>
        </w:rPr>
        <w:t>根据评分表的要求提交相应资料</w:t>
      </w:r>
      <w:r>
        <w:rPr>
          <w:rFonts w:hint="eastAsia" w:ascii="宋体" w:hAnsi="宋体" w:cs="宋体"/>
          <w:bCs/>
          <w:color w:val="auto"/>
          <w:highlight w:val="none"/>
        </w:rPr>
        <w:t>。</w:t>
      </w:r>
    </w:p>
    <w:p>
      <w:pPr>
        <w:numPr>
          <w:ilvl w:val="0"/>
          <w:numId w:val="179"/>
        </w:num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如本表格式内容不能满足需要，投标人可根据本表格式自行扩展填写，但必须体现以上内容。</w:t>
      </w:r>
    </w:p>
    <w:p>
      <w:pPr>
        <w:spacing w:line="500" w:lineRule="exact"/>
        <w:rPr>
          <w:rFonts w:hint="eastAsia" w:ascii="宋体" w:hAnsi="宋体"/>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165"/>
        </w:numPr>
        <w:spacing w:line="440" w:lineRule="exact"/>
        <w:rPr>
          <w:rFonts w:hint="eastAsia"/>
          <w:color w:val="auto"/>
          <w:spacing w:val="4"/>
          <w:highlight w:val="none"/>
        </w:rPr>
      </w:pPr>
      <w:r>
        <w:rPr>
          <w:color w:val="auto"/>
          <w:spacing w:val="4"/>
          <w:highlight w:val="none"/>
          <w:u w:val="single"/>
        </w:rPr>
        <w:br w:type="page"/>
      </w:r>
    </w:p>
    <w:bookmarkEnd w:id="532"/>
    <w:bookmarkEnd w:id="533"/>
    <w:p>
      <w:pPr>
        <w:pStyle w:val="4"/>
        <w:numPr>
          <w:ilvl w:val="1"/>
          <w:numId w:val="122"/>
        </w:numPr>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eastAsia="zh-CN"/>
        </w:rPr>
        <w:t>项目负责人</w:t>
      </w:r>
      <w:r>
        <w:rPr>
          <w:rFonts w:hint="eastAsia"/>
          <w:b w:val="0"/>
          <w:color w:val="auto"/>
          <w:highlight w:val="none"/>
        </w:rPr>
        <w:t>业绩情况一览表</w:t>
      </w:r>
    </w:p>
    <w:p>
      <w:pPr>
        <w:spacing w:after="156" w:afterLines="50"/>
        <w:jc w:val="center"/>
        <w:outlineLvl w:val="2"/>
        <w:rPr>
          <w:rFonts w:hint="eastAsia" w:eastAsia="宋体"/>
          <w:color w:val="auto"/>
          <w:highlight w:val="none"/>
          <w:lang w:eastAsia="zh-CN"/>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p>
    <w:tbl>
      <w:tblPr>
        <w:tblStyle w:val="25"/>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136"/>
        <w:gridCol w:w="1155"/>
        <w:gridCol w:w="1095"/>
        <w:gridCol w:w="1275"/>
        <w:gridCol w:w="1295"/>
        <w:gridCol w:w="1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noWrap w:val="0"/>
            <w:vAlign w:val="center"/>
          </w:tcPr>
          <w:p>
            <w:pPr>
              <w:adjustRightInd w:val="0"/>
              <w:snapToGrid w:val="0"/>
              <w:ind w:left="-69" w:leftChars="-33" w:right="-97" w:rightChars="-46"/>
              <w:jc w:val="center"/>
              <w:rPr>
                <w:rFonts w:hint="eastAsia"/>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业主名称</w:t>
            </w:r>
          </w:p>
        </w:tc>
        <w:tc>
          <w:tcPr>
            <w:tcW w:w="113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项目名称</w:t>
            </w:r>
          </w:p>
        </w:tc>
        <w:tc>
          <w:tcPr>
            <w:tcW w:w="115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服务内容</w:t>
            </w:r>
          </w:p>
        </w:tc>
        <w:tc>
          <w:tcPr>
            <w:tcW w:w="109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合同总价</w:t>
            </w:r>
          </w:p>
        </w:tc>
        <w:tc>
          <w:tcPr>
            <w:tcW w:w="127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签约及完成时间</w:t>
            </w:r>
          </w:p>
        </w:tc>
        <w:tc>
          <w:tcPr>
            <w:tcW w:w="129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单位联系人及电话</w:t>
            </w:r>
          </w:p>
        </w:tc>
        <w:tc>
          <w:tcPr>
            <w:tcW w:w="1949"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rFonts w:hint="eastAsia"/>
                <w:color w:val="auto"/>
                <w:highlight w:val="none"/>
              </w:rPr>
            </w:pPr>
            <w:r>
              <w:rPr>
                <w:rFonts w:hint="eastAsia"/>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tcBorders>
              <w:top w:val="double" w:color="auto"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w:t>
            </w:r>
          </w:p>
        </w:tc>
        <w:tc>
          <w:tcPr>
            <w:tcW w:w="1260" w:type="dxa"/>
            <w:tcBorders>
              <w:top w:val="double" w:color="auto" w:sz="4" w:space="0"/>
            </w:tcBorders>
            <w:noWrap w:val="0"/>
            <w:vAlign w:val="center"/>
          </w:tcPr>
          <w:p>
            <w:pPr>
              <w:spacing w:line="400" w:lineRule="exact"/>
              <w:jc w:val="center"/>
              <w:rPr>
                <w:rFonts w:hint="eastAsia"/>
                <w:color w:val="auto"/>
                <w:highlight w:val="none"/>
              </w:rPr>
            </w:pPr>
          </w:p>
        </w:tc>
        <w:tc>
          <w:tcPr>
            <w:tcW w:w="1136" w:type="dxa"/>
            <w:tcBorders>
              <w:top w:val="double" w:color="auto" w:sz="4" w:space="0"/>
            </w:tcBorders>
            <w:noWrap w:val="0"/>
            <w:vAlign w:val="center"/>
          </w:tcPr>
          <w:p>
            <w:pPr>
              <w:spacing w:line="400" w:lineRule="exact"/>
              <w:jc w:val="center"/>
              <w:rPr>
                <w:rFonts w:hint="eastAsia"/>
                <w:color w:val="auto"/>
                <w:highlight w:val="none"/>
              </w:rPr>
            </w:pPr>
          </w:p>
        </w:tc>
        <w:tc>
          <w:tcPr>
            <w:tcW w:w="1155" w:type="dxa"/>
            <w:tcBorders>
              <w:top w:val="double" w:color="auto" w:sz="4" w:space="0"/>
            </w:tcBorders>
            <w:noWrap w:val="0"/>
            <w:vAlign w:val="center"/>
          </w:tcPr>
          <w:p>
            <w:pPr>
              <w:spacing w:line="400" w:lineRule="exact"/>
              <w:jc w:val="center"/>
              <w:rPr>
                <w:rFonts w:hint="eastAsia"/>
                <w:color w:val="auto"/>
                <w:highlight w:val="none"/>
              </w:rPr>
            </w:pPr>
          </w:p>
        </w:tc>
        <w:tc>
          <w:tcPr>
            <w:tcW w:w="1095" w:type="dxa"/>
            <w:tcBorders>
              <w:top w:val="double" w:color="auto" w:sz="4" w:space="0"/>
            </w:tcBorders>
            <w:noWrap w:val="0"/>
            <w:vAlign w:val="center"/>
          </w:tcPr>
          <w:p>
            <w:pPr>
              <w:spacing w:line="400" w:lineRule="exact"/>
              <w:jc w:val="center"/>
              <w:rPr>
                <w:rFonts w:hint="eastAsia"/>
                <w:color w:val="auto"/>
                <w:highlight w:val="none"/>
              </w:rPr>
            </w:pPr>
          </w:p>
        </w:tc>
        <w:tc>
          <w:tcPr>
            <w:tcW w:w="1275" w:type="dxa"/>
            <w:tcBorders>
              <w:top w:val="double" w:color="auto" w:sz="4" w:space="0"/>
            </w:tcBorders>
            <w:noWrap w:val="0"/>
            <w:vAlign w:val="center"/>
          </w:tcPr>
          <w:p>
            <w:pPr>
              <w:spacing w:line="400" w:lineRule="exact"/>
              <w:jc w:val="center"/>
              <w:rPr>
                <w:rFonts w:hint="eastAsia"/>
                <w:color w:val="auto"/>
                <w:highlight w:val="none"/>
              </w:rPr>
            </w:pPr>
          </w:p>
        </w:tc>
        <w:tc>
          <w:tcPr>
            <w:tcW w:w="1295" w:type="dxa"/>
            <w:tcBorders>
              <w:top w:val="double" w:color="auto" w:sz="4" w:space="0"/>
            </w:tcBorders>
            <w:noWrap w:val="0"/>
            <w:vAlign w:val="center"/>
          </w:tcPr>
          <w:p>
            <w:pPr>
              <w:spacing w:line="400" w:lineRule="exact"/>
              <w:jc w:val="center"/>
              <w:rPr>
                <w:rFonts w:hint="eastAsia"/>
                <w:color w:val="auto"/>
                <w:highlight w:val="none"/>
              </w:rPr>
            </w:pPr>
          </w:p>
        </w:tc>
        <w:tc>
          <w:tcPr>
            <w:tcW w:w="1949" w:type="dxa"/>
            <w:tcBorders>
              <w:top w:val="double" w:color="auto" w:sz="4" w:space="0"/>
            </w:tcBorders>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2</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3</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4</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5</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6</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7</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400" w:lineRule="exact"/>
              <w:jc w:val="center"/>
              <w:rPr>
                <w:rFonts w:hint="eastAsia"/>
                <w:color w:val="auto"/>
                <w:highlight w:val="none"/>
              </w:rPr>
            </w:pPr>
            <w:r>
              <w:rPr>
                <w:rFonts w:hint="eastAsia" w:ascii="宋体" w:hAnsi="宋体" w:eastAsia="宋体" w:cs="宋体"/>
                <w:color w:val="auto"/>
                <w:highlight w:val="none"/>
              </w:rPr>
              <w:t>8</w:t>
            </w:r>
          </w:p>
        </w:tc>
        <w:tc>
          <w:tcPr>
            <w:tcW w:w="1260" w:type="dxa"/>
            <w:noWrap w:val="0"/>
            <w:vAlign w:val="center"/>
          </w:tcPr>
          <w:p>
            <w:pPr>
              <w:spacing w:line="400" w:lineRule="exact"/>
              <w:jc w:val="center"/>
              <w:rPr>
                <w:rFonts w:hint="eastAsia"/>
                <w:color w:val="auto"/>
                <w:highlight w:val="none"/>
              </w:rPr>
            </w:pPr>
          </w:p>
        </w:tc>
        <w:tc>
          <w:tcPr>
            <w:tcW w:w="1136" w:type="dxa"/>
            <w:noWrap w:val="0"/>
            <w:vAlign w:val="center"/>
          </w:tcPr>
          <w:p>
            <w:pPr>
              <w:spacing w:line="400" w:lineRule="exact"/>
              <w:jc w:val="center"/>
              <w:rPr>
                <w:rFonts w:hint="eastAsia"/>
                <w:color w:val="auto"/>
                <w:highlight w:val="none"/>
              </w:rPr>
            </w:pPr>
          </w:p>
        </w:tc>
        <w:tc>
          <w:tcPr>
            <w:tcW w:w="1155" w:type="dxa"/>
            <w:noWrap w:val="0"/>
            <w:vAlign w:val="center"/>
          </w:tcPr>
          <w:p>
            <w:pPr>
              <w:spacing w:line="400" w:lineRule="exact"/>
              <w:jc w:val="center"/>
              <w:rPr>
                <w:rFonts w:hint="eastAsia"/>
                <w:color w:val="auto"/>
                <w:highlight w:val="none"/>
              </w:rPr>
            </w:pPr>
          </w:p>
        </w:tc>
        <w:tc>
          <w:tcPr>
            <w:tcW w:w="1095" w:type="dxa"/>
            <w:noWrap w:val="0"/>
            <w:vAlign w:val="center"/>
          </w:tcPr>
          <w:p>
            <w:pPr>
              <w:spacing w:line="400" w:lineRule="exact"/>
              <w:jc w:val="center"/>
              <w:rPr>
                <w:rFonts w:hint="eastAsia"/>
                <w:color w:val="auto"/>
                <w:highlight w:val="none"/>
              </w:rPr>
            </w:pPr>
          </w:p>
        </w:tc>
        <w:tc>
          <w:tcPr>
            <w:tcW w:w="1275" w:type="dxa"/>
            <w:noWrap w:val="0"/>
            <w:vAlign w:val="center"/>
          </w:tcPr>
          <w:p>
            <w:pPr>
              <w:spacing w:line="400" w:lineRule="exact"/>
              <w:jc w:val="center"/>
              <w:rPr>
                <w:rFonts w:hint="eastAsia"/>
                <w:color w:val="auto"/>
                <w:highlight w:val="none"/>
              </w:rPr>
            </w:pPr>
          </w:p>
        </w:tc>
        <w:tc>
          <w:tcPr>
            <w:tcW w:w="1295" w:type="dxa"/>
            <w:noWrap w:val="0"/>
            <w:vAlign w:val="center"/>
          </w:tcPr>
          <w:p>
            <w:pPr>
              <w:spacing w:line="400" w:lineRule="exact"/>
              <w:jc w:val="center"/>
              <w:rPr>
                <w:rFonts w:hint="eastAsia"/>
                <w:color w:val="auto"/>
                <w:highlight w:val="none"/>
              </w:rPr>
            </w:pPr>
          </w:p>
        </w:tc>
        <w:tc>
          <w:tcPr>
            <w:tcW w:w="1949" w:type="dxa"/>
            <w:noWrap w:val="0"/>
            <w:vAlign w:val="center"/>
          </w:tcPr>
          <w:p>
            <w:pPr>
              <w:adjustRightInd w:val="0"/>
              <w:snapToGrid w:val="0"/>
              <w:ind w:left="-84" w:leftChars="-40" w:right="-107" w:rightChars="-51"/>
              <w:jc w:val="center"/>
              <w:rPr>
                <w:rFonts w:hint="eastAsia"/>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adjustRightInd w:val="0"/>
        <w:snapToGrid w:val="0"/>
        <w:spacing w:line="360" w:lineRule="auto"/>
        <w:rPr>
          <w:rFonts w:hint="eastAsia"/>
          <w:bCs/>
          <w:color w:val="auto"/>
          <w:highlight w:val="none"/>
        </w:rPr>
      </w:pPr>
      <w:r>
        <w:rPr>
          <w:rFonts w:hint="eastAsia"/>
          <w:bCs/>
          <w:color w:val="auto"/>
          <w:highlight w:val="none"/>
        </w:rPr>
        <w:t>备注：</w:t>
      </w:r>
    </w:p>
    <w:p>
      <w:pPr>
        <w:numPr>
          <w:ilvl w:val="0"/>
          <w:numId w:val="180"/>
        </w:numPr>
        <w:adjustRightInd w:val="0"/>
        <w:snapToGrid w:val="0"/>
        <w:spacing w:line="360" w:lineRule="auto"/>
        <w:rPr>
          <w:rFonts w:hint="eastAsia" w:ascii="宋体" w:hAnsi="宋体" w:cs="宋体"/>
          <w:bCs/>
          <w:color w:val="auto"/>
          <w:highlight w:val="none"/>
        </w:rPr>
      </w:pPr>
      <w:r>
        <w:rPr>
          <w:rFonts w:hint="eastAsia" w:ascii="宋体" w:hAnsi="宋体" w:cs="宋体"/>
          <w:color w:val="auto"/>
          <w:szCs w:val="21"/>
          <w:highlight w:val="none"/>
        </w:rPr>
        <w:t>根据评分表的要求提交相应资料</w:t>
      </w:r>
      <w:r>
        <w:rPr>
          <w:rFonts w:hint="eastAsia" w:ascii="宋体" w:hAnsi="宋体" w:cs="宋体"/>
          <w:bCs/>
          <w:color w:val="auto"/>
          <w:highlight w:val="none"/>
        </w:rPr>
        <w:t>。</w:t>
      </w:r>
    </w:p>
    <w:p>
      <w:pPr>
        <w:numPr>
          <w:ilvl w:val="0"/>
          <w:numId w:val="180"/>
        </w:num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如本表格式内容不能满足需要，投标人可根据本表格式自行扩展填写，但必须体现以上内容。</w:t>
      </w:r>
    </w:p>
    <w:p>
      <w:pPr>
        <w:spacing w:line="500" w:lineRule="exact"/>
        <w:rPr>
          <w:rFonts w:hint="eastAsia" w:ascii="宋体" w:hAnsi="宋体"/>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165"/>
        </w:numPr>
        <w:spacing w:line="440" w:lineRule="exact"/>
        <w:rPr>
          <w:rFonts w:hint="eastAsia"/>
          <w:color w:val="auto"/>
          <w:highlight w:val="none"/>
        </w:rPr>
      </w:pPr>
      <w:r>
        <w:rPr>
          <w:rFonts w:ascii="宋体"/>
          <w:color w:val="auto"/>
          <w:highlight w:val="none"/>
        </w:rPr>
        <w:br w:type="page"/>
      </w:r>
    </w:p>
    <w:p>
      <w:pPr>
        <w:pStyle w:val="4"/>
        <w:numPr>
          <w:ilvl w:val="1"/>
          <w:numId w:val="122"/>
        </w:numPr>
        <w:adjustRightInd w:val="0"/>
        <w:snapToGrid w:val="0"/>
        <w:spacing w:before="0" w:after="0" w:line="360" w:lineRule="auto"/>
        <w:jc w:val="center"/>
        <w:rPr>
          <w:b w:val="0"/>
          <w:bCs w:val="0"/>
          <w:color w:val="auto"/>
          <w:highlight w:val="none"/>
        </w:rPr>
      </w:pPr>
      <w:r>
        <w:rPr>
          <w:rFonts w:hint="eastAsia"/>
          <w:b w:val="0"/>
          <w:bCs w:val="0"/>
          <w:color w:val="auto"/>
          <w:highlight w:val="none"/>
        </w:rPr>
        <w:t>用户需求书响应一览表</w:t>
      </w:r>
    </w:p>
    <w:p>
      <w:pPr>
        <w:spacing w:after="156" w:afterLines="50"/>
        <w:jc w:val="center"/>
        <w:outlineLvl w:val="2"/>
        <w:rPr>
          <w:rFonts w:hint="eastAsia" w:eastAsia="宋体"/>
          <w:color w:val="auto"/>
          <w:highlight w:val="none"/>
          <w:lang w:eastAsia="zh-CN"/>
        </w:rPr>
      </w:pPr>
      <w:r>
        <w:rPr>
          <w:rFonts w:hint="eastAsia" w:ascii="宋体" w:hAnsi="宋体"/>
          <w:color w:val="auto"/>
          <w:highlight w:val="none"/>
        </w:rPr>
        <w:t>投标人名称：                              包组号：          项目编号：</w:t>
      </w:r>
      <w:r>
        <w:rPr>
          <w:rFonts w:hint="eastAsia" w:ascii="宋体" w:hAnsi="宋体"/>
          <w:color w:val="auto"/>
          <w:highlight w:val="none"/>
          <w:lang w:eastAsia="zh-CN"/>
        </w:rPr>
        <w:t>JG2022(SZ)XZ0013</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36"/>
        <w:gridCol w:w="2190"/>
        <w:gridCol w:w="2010"/>
        <w:gridCol w:w="15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序号</w:t>
            </w:r>
          </w:p>
        </w:tc>
        <w:tc>
          <w:tcPr>
            <w:tcW w:w="2736"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招标文件条款描述</w:t>
            </w:r>
          </w:p>
        </w:tc>
        <w:tc>
          <w:tcPr>
            <w:tcW w:w="2190"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投标人响应描述</w:t>
            </w:r>
          </w:p>
          <w:p>
            <w:pPr>
              <w:adjustRightInd w:val="0"/>
              <w:snapToGrid w:val="0"/>
              <w:ind w:left="-71" w:leftChars="-34" w:right="-73" w:rightChars="-35"/>
              <w:jc w:val="center"/>
              <w:rPr>
                <w:rFonts w:ascii="宋体" w:hAnsi="宋体"/>
                <w:color w:val="auto"/>
                <w:highlight w:val="none"/>
              </w:rPr>
            </w:pPr>
            <w:r>
              <w:rPr>
                <w:rFonts w:hint="eastAsia" w:ascii="宋体" w:hAnsi="宋体"/>
                <w:b/>
                <w:bCs/>
                <w:color w:val="auto"/>
                <w:szCs w:val="21"/>
                <w:highlight w:val="none"/>
              </w:rPr>
              <w:t>(投标人应按响应服务实际数据填写)</w:t>
            </w:r>
          </w:p>
        </w:tc>
        <w:tc>
          <w:tcPr>
            <w:tcW w:w="2010"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偏离情况说明</w:t>
            </w:r>
          </w:p>
          <w:p>
            <w:pPr>
              <w:adjustRightInd w:val="0"/>
              <w:snapToGrid w:val="0"/>
              <w:jc w:val="center"/>
              <w:rPr>
                <w:rFonts w:ascii="宋体" w:hAnsi="宋体"/>
                <w:b/>
                <w:color w:val="auto"/>
                <w:highlight w:val="none"/>
              </w:rPr>
            </w:pPr>
            <w:r>
              <w:rPr>
                <w:rFonts w:hint="eastAsia" w:ascii="宋体" w:hAnsi="宋体"/>
                <w:b/>
                <w:color w:val="auto"/>
                <w:highlight w:val="none"/>
              </w:rPr>
              <w:t>（正偏离/完全响应/负偏离）</w:t>
            </w:r>
          </w:p>
        </w:tc>
        <w:tc>
          <w:tcPr>
            <w:tcW w:w="1555"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服务内容</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ascii="宋体" w:hAnsi="宋体"/>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勘察说明</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ascii="宋体" w:hAnsi="宋体"/>
                <w:color w:val="auto"/>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勘察任务</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勘察范围</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工程地质测绘与调查</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ascii="宋体" w:hAnsi="宋体"/>
                <w:color w:val="auto"/>
                <w:highlight w:val="none"/>
              </w:rPr>
            </w:pPr>
            <w:r>
              <w:rPr>
                <w:rFonts w:hint="eastAsia" w:ascii="宋体" w:hAnsi="宋体"/>
                <w:color w:val="auto"/>
                <w:highlight w:val="none"/>
                <w:lang w:eastAsia="zh-CN"/>
              </w:rPr>
              <w:t>工程地质勘察</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专项勘察</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应提交的勘察资料和成果</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81"/>
              </w:numPr>
              <w:jc w:val="center"/>
              <w:rPr>
                <w:rFonts w:ascii="宋体" w:hAnsi="宋体"/>
                <w:color w:val="auto"/>
                <w:szCs w:val="21"/>
                <w:highlight w:val="none"/>
              </w:rPr>
            </w:pPr>
          </w:p>
        </w:tc>
        <w:tc>
          <w:tcPr>
            <w:tcW w:w="2736" w:type="dxa"/>
            <w:noWrap w:val="0"/>
            <w:vAlign w:val="center"/>
          </w:tcPr>
          <w:p>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其他</w:t>
            </w:r>
          </w:p>
        </w:tc>
        <w:tc>
          <w:tcPr>
            <w:tcW w:w="2190" w:type="dxa"/>
            <w:noWrap w:val="0"/>
            <w:vAlign w:val="center"/>
          </w:tcPr>
          <w:p>
            <w:pPr>
              <w:spacing w:line="400" w:lineRule="exact"/>
              <w:jc w:val="center"/>
              <w:rPr>
                <w:rFonts w:ascii="宋体" w:hAnsi="宋体"/>
                <w:color w:val="auto"/>
                <w:highlight w:val="none"/>
              </w:rPr>
            </w:pPr>
          </w:p>
        </w:tc>
        <w:tc>
          <w:tcPr>
            <w:tcW w:w="2010" w:type="dxa"/>
            <w:noWrap w:val="0"/>
            <w:vAlign w:val="center"/>
          </w:tcPr>
          <w:p>
            <w:pPr>
              <w:spacing w:line="400" w:lineRule="exact"/>
              <w:jc w:val="center"/>
              <w:rPr>
                <w:rFonts w:ascii="宋体" w:hAnsi="宋体"/>
                <w:color w:val="auto"/>
                <w:highlight w:val="none"/>
              </w:rPr>
            </w:pPr>
          </w:p>
        </w:tc>
        <w:tc>
          <w:tcPr>
            <w:tcW w:w="1555" w:type="dxa"/>
            <w:noWrap w:val="0"/>
            <w:vAlign w:val="top"/>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rPr>
              <w:t>《投标文件》</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adjustRightInd w:val="0"/>
        <w:snapToGrid w:val="0"/>
        <w:spacing w:line="460" w:lineRule="exact"/>
        <w:rPr>
          <w:rFonts w:hint="eastAsia" w:ascii="宋体" w:hAnsi="宋体"/>
          <w:color w:val="auto"/>
          <w:szCs w:val="21"/>
          <w:highlight w:val="none"/>
        </w:rPr>
      </w:pPr>
      <w:r>
        <w:rPr>
          <w:rFonts w:hint="eastAsia" w:ascii="宋体" w:hAnsi="宋体"/>
          <w:color w:val="auto"/>
          <w:szCs w:val="21"/>
          <w:highlight w:val="none"/>
        </w:rPr>
        <w:t>备注：</w:t>
      </w:r>
    </w:p>
    <w:p>
      <w:pPr>
        <w:numPr>
          <w:ilvl w:val="0"/>
          <w:numId w:val="182"/>
        </w:numPr>
        <w:adjustRightInd w:val="0"/>
        <w:snapToGrid w:val="0"/>
        <w:spacing w:line="460" w:lineRule="exact"/>
        <w:rPr>
          <w:rFonts w:ascii="宋体" w:hAnsi="宋体"/>
          <w:color w:val="auto"/>
          <w:szCs w:val="21"/>
          <w:highlight w:val="none"/>
        </w:rPr>
      </w:pPr>
      <w:r>
        <w:rPr>
          <w:rFonts w:hint="eastAsia" w:ascii="宋体" w:hAnsi="宋体" w:cs="宋体"/>
          <w:color w:val="auto"/>
          <w:kern w:val="0"/>
          <w:szCs w:val="21"/>
          <w:highlight w:val="none"/>
        </w:rPr>
        <w:t>用户需求中要求提供的相关证明资料必须一并提供，否则视为不响应。</w:t>
      </w:r>
    </w:p>
    <w:p>
      <w:pPr>
        <w:numPr>
          <w:ilvl w:val="0"/>
          <w:numId w:val="182"/>
        </w:numPr>
        <w:adjustRightInd w:val="0"/>
        <w:snapToGrid w:val="0"/>
        <w:spacing w:line="460" w:lineRule="exact"/>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highlight w:val="none"/>
        </w:rPr>
        <w:t>原条款描述</w:t>
      </w:r>
      <w:r>
        <w:rPr>
          <w:rFonts w:hint="eastAsia" w:ascii="宋体" w:hAnsi="宋体"/>
          <w:b/>
          <w:color w:val="auto"/>
          <w:szCs w:val="21"/>
          <w:highlight w:val="none"/>
        </w:rPr>
        <w:t>”的条款与用户需求中的条款描述不一致的，以用户需求中规定的为准。</w:t>
      </w: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20" w:lineRule="exact"/>
        <w:rPr>
          <w:rFonts w:hint="eastAsia"/>
          <w:color w:val="auto"/>
          <w:spacing w:val="4"/>
          <w:highlight w:val="none"/>
          <w:u w:val="single"/>
        </w:rPr>
      </w:pPr>
    </w:p>
    <w:p>
      <w:pPr>
        <w:shd w:val="clear" w:color="auto" w:fill="auto"/>
        <w:spacing w:line="300" w:lineRule="auto"/>
        <w:jc w:val="center"/>
        <w:rPr>
          <w:rFonts w:hint="eastAsia" w:ascii="宋体" w:hAnsi="宋体" w:eastAsia="宋体" w:cs="宋体"/>
          <w:b/>
          <w:color w:val="auto"/>
          <w:sz w:val="28"/>
          <w:szCs w:val="28"/>
          <w:highlight w:val="none"/>
        </w:rPr>
      </w:pPr>
    </w:p>
    <w:p>
      <w:pPr>
        <w:numPr>
          <w:ilvl w:val="0"/>
          <w:numId w:val="165"/>
        </w:numPr>
        <w:spacing w:line="440" w:lineRule="exact"/>
        <w:rPr>
          <w:rFonts w:hint="eastAsia" w:ascii="宋体" w:hAnsi="宋体" w:eastAsia="宋体" w:cs="宋体"/>
          <w:b/>
          <w:color w:val="auto"/>
          <w:sz w:val="28"/>
          <w:szCs w:val="28"/>
          <w:highlight w:val="none"/>
        </w:rPr>
      </w:pPr>
    </w:p>
    <w:p>
      <w:pPr>
        <w:pStyle w:val="4"/>
        <w:numPr>
          <w:ilvl w:val="1"/>
          <w:numId w:val="122"/>
        </w:numPr>
        <w:adjustRightInd w:val="0"/>
        <w:snapToGrid w:val="0"/>
        <w:spacing w:before="0" w:after="0" w:line="360" w:lineRule="auto"/>
        <w:jc w:val="center"/>
        <w:rPr>
          <w:rFonts w:hint="eastAsia" w:ascii="Arial" w:hAnsi="Arial" w:cs="Times New Roman"/>
          <w:b/>
          <w:bCs/>
          <w:color w:val="auto"/>
          <w:highlight w:val="none"/>
        </w:rPr>
      </w:pPr>
      <w:r>
        <w:rPr>
          <w:rFonts w:hint="eastAsia" w:ascii="Arial" w:hAnsi="Arial" w:cs="Times New Roman"/>
          <w:b/>
          <w:bCs/>
          <w:color w:val="auto"/>
          <w:highlight w:val="none"/>
        </w:rPr>
        <w:t>投标保证金递交证明文件</w:t>
      </w:r>
    </w:p>
    <w:p>
      <w:pPr>
        <w:shd w:val="clear" w:color="auto" w:fill="auto"/>
        <w:spacing w:line="300" w:lineRule="auto"/>
        <w:rPr>
          <w:rFonts w:ascii="宋体" w:hAnsi="宋体" w:eastAsia="宋体" w:cs="宋体"/>
          <w:color w:val="auto"/>
          <w:szCs w:val="21"/>
          <w:highlight w:val="none"/>
          <w:u w:val="single"/>
        </w:rPr>
      </w:pPr>
    </w:p>
    <w:p>
      <w:pPr>
        <w:shd w:val="clear" w:color="auto" w:fill="auto"/>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    </w:t>
      </w:r>
      <w:r>
        <w:rPr>
          <w:rFonts w:hint="eastAsia" w:ascii="宋体" w:hAnsi="宋体" w:eastAsia="宋体" w:cs="宋体"/>
          <w:color w:val="auto"/>
          <w:sz w:val="21"/>
          <w:szCs w:val="21"/>
          <w:highlight w:val="none"/>
        </w:rPr>
        <w:t>：</w:t>
      </w:r>
    </w:p>
    <w:p>
      <w:pPr>
        <w:shd w:val="clear" w:color="auto" w:fill="auto"/>
        <w:spacing w:line="360" w:lineRule="auto"/>
        <w:ind w:left="105" w:hanging="105" w:hangingChars="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（投标人名称) </w:t>
      </w:r>
      <w:r>
        <w:rPr>
          <w:rFonts w:hint="eastAsia" w:ascii="宋体" w:hAnsi="宋体" w:eastAsia="宋体" w:cs="宋体"/>
          <w:color w:val="auto"/>
          <w:sz w:val="21"/>
          <w:szCs w:val="21"/>
          <w:highlight w:val="none"/>
        </w:rPr>
        <w:t>参加贵方组织的(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、项目编号为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包组号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的招标活动。按招标文件的规定，已通过</w:t>
      </w:r>
      <w:r>
        <w:rPr>
          <w:rFonts w:hint="eastAsia" w:ascii="宋体" w:hAnsi="宋体" w:eastAsia="宋体" w:cs="宋体"/>
          <w:color w:val="auto"/>
          <w:sz w:val="21"/>
          <w:szCs w:val="21"/>
          <w:highlight w:val="none"/>
          <w:u w:val="single"/>
        </w:rPr>
        <w:t>（银行转账、银行汇款</w:t>
      </w:r>
      <w:r>
        <w:rPr>
          <w:rFonts w:hint="eastAsia" w:ascii="宋体" w:hAnsi="宋体" w:eastAsia="宋体" w:cs="宋体"/>
          <w:color w:val="auto"/>
          <w:sz w:val="21"/>
          <w:szCs w:val="21"/>
          <w:highlight w:val="none"/>
          <w:u w:val="single"/>
          <w:lang w:eastAsia="zh-CN"/>
        </w:rPr>
        <w:t>、保函、保单</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形式交纳人民币</w:t>
      </w:r>
      <w:r>
        <w:rPr>
          <w:rFonts w:hint="eastAsia" w:ascii="宋体" w:hAnsi="宋体" w:eastAsia="宋体" w:cs="宋体"/>
          <w:color w:val="auto"/>
          <w:sz w:val="21"/>
          <w:szCs w:val="21"/>
          <w:highlight w:val="none"/>
          <w:u w:val="single"/>
        </w:rPr>
        <w:t xml:space="preserve">（大写）  　　  </w:t>
      </w:r>
      <w:r>
        <w:rPr>
          <w:rFonts w:hint="eastAsia" w:ascii="宋体" w:hAnsi="宋体" w:eastAsia="宋体" w:cs="宋体"/>
          <w:color w:val="auto"/>
          <w:sz w:val="21"/>
          <w:szCs w:val="21"/>
          <w:highlight w:val="none"/>
        </w:rPr>
        <w:t>元的投标保证金。</w:t>
      </w:r>
    </w:p>
    <w:p>
      <w:pPr>
        <w:shd w:val="clear" w:color="auto" w:fill="auto"/>
        <w:spacing w:line="360" w:lineRule="auto"/>
        <w:ind w:firstLine="420" w:firstLineChars="200"/>
        <w:rPr>
          <w:rFonts w:ascii="宋体" w:hAnsi="宋体" w:eastAsia="宋体" w:cs="宋体"/>
          <w:color w:val="auto"/>
          <w:sz w:val="21"/>
          <w:szCs w:val="21"/>
          <w:highlight w:val="none"/>
        </w:rPr>
      </w:pPr>
    </w:p>
    <w:p>
      <w:pPr>
        <w:shd w:val="clear" w:color="auto" w:fill="auto"/>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p>
    <w:p>
      <w:pPr>
        <w:shd w:val="clear" w:color="auto" w:fill="auto"/>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hd w:val="clear" w:color="auto" w:fill="auto"/>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hd w:val="clear" w:color="auto" w:fill="auto"/>
        <w:adjustRightInd w:val="0"/>
        <w:snapToGrid w:val="0"/>
        <w:spacing w:line="360" w:lineRule="auto"/>
        <w:rPr>
          <w:rFonts w:ascii="宋体" w:hAnsi="宋体" w:eastAsia="宋体" w:cs="宋体"/>
          <w:color w:val="auto"/>
          <w:sz w:val="21"/>
          <w:szCs w:val="21"/>
          <w:highlight w:val="none"/>
        </w:rPr>
      </w:pPr>
    </w:p>
    <w:p>
      <w:pPr>
        <w:shd w:val="clear" w:color="auto" w:fill="auto"/>
        <w:adjustRightInd w:val="0"/>
        <w:snapToGrid w:val="0"/>
        <w:spacing w:line="360" w:lineRule="auto"/>
        <w:rPr>
          <w:rFonts w:ascii="宋体" w:hAnsi="宋体" w:eastAsia="宋体" w:cs="宋体"/>
          <w:color w:val="auto"/>
          <w:sz w:val="21"/>
          <w:szCs w:val="21"/>
          <w:highlight w:val="none"/>
        </w:rPr>
      </w:pPr>
    </w:p>
    <w:p>
      <w:pPr>
        <w:shd w:val="clear" w:color="auto" w:fill="auto"/>
        <w:adjustRightInd w:val="0"/>
        <w:snapToGrid w:val="0"/>
        <w:spacing w:line="360" w:lineRule="auto"/>
        <w:rPr>
          <w:rFonts w:ascii="宋体" w:hAnsi="宋体" w:eastAsia="宋体" w:cs="宋体"/>
          <w:color w:val="auto"/>
          <w:sz w:val="21"/>
          <w:szCs w:val="21"/>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hd w:val="clear" w:color="auto" w:fill="auto"/>
        <w:spacing w:line="360" w:lineRule="auto"/>
        <w:rPr>
          <w:rFonts w:ascii="宋体" w:hAnsi="宋体" w:eastAsia="宋体" w:cs="宋体"/>
          <w:color w:val="auto"/>
          <w:sz w:val="21"/>
          <w:szCs w:val="21"/>
          <w:highlight w:val="none"/>
        </w:rPr>
      </w:pPr>
    </w:p>
    <w:p>
      <w:pPr>
        <w:shd w:val="clear" w:color="auto" w:fill="auto"/>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9063" w:type="dxa"/>
            <w:noWrap w:val="0"/>
            <w:vAlign w:val="top"/>
          </w:tcPr>
          <w:p>
            <w:pPr>
              <w:shd w:val="clear" w:color="auto" w:fill="auto"/>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粘贴转账或汇款存入的银行凭证复印件。</w:t>
            </w:r>
          </w:p>
        </w:tc>
      </w:tr>
    </w:tbl>
    <w:p>
      <w:pPr>
        <w:numPr>
          <w:ilvl w:val="0"/>
          <w:numId w:val="0"/>
        </w:numPr>
        <w:shd w:val="clear" w:color="auto" w:fill="auto"/>
        <w:spacing w:line="360" w:lineRule="auto"/>
        <w:ind w:left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w:t>
      </w:r>
    </w:p>
    <w:p>
      <w:pPr>
        <w:numPr>
          <w:ilvl w:val="0"/>
          <w:numId w:val="183"/>
        </w:numPr>
        <w:adjustRightInd w:val="0"/>
        <w:snapToGrid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本文件作为退还投标保证金的信息文件，请各投标人必须准确填写</w:t>
      </w:r>
      <w:r>
        <w:rPr>
          <w:rFonts w:hint="eastAsia" w:ascii="宋体" w:hAnsi="宋体" w:eastAsia="宋体" w:cs="宋体"/>
          <w:color w:val="auto"/>
          <w:kern w:val="0"/>
          <w:szCs w:val="21"/>
          <w:highlight w:val="none"/>
          <w:lang w:eastAsia="zh-CN"/>
        </w:rPr>
        <w:t>。</w:t>
      </w:r>
    </w:p>
    <w:p>
      <w:pPr>
        <w:numPr>
          <w:ilvl w:val="0"/>
          <w:numId w:val="183"/>
        </w:numPr>
        <w:adjustRightInd w:val="0"/>
        <w:snapToGrid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保证金退还仅按投标人名下的对公账户办理。</w:t>
      </w:r>
    </w:p>
    <w:p>
      <w:pPr>
        <w:pStyle w:val="2"/>
        <w:rPr>
          <w:rFonts w:hint="eastAsia"/>
          <w:highlight w:val="none"/>
        </w:rPr>
      </w:pPr>
    </w:p>
    <w:bookmarkEnd w:id="534"/>
    <w:p>
      <w:pPr>
        <w:snapToGrid/>
        <w:spacing w:before="0" w:beforeAutospacing="0" w:after="0" w:afterAutospacing="0" w:line="360" w:lineRule="auto"/>
        <w:ind w:firstLine="0" w:firstLineChars="0"/>
        <w:jc w:val="both"/>
        <w:textAlignment w:val="baseline"/>
        <w:rPr>
          <w:rFonts w:hint="eastAsia" w:ascii="黑体" w:hAnsi="黑体" w:eastAsia="黑体" w:cs="黑体"/>
          <w:b w:val="0"/>
          <w:i w:val="0"/>
          <w:caps w:val="0"/>
          <w:spacing w:val="0"/>
          <w:w w:val="100"/>
          <w:sz w:val="32"/>
          <w:szCs w:val="32"/>
          <w:highlight w:val="none"/>
        </w:rPr>
      </w:pPr>
    </w:p>
    <w:p>
      <w:pPr>
        <w:snapToGrid/>
        <w:spacing w:before="0" w:beforeAutospacing="0" w:after="0" w:afterAutospacing="0" w:line="360" w:lineRule="auto"/>
        <w:ind w:firstLine="0" w:firstLineChars="0"/>
        <w:jc w:val="both"/>
        <w:textAlignment w:val="baseline"/>
        <w:rPr>
          <w:rFonts w:hint="eastAsia" w:ascii="黑体" w:hAnsi="黑体" w:eastAsia="黑体" w:cs="黑体"/>
          <w:b w:val="0"/>
          <w:i w:val="0"/>
          <w:caps w:val="0"/>
          <w:spacing w:val="0"/>
          <w:w w:val="100"/>
          <w:sz w:val="32"/>
          <w:szCs w:val="32"/>
          <w:highlight w:val="none"/>
        </w:rPr>
      </w:pPr>
    </w:p>
    <w:p>
      <w:pPr>
        <w:snapToGrid/>
        <w:spacing w:before="0" w:beforeAutospacing="0" w:after="0" w:afterAutospacing="0" w:line="360" w:lineRule="auto"/>
        <w:ind w:firstLine="0" w:firstLineChars="0"/>
        <w:jc w:val="both"/>
        <w:textAlignment w:val="baseline"/>
        <w:rPr>
          <w:rFonts w:hint="eastAsia" w:ascii="黑体" w:hAnsi="黑体" w:eastAsia="黑体" w:cs="黑体"/>
          <w:b w:val="0"/>
          <w:i w:val="0"/>
          <w:caps w:val="0"/>
          <w:spacing w:val="0"/>
          <w:w w:val="100"/>
          <w:sz w:val="32"/>
          <w:szCs w:val="32"/>
          <w:highlight w:val="none"/>
          <w:lang w:val="en-US" w:eastAsia="zh-CN"/>
        </w:rPr>
      </w:pPr>
      <w:r>
        <w:rPr>
          <w:rFonts w:hint="eastAsia" w:ascii="黑体" w:hAnsi="黑体" w:eastAsia="黑体" w:cs="黑体"/>
          <w:b w:val="0"/>
          <w:i w:val="0"/>
          <w:caps w:val="0"/>
          <w:spacing w:val="0"/>
          <w:w w:val="100"/>
          <w:sz w:val="32"/>
          <w:szCs w:val="32"/>
          <w:highlight w:val="none"/>
        </w:rPr>
        <w:t>附件</w:t>
      </w:r>
      <w:r>
        <w:rPr>
          <w:rFonts w:hint="eastAsia" w:ascii="黑体" w:hAnsi="黑体" w:eastAsia="黑体" w:cs="黑体"/>
          <w:b w:val="0"/>
          <w:i w:val="0"/>
          <w:caps w:val="0"/>
          <w:spacing w:val="0"/>
          <w:w w:val="100"/>
          <w:sz w:val="32"/>
          <w:szCs w:val="32"/>
          <w:highlight w:val="none"/>
          <w:lang w:val="en-US" w:eastAsia="zh-CN"/>
        </w:rPr>
        <w:t>1</w:t>
      </w:r>
    </w:p>
    <w:p>
      <w:pPr>
        <w:snapToGrid/>
        <w:spacing w:before="0" w:beforeAutospacing="0" w:after="0" w:afterAutospacing="0" w:line="360" w:lineRule="auto"/>
        <w:jc w:val="center"/>
        <w:textAlignment w:val="baseline"/>
        <w:rPr>
          <w:rFonts w:ascii="宋体" w:hAnsi="宋体"/>
          <w:b/>
          <w:bCs/>
          <w:i w:val="0"/>
          <w:caps w:val="0"/>
          <w:spacing w:val="0"/>
          <w:w w:val="100"/>
          <w:sz w:val="32"/>
          <w:szCs w:val="32"/>
          <w:highlight w:val="none"/>
        </w:rPr>
      </w:pPr>
      <w:r>
        <w:rPr>
          <w:rFonts w:hint="eastAsia" w:ascii="宋体" w:hAnsi="宋体"/>
          <w:b/>
          <w:bCs/>
          <w:i w:val="0"/>
          <w:caps w:val="0"/>
          <w:spacing w:val="0"/>
          <w:w w:val="100"/>
          <w:sz w:val="32"/>
          <w:szCs w:val="32"/>
          <w:highlight w:val="none"/>
        </w:rPr>
        <w:t>投标保函</w:t>
      </w:r>
    </w:p>
    <w:p>
      <w:pPr>
        <w:snapToGrid/>
        <w:spacing w:before="0" w:beforeAutospacing="0" w:after="0" w:afterAutospacing="0" w:line="360" w:lineRule="auto"/>
        <w:jc w:val="center"/>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（纸质）</w:t>
      </w:r>
    </w:p>
    <w:p>
      <w:pPr>
        <w:snapToGrid/>
        <w:spacing w:before="0" w:beforeAutospacing="0" w:after="0" w:afterAutospacing="0" w:line="360" w:lineRule="auto"/>
        <w:jc w:val="right"/>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1"/>
          <w:highlight w:val="none"/>
        </w:rPr>
        <w:t>编号：</w:t>
      </w:r>
      <w:r>
        <w:rPr>
          <w:rFonts w:ascii="宋体" w:hAnsi="宋体"/>
          <w:b w:val="0"/>
          <w:i w:val="0"/>
          <w:caps w:val="0"/>
          <w:spacing w:val="0"/>
          <w:w w:val="100"/>
          <w:sz w:val="21"/>
          <w:highlight w:val="none"/>
        </w:rPr>
        <w:t xml:space="preserve">           </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申请人：</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受益人：</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开立人：</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致：（受益人名称）</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我方（即“开立人”）已获得通知，本保函申请人（即“投标人”）已响应贵方于</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年</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月</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日就项目编号为</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的</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（项目名称，以下简称“本工程”）发出的招标文件，并已向招标人（即“受益人”）提交了投标文件（即“基础交易”）。</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元（¥</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二、我方在投标人发生以下情形时承担保证担保责任：</w:t>
      </w:r>
      <w:r>
        <w:rPr>
          <w:rFonts w:ascii="宋体" w:hAnsi="宋体"/>
          <w:b w:val="0"/>
          <w:i w:val="0"/>
          <w:caps w:val="0"/>
          <w:spacing w:val="0"/>
          <w:w w:val="100"/>
          <w:sz w:val="24"/>
          <w:szCs w:val="24"/>
          <w:highlight w:val="none"/>
        </w:rPr>
        <w:t xml:space="preserve"> </w:t>
      </w:r>
    </w:p>
    <w:p>
      <w:pPr>
        <w:pStyle w:val="53"/>
        <w:snapToGrid/>
        <w:spacing w:before="0" w:beforeAutospacing="0" w:after="0" w:afterAutospacing="0" w:line="360" w:lineRule="auto"/>
        <w:ind w:left="0" w:firstLine="420" w:firstLineChars="175"/>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 xml:space="preserve">1）投标人在开标后和投标有效期满之前撤销投标的； </w:t>
      </w:r>
    </w:p>
    <w:p>
      <w:pPr>
        <w:pStyle w:val="53"/>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 xml:space="preserve">2）投标人在收到中标通知后，不能或拒绝在中标通知书规定的时间内与贵方签订合同； </w:t>
      </w:r>
    </w:p>
    <w:p>
      <w:pPr>
        <w:pStyle w:val="53"/>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3）投标人在与贵方签订合同后，未在规定的时间内提交符合招标文件要求的履约担保；</w:t>
      </w:r>
    </w:p>
    <w:p>
      <w:pPr>
        <w:pStyle w:val="53"/>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4）投标人违反招标文件规定的其他情形。</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ascii="宋体" w:hAnsi="宋体"/>
          <w:b w:val="0"/>
          <w:i w:val="0"/>
          <w:caps w:val="0"/>
          <w:spacing w:val="0"/>
          <w:w w:val="100"/>
          <w:sz w:val="24"/>
          <w:szCs w:val="24"/>
          <w:highlight w:val="none"/>
        </w:rPr>
        <w:t xml:space="preserve">    三、本保函为不可撤销、不可转让的见索即付独立保函。本保函有效期自开立之日起至投标有效期届满之日后的</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日。投标有效期延长的，本保函有效期相应顺延，最迟不超过</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年</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月</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日。</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四、我方承诺，在收到受益人发来的书面付款通知后的</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日内无条件支付，前述书面付款通知即为付款要求之单据，且应满足以下要求：</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1）付款通知到达的日期在本保函的有效期内；</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2）载明要求支付的金额；</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3）载明申请人违反招投标文件规定的义务内容和具体条款；</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4）声明不存在招标文件规定或我国法律规定免除申请人或我方支付责任的情形；</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5）书面付款通知应在本保函有效期内到达的地址是：</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w:t>
      </w: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ascii="宋体" w:hAnsi="宋体"/>
          <w:b w:val="0"/>
          <w:i w:val="0"/>
          <w:caps w:val="0"/>
          <w:spacing w:val="0"/>
          <w:w w:val="100"/>
          <w:sz w:val="24"/>
          <w:szCs w:val="24"/>
          <w:highlight w:val="none"/>
        </w:rPr>
        <w:t xml:space="preserve">    受益人发出的书面付款通知应由其为鉴明受益人法定代表人（负责人）或授权代理人签</w:t>
      </w:r>
      <w:r>
        <w:rPr>
          <w:rFonts w:hint="eastAsia" w:ascii="宋体" w:hAnsi="宋体"/>
          <w:b w:val="0"/>
          <w:i w:val="0"/>
          <w:caps w:val="0"/>
          <w:spacing w:val="0"/>
          <w:w w:val="100"/>
          <w:sz w:val="24"/>
          <w:szCs w:val="24"/>
          <w:highlight w:val="none"/>
        </w:rPr>
        <w:t>名并加盖公章。</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五、本保函项下的权利不得转让，不得设定担保。贵方未经我方书面同意转让本保函或其项下任何权利，对我方不发生法律效力。</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六、本保函项下的基础交易不成立、不生效、无效、被撤销、被解除，不影响本保函的独立有效。</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七、受益人应在本保函到期后的七日内将本保函正本退回我方注销，但是不论受益人是否按此要求将本保函正本退回我方，我方在本保函项下的义务和责任均在保函有效期到期后自动消灭。</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八、本保函适用的法律为中华人民共和国法律，争议裁判管辖地为受益人所在地。</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九、本保函自我方法定代表人或授权代表签名并加盖公章之日起生效。</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开</w:t>
      </w:r>
      <w:r>
        <w:rPr>
          <w:rFonts w:ascii="宋体" w:hAnsi="宋体"/>
          <w:b w:val="0"/>
          <w:i w:val="0"/>
          <w:caps w:val="0"/>
          <w:spacing w:val="0"/>
          <w:w w:val="100"/>
          <w:sz w:val="24"/>
          <w:szCs w:val="24"/>
          <w:highlight w:val="none"/>
        </w:rPr>
        <w:t xml:space="preserve"> 立 人：                                （公章）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法定代表人（或授权代表）</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（签名）</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地    址：</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hint="eastAsia" w:ascii="宋体" w:hAnsi="宋体" w:eastAsia="宋体"/>
          <w:b w:val="0"/>
          <w:i w:val="0"/>
          <w:caps w:val="0"/>
          <w:spacing w:val="0"/>
          <w:w w:val="100"/>
          <w:sz w:val="24"/>
          <w:szCs w:val="24"/>
          <w:highlight w:val="none"/>
          <w:lang w:eastAsia="zh-CN"/>
        </w:rPr>
      </w:pPr>
      <w:r>
        <w:rPr>
          <w:rFonts w:hint="eastAsia" w:ascii="宋体" w:hAnsi="宋体"/>
          <w:b w:val="0"/>
          <w:i w:val="0"/>
          <w:caps w:val="0"/>
          <w:spacing w:val="0"/>
          <w:w w:val="100"/>
          <w:sz w:val="24"/>
          <w:szCs w:val="24"/>
          <w:highlight w:val="none"/>
        </w:rPr>
        <w:t>邮政编码</w:t>
      </w:r>
      <w:r>
        <w:rPr>
          <w:rFonts w:hint="eastAsia" w:ascii="宋体" w:hAnsi="宋体"/>
          <w:b w:val="0"/>
          <w:i w:val="0"/>
          <w:caps w:val="0"/>
          <w:spacing w:val="0"/>
          <w:w w:val="100"/>
          <w:sz w:val="24"/>
          <w:szCs w:val="24"/>
          <w:highlight w:val="none"/>
          <w:lang w:eastAsia="zh-CN"/>
        </w:rPr>
        <w:t>：</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电    话：</w:t>
      </w:r>
      <w:r>
        <w:rPr>
          <w:rFonts w:ascii="宋体" w:hAnsi="宋体"/>
          <w:b w:val="0"/>
          <w:i w:val="0"/>
          <w:caps w:val="0"/>
          <w:spacing w:val="0"/>
          <w:w w:val="100"/>
          <w:sz w:val="24"/>
          <w:szCs w:val="24"/>
          <w:highlight w:val="none"/>
        </w:rPr>
        <w:t xml:space="preserve">                 </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传    真：</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开立时间：</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年</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月</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日</w:t>
      </w:r>
    </w:p>
    <w:p>
      <w:pPr>
        <w:snapToGrid/>
        <w:spacing w:before="0" w:beforeAutospacing="0" w:after="0" w:afterAutospacing="0" w:line="360" w:lineRule="auto"/>
        <w:jc w:val="both"/>
        <w:textAlignment w:val="baseline"/>
        <w:rPr>
          <w:rFonts w:hint="eastAsia" w:ascii="黑体" w:hAnsi="黑体" w:eastAsia="黑体" w:cs="黑体"/>
          <w:b w:val="0"/>
          <w:i w:val="0"/>
          <w:caps w:val="0"/>
          <w:spacing w:val="0"/>
          <w:w w:val="100"/>
          <w:sz w:val="32"/>
          <w:szCs w:val="32"/>
          <w:highlight w:val="none"/>
        </w:rPr>
      </w:pPr>
    </w:p>
    <w:p>
      <w:pPr>
        <w:snapToGrid/>
        <w:spacing w:before="0" w:beforeAutospacing="0" w:after="0" w:afterAutospacing="0" w:line="360" w:lineRule="auto"/>
        <w:jc w:val="both"/>
        <w:textAlignment w:val="baseline"/>
        <w:rPr>
          <w:rFonts w:hint="eastAsia" w:ascii="黑体" w:hAnsi="黑体" w:eastAsia="黑体" w:cs="黑体"/>
          <w:b w:val="0"/>
          <w:i w:val="0"/>
          <w:caps w:val="0"/>
          <w:spacing w:val="0"/>
          <w:w w:val="100"/>
          <w:sz w:val="32"/>
          <w:szCs w:val="32"/>
          <w:highlight w:val="none"/>
        </w:rPr>
      </w:pPr>
    </w:p>
    <w:p>
      <w:pPr>
        <w:snapToGrid/>
        <w:spacing w:before="0" w:beforeAutospacing="0" w:after="0" w:afterAutospacing="0" w:line="360" w:lineRule="auto"/>
        <w:jc w:val="both"/>
        <w:textAlignment w:val="baseline"/>
        <w:rPr>
          <w:rFonts w:hint="eastAsia" w:ascii="黑体" w:hAnsi="黑体" w:eastAsia="黑体" w:cs="黑体"/>
          <w:b w:val="0"/>
          <w:i w:val="0"/>
          <w:caps w:val="0"/>
          <w:spacing w:val="0"/>
          <w:w w:val="100"/>
          <w:sz w:val="32"/>
          <w:szCs w:val="32"/>
          <w:highlight w:val="none"/>
          <w:lang w:val="en-US" w:eastAsia="zh-CN"/>
        </w:rPr>
      </w:pPr>
      <w:r>
        <w:rPr>
          <w:rFonts w:hint="eastAsia" w:ascii="黑体" w:hAnsi="黑体" w:eastAsia="黑体" w:cs="黑体"/>
          <w:b w:val="0"/>
          <w:i w:val="0"/>
          <w:caps w:val="0"/>
          <w:spacing w:val="0"/>
          <w:w w:val="100"/>
          <w:sz w:val="32"/>
          <w:szCs w:val="32"/>
          <w:highlight w:val="none"/>
        </w:rPr>
        <w:t>附件</w:t>
      </w:r>
      <w:r>
        <w:rPr>
          <w:rFonts w:hint="eastAsia" w:ascii="黑体" w:hAnsi="黑体" w:eastAsia="黑体" w:cs="黑体"/>
          <w:b w:val="0"/>
          <w:i w:val="0"/>
          <w:caps w:val="0"/>
          <w:spacing w:val="0"/>
          <w:w w:val="100"/>
          <w:sz w:val="32"/>
          <w:szCs w:val="32"/>
          <w:highlight w:val="none"/>
          <w:lang w:val="en-US" w:eastAsia="zh-CN"/>
        </w:rPr>
        <w:t>2</w:t>
      </w:r>
    </w:p>
    <w:p>
      <w:pPr>
        <w:snapToGrid/>
        <w:spacing w:before="0" w:beforeAutospacing="0" w:after="0" w:afterAutospacing="0" w:line="360" w:lineRule="auto"/>
        <w:jc w:val="center"/>
        <w:textAlignment w:val="baseline"/>
        <w:rPr>
          <w:rFonts w:ascii="宋体" w:hAnsi="宋体" w:eastAsia="宋体"/>
          <w:b/>
          <w:i w:val="0"/>
          <w:caps w:val="0"/>
          <w:spacing w:val="0"/>
          <w:w w:val="100"/>
          <w:sz w:val="32"/>
          <w:szCs w:val="32"/>
          <w:highlight w:val="none"/>
        </w:rPr>
      </w:pPr>
      <w:r>
        <w:rPr>
          <w:rFonts w:hint="eastAsia" w:ascii="宋体" w:hAnsi="宋体" w:eastAsia="宋体"/>
          <w:b/>
          <w:i w:val="0"/>
          <w:caps w:val="0"/>
          <w:spacing w:val="0"/>
          <w:w w:val="100"/>
          <w:sz w:val="32"/>
          <w:szCs w:val="32"/>
          <w:highlight w:val="none"/>
        </w:rPr>
        <w:t>投标保证保险保单</w:t>
      </w:r>
    </w:p>
    <w:p>
      <w:pPr>
        <w:snapToGrid/>
        <w:spacing w:before="0" w:beforeAutospacing="0" w:after="0" w:afterAutospacing="0" w:line="360" w:lineRule="auto"/>
        <w:jc w:val="center"/>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（纸质）</w:t>
      </w:r>
    </w:p>
    <w:p>
      <w:pPr>
        <w:snapToGrid/>
        <w:spacing w:before="0" w:beforeAutospacing="0" w:after="0" w:afterAutospacing="0" w:line="360" w:lineRule="auto"/>
        <w:jc w:val="center"/>
        <w:textAlignment w:val="baseline"/>
        <w:rPr>
          <w:rFonts w:ascii="宋体" w:hAnsi="宋体" w:eastAsia="宋体"/>
          <w:b w:val="0"/>
          <w:i w:val="0"/>
          <w:caps w:val="0"/>
          <w:spacing w:val="0"/>
          <w:w w:val="100"/>
          <w:sz w:val="24"/>
          <w:szCs w:val="24"/>
          <w:highlight w:val="none"/>
        </w:rPr>
      </w:pPr>
      <w:r>
        <w:rPr>
          <w:rFonts w:hint="eastAsia" w:ascii="宋体" w:hAnsi="宋体"/>
          <w:b w:val="0"/>
          <w:i w:val="0"/>
          <w:caps w:val="0"/>
          <w:spacing w:val="0"/>
          <w:w w:val="100"/>
          <w:sz w:val="21"/>
          <w:szCs w:val="21"/>
          <w:highlight w:val="none"/>
          <w:lang w:val="en-US" w:eastAsia="zh-CN"/>
        </w:rPr>
        <w:t xml:space="preserve">                                                   </w:t>
      </w:r>
      <w:r>
        <w:rPr>
          <w:rFonts w:hint="eastAsia" w:ascii="宋体" w:hAnsi="宋体" w:eastAsia="宋体"/>
          <w:b w:val="0"/>
          <w:i w:val="0"/>
          <w:caps w:val="0"/>
          <w:spacing w:val="0"/>
          <w:w w:val="100"/>
          <w:sz w:val="21"/>
          <w:szCs w:val="21"/>
          <w:highlight w:val="none"/>
        </w:rPr>
        <w:t xml:space="preserve">编号： </w:t>
      </w:r>
      <w:r>
        <w:rPr>
          <w:rFonts w:ascii="宋体" w:hAnsi="宋体" w:eastAsia="宋体"/>
          <w:b w:val="0"/>
          <w:i w:val="0"/>
          <w:caps w:val="0"/>
          <w:spacing w:val="0"/>
          <w:w w:val="100"/>
          <w:sz w:val="21"/>
          <w:szCs w:val="21"/>
          <w:highlight w:val="none"/>
        </w:rPr>
        <w:t xml:space="preserve">     </w:t>
      </w:r>
    </w:p>
    <w:p>
      <w:pPr>
        <w:snapToGrid/>
        <w:spacing w:before="0" w:beforeAutospacing="0" w:after="0" w:afterAutospacing="0" w:line="360" w:lineRule="auto"/>
        <w:ind w:right="106"/>
        <w:jc w:val="both"/>
        <w:textAlignment w:val="baseline"/>
        <w:rPr>
          <w:rFonts w:ascii="宋体" w:hAnsi="宋体" w:eastAsia="宋体"/>
          <w:b w:val="0"/>
          <w:i w:val="0"/>
          <w:caps w:val="0"/>
          <w:spacing w:val="0"/>
          <w:w w:val="100"/>
          <w:sz w:val="24"/>
          <w:szCs w:val="24"/>
          <w:highlight w:val="none"/>
        </w:rPr>
      </w:pPr>
      <w:r>
        <w:rPr>
          <w:rFonts w:ascii="宋体" w:hAnsi="宋体"/>
          <w:b w:val="0"/>
          <w:i w:val="0"/>
          <w:caps w:val="0"/>
          <w:spacing w:val="0"/>
          <w:w w:val="100"/>
          <w:sz w:val="21"/>
          <w:highlight w:val="none"/>
        </w:rPr>
        <w:t xml:space="preserve">      </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投保人：</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被保险人：</w:t>
      </w:r>
      <w:r>
        <w:rPr>
          <w:rFonts w:ascii="宋体" w:hAnsi="宋体" w:eastAsia="宋体"/>
          <w:b w:val="0"/>
          <w:i w:val="0"/>
          <w:caps w:val="0"/>
          <w:spacing w:val="0"/>
          <w:w w:val="100"/>
          <w:sz w:val="24"/>
          <w:szCs w:val="24"/>
          <w:highlight w:val="none"/>
        </w:rPr>
        <w:t xml:space="preserve"> </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承保机构：</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地址：</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p>
    <w:p>
      <w:pPr>
        <w:snapToGrid/>
        <w:spacing w:before="0" w:beforeAutospacing="0" w:after="0" w:afterAutospacing="0" w:line="360" w:lineRule="auto"/>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致：（受益人名称）</w:t>
      </w:r>
    </w:p>
    <w:p>
      <w:pPr>
        <w:snapToGrid/>
        <w:spacing w:before="0" w:beforeAutospacing="0" w:after="0" w:afterAutospacing="0" w:line="360" w:lineRule="auto"/>
        <w:ind w:firstLine="48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我方（即“开立人”）已获得通知，本保函申请人（即“投标人”）已响应贵方于</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年</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月</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日就</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u w:val="single" w:color="000000"/>
        </w:rPr>
        <w:t xml:space="preserve">     </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（项目名称，以下简称“本工程”）发出的招标文件，并已向招标人（即“受益人”）提交了投标文件（即“基础交易”）。</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元（¥</w:t>
      </w:r>
      <w:r>
        <w:rPr>
          <w:rFonts w:ascii="宋体" w:hAnsi="宋体"/>
          <w:b w:val="0"/>
          <w:i w:val="0"/>
          <w:caps w:val="0"/>
          <w:spacing w:val="0"/>
          <w:w w:val="100"/>
          <w:sz w:val="24"/>
          <w:szCs w:val="24"/>
          <w:highlight w:val="none"/>
          <w:u w:val="single" w:color="000000"/>
        </w:rPr>
        <w:t xml:space="preserve">       </w:t>
      </w:r>
      <w:r>
        <w:rPr>
          <w:rFonts w:hint="eastAsia" w:ascii="宋体" w:hAnsi="宋体"/>
          <w:b w:val="0"/>
          <w:i w:val="0"/>
          <w:caps w:val="0"/>
          <w:spacing w:val="0"/>
          <w:w w:val="100"/>
          <w:sz w:val="24"/>
          <w:szCs w:val="24"/>
          <w:highlight w:val="none"/>
        </w:rPr>
        <w:t>）。</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二、我方在投保人发生以下情形时承担保险责任：</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1）投保人在开标后和投标有效期满之前撤销投标的；</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2）投保人在收到中标通知后，不能或拒绝在中标通知书规定的时间内与贵方签订合同；</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3）投保人在与贵方签订合同后，未在规定的时间内提交符合招标文件要求的履约担保；</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4）投保人违反招标文件规定的其他情形。</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三、本保单的有效期</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本保单有效期自开立之日起至投标有效期届满之日后的</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日。投标有效期延长的，本保单有效期相应顺延，最迟不超过</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年</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月</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日。</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四、理赔时效承诺</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保险人承诺在收到被保险人的书面索赔通知后</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日内无条件在本保单保险金额内向被保险人支付赔款，前述书面索赔通知即为赔付要求之单据，且应满足以下要求：</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1）索赔通知到达的日期在本保单的有效期内；</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2）载明要求赔付的金额；</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3）载明申请人违反招投标文件规定的义务内容和具体条款；</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4）声明不存在招标文件规定或我国法律规定免除投保人或我方支付责任的情形；</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w:t>
      </w:r>
      <w:r>
        <w:rPr>
          <w:rFonts w:ascii="宋体" w:hAnsi="宋体" w:eastAsia="宋体"/>
          <w:b w:val="0"/>
          <w:i w:val="0"/>
          <w:caps w:val="0"/>
          <w:spacing w:val="0"/>
          <w:w w:val="100"/>
          <w:sz w:val="24"/>
          <w:szCs w:val="24"/>
          <w:highlight w:val="none"/>
        </w:rPr>
        <w:t>5）索赔通知应在本保单有效期内到达的地址是：</w:t>
      </w:r>
      <w:r>
        <w:rPr>
          <w:rFonts w:ascii="宋体" w:hAnsi="宋体" w:eastAsia="宋体"/>
          <w:b w:val="0"/>
          <w:i w:val="0"/>
          <w:caps w:val="0"/>
          <w:spacing w:val="0"/>
          <w:w w:val="100"/>
          <w:sz w:val="24"/>
          <w:szCs w:val="24"/>
          <w:highlight w:val="none"/>
          <w:u w:val="single" w:color="000000"/>
        </w:rPr>
        <w:t xml:space="preserve">           </w:t>
      </w:r>
      <w:r>
        <w:rPr>
          <w:rFonts w:hint="eastAsia" w:ascii="宋体" w:hAnsi="宋体" w:eastAsia="宋体"/>
          <w:b w:val="0"/>
          <w:i w:val="0"/>
          <w:caps w:val="0"/>
          <w:spacing w:val="0"/>
          <w:w w:val="100"/>
          <w:sz w:val="24"/>
          <w:szCs w:val="24"/>
          <w:highlight w:val="none"/>
        </w:rPr>
        <w:t>。</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被保险人发出的书面索赔通知应由其为鉴明被保险人法定代表人（负责人）或授权代理人签名并加盖公章。</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五、本保单不得转让、不得设定担保。贵方未经我方书面同意，转让本保单或其项下任何权利，对我方不发生法律效力。</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六、</w:t>
      </w:r>
      <w:r>
        <w:rPr>
          <w:rFonts w:hint="eastAsia" w:ascii="宋体" w:hAnsi="宋体"/>
          <w:b w:val="0"/>
          <w:i w:val="0"/>
          <w:caps w:val="0"/>
          <w:spacing w:val="0"/>
          <w:w w:val="100"/>
          <w:sz w:val="24"/>
          <w:szCs w:val="24"/>
          <w:highlight w:val="none"/>
        </w:rPr>
        <w:t>本保单项下的基础交易不成立、不生效、无效、被撤销、被解除，不影响本保单的独立有效。</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七、本保单适用的法律为中华人民共和国法律，争议裁判管辖地为被保险人所在地。</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八、本保单自我方法定代表人或授权代表签名并加盖公章之日起生效。</w:t>
      </w:r>
    </w:p>
    <w:p>
      <w:pPr>
        <w:snapToGrid/>
        <w:spacing w:before="0" w:beforeAutospacing="0" w:after="0" w:afterAutospacing="0" w:line="360" w:lineRule="auto"/>
        <w:jc w:val="both"/>
        <w:textAlignment w:val="baseline"/>
        <w:rPr>
          <w:rFonts w:ascii="宋体" w:hAnsi="宋体" w:eastAsia="宋体"/>
          <w:b w:val="0"/>
          <w:i w:val="0"/>
          <w:caps w:val="0"/>
          <w:spacing w:val="0"/>
          <w:w w:val="100"/>
          <w:sz w:val="24"/>
          <w:szCs w:val="24"/>
          <w:highlight w:val="none"/>
        </w:rPr>
      </w:pPr>
    </w:p>
    <w:p>
      <w:pPr>
        <w:snapToGrid/>
        <w:spacing w:before="0" w:beforeAutospacing="0" w:after="0" w:afterAutospacing="0" w:line="360" w:lineRule="auto"/>
        <w:ind w:right="420" w:firstLine="480" w:firstLineChars="200"/>
        <w:jc w:val="left"/>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承保机构：</w:t>
      </w:r>
      <w:r>
        <w:rPr>
          <w:rFonts w:ascii="宋体" w:hAnsi="宋体" w:eastAsia="宋体"/>
          <w:b w:val="0"/>
          <w:i w:val="0"/>
          <w:caps w:val="0"/>
          <w:spacing w:val="0"/>
          <w:w w:val="100"/>
          <w:sz w:val="24"/>
          <w:szCs w:val="24"/>
          <w:highlight w:val="none"/>
        </w:rPr>
        <w:t xml:space="preserve">                                </w:t>
      </w:r>
      <w:r>
        <w:rPr>
          <w:rFonts w:hint="eastAsia" w:ascii="宋体" w:hAnsi="宋体" w:eastAsia="宋体"/>
          <w:b w:val="0"/>
          <w:i w:val="0"/>
          <w:caps w:val="0"/>
          <w:spacing w:val="0"/>
          <w:w w:val="100"/>
          <w:sz w:val="24"/>
          <w:szCs w:val="24"/>
          <w:highlight w:val="none"/>
        </w:rPr>
        <w:t>（公章）</w:t>
      </w:r>
    </w:p>
    <w:p>
      <w:pPr>
        <w:snapToGrid/>
        <w:spacing w:before="0" w:beforeAutospacing="0" w:after="0" w:afterAutospacing="0" w:line="360" w:lineRule="auto"/>
        <w:ind w:right="420" w:firstLine="480" w:firstLineChars="200"/>
        <w:jc w:val="left"/>
        <w:textAlignment w:val="baseline"/>
        <w:rPr>
          <w:rFonts w:ascii="宋体" w:hAnsi="宋体" w:eastAsia="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法定代表人（或授权代表）</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（签名）</w:t>
      </w:r>
    </w:p>
    <w:p>
      <w:pPr>
        <w:snapToGrid/>
        <w:spacing w:before="0" w:beforeAutospacing="0" w:after="0" w:afterAutospacing="0" w:line="360" w:lineRule="auto"/>
        <w:ind w:right="420" w:firstLine="480" w:firstLineChars="200"/>
        <w:jc w:val="left"/>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地</w:t>
      </w:r>
      <w:r>
        <w:rPr>
          <w:rFonts w:hint="eastAsia" w:ascii="宋体" w:hAnsi="宋体" w:eastAsia="宋体"/>
          <w:b w:val="0"/>
          <w:i w:val="0"/>
          <w:caps w:val="0"/>
          <w:spacing w:val="0"/>
          <w:w w:val="100"/>
          <w:sz w:val="24"/>
          <w:szCs w:val="24"/>
          <w:highlight w:val="none"/>
          <w:lang w:val="en-US" w:eastAsia="zh-CN"/>
        </w:rPr>
        <w:t xml:space="preserve">    </w:t>
      </w:r>
      <w:r>
        <w:rPr>
          <w:rFonts w:hint="eastAsia" w:ascii="宋体" w:hAnsi="宋体" w:eastAsia="宋体"/>
          <w:b w:val="0"/>
          <w:i w:val="0"/>
          <w:caps w:val="0"/>
          <w:spacing w:val="0"/>
          <w:w w:val="100"/>
          <w:sz w:val="24"/>
          <w:szCs w:val="24"/>
          <w:highlight w:val="none"/>
        </w:rPr>
        <w:t>址：</w:t>
      </w:r>
    </w:p>
    <w:p>
      <w:pPr>
        <w:snapToGrid/>
        <w:spacing w:before="0" w:beforeAutospacing="0" w:after="0" w:afterAutospacing="0" w:line="360" w:lineRule="auto"/>
        <w:ind w:firstLine="480" w:firstLineChars="200"/>
        <w:jc w:val="both"/>
        <w:textAlignment w:val="baseline"/>
        <w:rPr>
          <w:rFonts w:hint="eastAsia" w:ascii="宋体" w:hAnsi="宋体" w:eastAsia="宋体"/>
          <w:b w:val="0"/>
          <w:i w:val="0"/>
          <w:caps w:val="0"/>
          <w:spacing w:val="0"/>
          <w:w w:val="100"/>
          <w:sz w:val="24"/>
          <w:szCs w:val="24"/>
          <w:highlight w:val="none"/>
          <w:lang w:eastAsia="zh-CN"/>
        </w:rPr>
      </w:pPr>
      <w:r>
        <w:rPr>
          <w:rFonts w:hint="eastAsia" w:ascii="宋体" w:hAnsi="宋体"/>
          <w:b w:val="0"/>
          <w:i w:val="0"/>
          <w:caps w:val="0"/>
          <w:spacing w:val="0"/>
          <w:w w:val="100"/>
          <w:sz w:val="24"/>
          <w:szCs w:val="24"/>
          <w:highlight w:val="none"/>
        </w:rPr>
        <w:t>邮政编码</w:t>
      </w:r>
      <w:r>
        <w:rPr>
          <w:rFonts w:hint="eastAsia" w:ascii="宋体" w:hAnsi="宋体"/>
          <w:b w:val="0"/>
          <w:i w:val="0"/>
          <w:caps w:val="0"/>
          <w:spacing w:val="0"/>
          <w:w w:val="100"/>
          <w:sz w:val="24"/>
          <w:szCs w:val="24"/>
          <w:highlight w:val="none"/>
          <w:lang w:eastAsia="zh-CN"/>
        </w:rPr>
        <w:t>：</w:t>
      </w:r>
    </w:p>
    <w:p>
      <w:pPr>
        <w:snapToGrid/>
        <w:spacing w:before="0" w:beforeAutospacing="0" w:after="0" w:afterAutospacing="0" w:line="360" w:lineRule="auto"/>
        <w:ind w:right="420" w:firstLine="480" w:firstLineChars="200"/>
        <w:jc w:val="left"/>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电</w:t>
      </w:r>
      <w:r>
        <w:rPr>
          <w:rFonts w:hint="eastAsia" w:ascii="宋体" w:hAnsi="宋体" w:eastAsia="宋体"/>
          <w:b w:val="0"/>
          <w:i w:val="0"/>
          <w:caps w:val="0"/>
          <w:spacing w:val="0"/>
          <w:w w:val="100"/>
          <w:sz w:val="24"/>
          <w:szCs w:val="24"/>
          <w:highlight w:val="none"/>
          <w:lang w:val="en-US" w:eastAsia="zh-CN"/>
        </w:rPr>
        <w:t xml:space="preserve">    </w:t>
      </w:r>
      <w:r>
        <w:rPr>
          <w:rFonts w:hint="eastAsia" w:ascii="宋体" w:hAnsi="宋体" w:eastAsia="宋体"/>
          <w:b w:val="0"/>
          <w:i w:val="0"/>
          <w:caps w:val="0"/>
          <w:spacing w:val="0"/>
          <w:w w:val="100"/>
          <w:sz w:val="24"/>
          <w:szCs w:val="24"/>
          <w:highlight w:val="none"/>
        </w:rPr>
        <w:t>话：</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highlight w:val="none"/>
        </w:rPr>
      </w:pPr>
      <w:r>
        <w:rPr>
          <w:rFonts w:hint="eastAsia" w:ascii="宋体" w:hAnsi="宋体"/>
          <w:b w:val="0"/>
          <w:i w:val="0"/>
          <w:caps w:val="0"/>
          <w:spacing w:val="0"/>
          <w:w w:val="100"/>
          <w:sz w:val="24"/>
          <w:szCs w:val="24"/>
          <w:highlight w:val="none"/>
        </w:rPr>
        <w:t>传    真：</w:t>
      </w:r>
    </w:p>
    <w:p>
      <w:pPr>
        <w:snapToGrid/>
        <w:spacing w:before="0" w:beforeAutospacing="0" w:after="0" w:afterAutospacing="0" w:line="360" w:lineRule="auto"/>
        <w:ind w:firstLine="480" w:firstLineChars="200"/>
        <w:jc w:val="both"/>
        <w:textAlignment w:val="baseline"/>
        <w:rPr>
          <w:rFonts w:ascii="宋体" w:hAnsi="宋体" w:eastAsia="宋体"/>
          <w:b w:val="0"/>
          <w:i w:val="0"/>
          <w:caps w:val="0"/>
          <w:spacing w:val="0"/>
          <w:w w:val="100"/>
          <w:sz w:val="24"/>
          <w:szCs w:val="24"/>
          <w:highlight w:val="none"/>
        </w:rPr>
      </w:pPr>
      <w:r>
        <w:rPr>
          <w:rFonts w:hint="eastAsia" w:ascii="宋体" w:hAnsi="宋体" w:eastAsia="宋体"/>
          <w:b w:val="0"/>
          <w:i w:val="0"/>
          <w:caps w:val="0"/>
          <w:spacing w:val="0"/>
          <w:w w:val="100"/>
          <w:sz w:val="24"/>
          <w:szCs w:val="24"/>
          <w:highlight w:val="none"/>
        </w:rPr>
        <w:t>开立</w:t>
      </w:r>
      <w:r>
        <w:rPr>
          <w:rFonts w:hint="eastAsia" w:ascii="宋体" w:hAnsi="宋体" w:eastAsia="宋体"/>
          <w:b w:val="0"/>
          <w:i w:val="0"/>
          <w:caps w:val="0"/>
          <w:spacing w:val="0"/>
          <w:w w:val="100"/>
          <w:sz w:val="24"/>
          <w:szCs w:val="24"/>
          <w:highlight w:val="none"/>
          <w:lang w:eastAsia="zh-CN"/>
        </w:rPr>
        <w:t>时间</w:t>
      </w:r>
      <w:r>
        <w:rPr>
          <w:rFonts w:hint="eastAsia" w:ascii="宋体" w:hAnsi="宋体" w:eastAsia="宋体"/>
          <w:b w:val="0"/>
          <w:i w:val="0"/>
          <w:caps w:val="0"/>
          <w:spacing w:val="0"/>
          <w:w w:val="100"/>
          <w:sz w:val="24"/>
          <w:szCs w:val="24"/>
          <w:highlight w:val="none"/>
        </w:rPr>
        <w:t>：</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年</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月</w:t>
      </w:r>
      <w:r>
        <w:rPr>
          <w:rFonts w:ascii="宋体" w:hAnsi="宋体"/>
          <w:b w:val="0"/>
          <w:i w:val="0"/>
          <w:caps w:val="0"/>
          <w:spacing w:val="0"/>
          <w:w w:val="100"/>
          <w:sz w:val="24"/>
          <w:szCs w:val="24"/>
          <w:highlight w:val="none"/>
        </w:rPr>
        <w:t xml:space="preserve">   </w:t>
      </w:r>
      <w:r>
        <w:rPr>
          <w:rFonts w:hint="eastAsia" w:ascii="宋体" w:hAnsi="宋体"/>
          <w:b w:val="0"/>
          <w:i w:val="0"/>
          <w:caps w:val="0"/>
          <w:spacing w:val="0"/>
          <w:w w:val="100"/>
          <w:sz w:val="24"/>
          <w:szCs w:val="24"/>
          <w:highlight w:val="none"/>
        </w:rPr>
        <w:t>日</w:t>
      </w:r>
    </w:p>
    <w:p>
      <w:pPr>
        <w:pStyle w:val="16"/>
        <w:spacing w:line="360" w:lineRule="auto"/>
        <w:ind w:left="4679" w:leftChars="2228"/>
        <w:rPr>
          <w:color w:val="auto"/>
          <w:highlight w:val="none"/>
        </w:rPr>
      </w:pPr>
    </w:p>
    <w:p>
      <w:pPr>
        <w:rPr>
          <w:highlight w:val="none"/>
        </w:rPr>
      </w:pPr>
    </w:p>
    <w:p>
      <w:pPr>
        <w:rPr>
          <w:highlight w:val="none"/>
        </w:rPr>
      </w:pPr>
    </w:p>
    <w:p>
      <w:pPr>
        <w:rPr>
          <w:highlight w:val="none"/>
        </w:rPr>
      </w:pPr>
    </w:p>
    <w:p>
      <w:pPr>
        <w:rPr>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070" w:firstLineChars="115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36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36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430" w:firstLineChars="135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ascii="宋体" w:hAnsi="宋体" w:cs="宋体"/>
        <w:sz w:val="24"/>
      </w:rPr>
      <w:drawing>
        <wp:inline distT="0" distB="0" distL="114300" distR="114300">
          <wp:extent cx="457835" cy="411480"/>
          <wp:effectExtent l="0" t="0" r="18415" b="7620"/>
          <wp:docPr id="7"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sz w:val="24"/>
      </w:rPr>
      <w:t xml:space="preserve"> </w:t>
    </w:r>
    <w:r>
      <w:rPr>
        <w:rFonts w:hint="eastAsia" w:ascii="宋体" w:hAnsi="宋体" w:cs="宋体"/>
      </w:rPr>
      <w:t>广东中采招标有限公司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rPr>
    </w:pPr>
    <w:r>
      <w:rPr>
        <w:rFonts w:ascii="宋体" w:hAnsi="宋体" w:cs="宋体"/>
        <w:sz w:val="24"/>
      </w:rPr>
      <w:drawing>
        <wp:inline distT="0" distB="0" distL="114300" distR="114300">
          <wp:extent cx="457835" cy="411480"/>
          <wp:effectExtent l="0" t="0" r="18415" b="7620"/>
          <wp:docPr id="9" name="图片 3"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rPr>
      <w:t>广东中采招标有限公司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BC13"/>
    <w:multiLevelType w:val="singleLevel"/>
    <w:tmpl w:val="816FBC13"/>
    <w:lvl w:ilvl="0" w:tentative="0">
      <w:start w:val="1"/>
      <w:numFmt w:val="decimal"/>
      <w:suff w:val="nothing"/>
      <w:lvlText w:val="（%1）"/>
      <w:lvlJc w:val="left"/>
    </w:lvl>
  </w:abstractNum>
  <w:abstractNum w:abstractNumId="1">
    <w:nsid w:val="82710E01"/>
    <w:multiLevelType w:val="multilevel"/>
    <w:tmpl w:val="82710E01"/>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36FEB4D"/>
    <w:multiLevelType w:val="singleLevel"/>
    <w:tmpl w:val="836FEB4D"/>
    <w:lvl w:ilvl="0" w:tentative="0">
      <w:start w:val="1"/>
      <w:numFmt w:val="decimal"/>
      <w:suff w:val="nothing"/>
      <w:lvlText w:val="%1）"/>
      <w:lvlJc w:val="left"/>
    </w:lvl>
  </w:abstractNum>
  <w:abstractNum w:abstractNumId="3">
    <w:nsid w:val="844FFF8B"/>
    <w:multiLevelType w:val="multilevel"/>
    <w:tmpl w:val="844FFF8B"/>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84542F8C"/>
    <w:multiLevelType w:val="singleLevel"/>
    <w:tmpl w:val="84542F8C"/>
    <w:lvl w:ilvl="0" w:tentative="0">
      <w:start w:val="1"/>
      <w:numFmt w:val="decimal"/>
      <w:lvlText w:val="(%1)"/>
      <w:lvlJc w:val="left"/>
      <w:pPr>
        <w:ind w:left="425" w:hanging="425"/>
      </w:pPr>
      <w:rPr>
        <w:rFonts w:hint="default"/>
      </w:rPr>
    </w:lvl>
  </w:abstractNum>
  <w:abstractNum w:abstractNumId="5">
    <w:nsid w:val="84FC40C5"/>
    <w:multiLevelType w:val="multilevel"/>
    <w:tmpl w:val="84FC40C5"/>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854A5E8C"/>
    <w:multiLevelType w:val="multilevel"/>
    <w:tmpl w:val="854A5E8C"/>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86A0334D"/>
    <w:multiLevelType w:val="singleLevel"/>
    <w:tmpl w:val="86A0334D"/>
    <w:lvl w:ilvl="0" w:tentative="0">
      <w:start w:val="1"/>
      <w:numFmt w:val="decimal"/>
      <w:lvlText w:val="(%1)"/>
      <w:lvlJc w:val="left"/>
      <w:pPr>
        <w:ind w:left="425" w:hanging="425"/>
      </w:pPr>
      <w:rPr>
        <w:rFonts w:hint="default"/>
      </w:rPr>
    </w:lvl>
  </w:abstractNum>
  <w:abstractNum w:abstractNumId="8">
    <w:nsid w:val="86A55A0A"/>
    <w:multiLevelType w:val="multilevel"/>
    <w:tmpl w:val="86A55A0A"/>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8812B8C1"/>
    <w:multiLevelType w:val="multilevel"/>
    <w:tmpl w:val="8812B8C1"/>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8B04E5C0"/>
    <w:multiLevelType w:val="singleLevel"/>
    <w:tmpl w:val="8B04E5C0"/>
    <w:lvl w:ilvl="0" w:tentative="0">
      <w:start w:val="1"/>
      <w:numFmt w:val="decimal"/>
      <w:suff w:val="nothing"/>
      <w:lvlText w:val="%1）"/>
      <w:lvlJc w:val="left"/>
    </w:lvl>
  </w:abstractNum>
  <w:abstractNum w:abstractNumId="11">
    <w:nsid w:val="8D3A4566"/>
    <w:multiLevelType w:val="multilevel"/>
    <w:tmpl w:val="8D3A456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8D3FC16D"/>
    <w:multiLevelType w:val="multilevel"/>
    <w:tmpl w:val="8D3FC16D"/>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9061DB4A"/>
    <w:multiLevelType w:val="singleLevel"/>
    <w:tmpl w:val="9061DB4A"/>
    <w:lvl w:ilvl="0" w:tentative="0">
      <w:start w:val="1"/>
      <w:numFmt w:val="decimal"/>
      <w:lvlText w:val="%1."/>
      <w:lvlJc w:val="left"/>
      <w:pPr>
        <w:ind w:left="425" w:hanging="425"/>
      </w:pPr>
      <w:rPr>
        <w:rFonts w:hint="default"/>
      </w:rPr>
    </w:lvl>
  </w:abstractNum>
  <w:abstractNum w:abstractNumId="14">
    <w:nsid w:val="90D6135F"/>
    <w:multiLevelType w:val="multilevel"/>
    <w:tmpl w:val="90D6135F"/>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9483B8D8"/>
    <w:multiLevelType w:val="singleLevel"/>
    <w:tmpl w:val="9483B8D8"/>
    <w:lvl w:ilvl="0" w:tentative="0">
      <w:start w:val="1"/>
      <w:numFmt w:val="decimal"/>
      <w:suff w:val="nothing"/>
      <w:lvlText w:val="%1）"/>
      <w:lvlJc w:val="left"/>
    </w:lvl>
  </w:abstractNum>
  <w:abstractNum w:abstractNumId="16">
    <w:nsid w:val="95E81129"/>
    <w:multiLevelType w:val="singleLevel"/>
    <w:tmpl w:val="95E81129"/>
    <w:lvl w:ilvl="0" w:tentative="0">
      <w:start w:val="1"/>
      <w:numFmt w:val="decimal"/>
      <w:suff w:val="nothing"/>
      <w:lvlText w:val="%1）"/>
      <w:lvlJc w:val="left"/>
    </w:lvl>
  </w:abstractNum>
  <w:abstractNum w:abstractNumId="17">
    <w:nsid w:val="9606AC1A"/>
    <w:multiLevelType w:val="multilevel"/>
    <w:tmpl w:val="9606AC1A"/>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962CCF5E"/>
    <w:multiLevelType w:val="multilevel"/>
    <w:tmpl w:val="962CCF5E"/>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96BE997E"/>
    <w:multiLevelType w:val="multilevel"/>
    <w:tmpl w:val="96BE997E"/>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97EA1EC9"/>
    <w:multiLevelType w:val="singleLevel"/>
    <w:tmpl w:val="97EA1EC9"/>
    <w:lvl w:ilvl="0" w:tentative="0">
      <w:start w:val="1"/>
      <w:numFmt w:val="decimal"/>
      <w:suff w:val="nothing"/>
      <w:lvlText w:val="%1）"/>
      <w:lvlJc w:val="left"/>
    </w:lvl>
  </w:abstractNum>
  <w:abstractNum w:abstractNumId="21">
    <w:nsid w:val="998C83EA"/>
    <w:multiLevelType w:val="singleLevel"/>
    <w:tmpl w:val="998C83EA"/>
    <w:lvl w:ilvl="0" w:tentative="0">
      <w:start w:val="1"/>
      <w:numFmt w:val="decimal"/>
      <w:suff w:val="nothing"/>
      <w:lvlText w:val="%1）"/>
      <w:lvlJc w:val="left"/>
    </w:lvl>
  </w:abstractNum>
  <w:abstractNum w:abstractNumId="22">
    <w:nsid w:val="9A45D47D"/>
    <w:multiLevelType w:val="singleLevel"/>
    <w:tmpl w:val="9A45D47D"/>
    <w:lvl w:ilvl="0" w:tentative="0">
      <w:start w:val="1"/>
      <w:numFmt w:val="decimal"/>
      <w:suff w:val="nothing"/>
      <w:lvlText w:val="%1）"/>
      <w:lvlJc w:val="left"/>
    </w:lvl>
  </w:abstractNum>
  <w:abstractNum w:abstractNumId="23">
    <w:nsid w:val="9D2DDFCB"/>
    <w:multiLevelType w:val="singleLevel"/>
    <w:tmpl w:val="9D2DDFCB"/>
    <w:lvl w:ilvl="0" w:tentative="0">
      <w:start w:val="1"/>
      <w:numFmt w:val="decimal"/>
      <w:suff w:val="nothing"/>
      <w:lvlText w:val="（%1）"/>
      <w:lvlJc w:val="left"/>
    </w:lvl>
  </w:abstractNum>
  <w:abstractNum w:abstractNumId="24">
    <w:nsid w:val="A1142ADF"/>
    <w:multiLevelType w:val="singleLevel"/>
    <w:tmpl w:val="A1142ADF"/>
    <w:lvl w:ilvl="0" w:tentative="0">
      <w:start w:val="1"/>
      <w:numFmt w:val="decimal"/>
      <w:lvlText w:val="%1."/>
      <w:lvlJc w:val="left"/>
      <w:pPr>
        <w:ind w:left="425" w:hanging="425"/>
      </w:pPr>
      <w:rPr>
        <w:rFonts w:hint="default"/>
      </w:rPr>
    </w:lvl>
  </w:abstractNum>
  <w:abstractNum w:abstractNumId="25">
    <w:nsid w:val="B1ECBD95"/>
    <w:multiLevelType w:val="multilevel"/>
    <w:tmpl w:val="B1ECBD95"/>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B307D90C"/>
    <w:multiLevelType w:val="singleLevel"/>
    <w:tmpl w:val="B307D90C"/>
    <w:lvl w:ilvl="0" w:tentative="0">
      <w:start w:val="1"/>
      <w:numFmt w:val="decimal"/>
      <w:suff w:val="nothing"/>
      <w:lvlText w:val="%1）"/>
      <w:lvlJc w:val="left"/>
    </w:lvl>
  </w:abstractNum>
  <w:abstractNum w:abstractNumId="27">
    <w:nsid w:val="B3EA6945"/>
    <w:multiLevelType w:val="singleLevel"/>
    <w:tmpl w:val="B3EA6945"/>
    <w:lvl w:ilvl="0" w:tentative="0">
      <w:start w:val="1"/>
      <w:numFmt w:val="decimal"/>
      <w:suff w:val="nothing"/>
      <w:lvlText w:val="%1、"/>
      <w:lvlJc w:val="left"/>
    </w:lvl>
  </w:abstractNum>
  <w:abstractNum w:abstractNumId="28">
    <w:nsid w:val="B6EC35D5"/>
    <w:multiLevelType w:val="multilevel"/>
    <w:tmpl w:val="B6EC35D5"/>
    <w:lvl w:ilvl="0" w:tentative="0">
      <w:start w:val="1"/>
      <w:numFmt w:val="decimal"/>
      <w:suff w:val="nothing"/>
      <w:lvlText w:val="%1、"/>
      <w:lvlJc w:val="left"/>
      <w:pPr>
        <w:ind w:left="178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BBE13805"/>
    <w:multiLevelType w:val="singleLevel"/>
    <w:tmpl w:val="BBE13805"/>
    <w:lvl w:ilvl="0" w:tentative="0">
      <w:start w:val="1"/>
      <w:numFmt w:val="decimal"/>
      <w:lvlText w:val="%1."/>
      <w:lvlJc w:val="left"/>
      <w:pPr>
        <w:ind w:left="425" w:hanging="425"/>
      </w:pPr>
      <w:rPr>
        <w:rFonts w:hint="default"/>
      </w:rPr>
    </w:lvl>
  </w:abstractNum>
  <w:abstractNum w:abstractNumId="30">
    <w:nsid w:val="BCBCD0C1"/>
    <w:multiLevelType w:val="singleLevel"/>
    <w:tmpl w:val="BCBCD0C1"/>
    <w:lvl w:ilvl="0" w:tentative="0">
      <w:start w:val="1"/>
      <w:numFmt w:val="decimal"/>
      <w:suff w:val="nothing"/>
      <w:lvlText w:val="%1）"/>
      <w:lvlJc w:val="left"/>
    </w:lvl>
  </w:abstractNum>
  <w:abstractNum w:abstractNumId="31">
    <w:nsid w:val="BE116989"/>
    <w:multiLevelType w:val="singleLevel"/>
    <w:tmpl w:val="BE116989"/>
    <w:lvl w:ilvl="0" w:tentative="0">
      <w:start w:val="1"/>
      <w:numFmt w:val="decimal"/>
      <w:lvlText w:val="%1."/>
      <w:lvlJc w:val="left"/>
      <w:pPr>
        <w:ind w:left="425" w:hanging="425"/>
      </w:pPr>
      <w:rPr>
        <w:rFonts w:hint="default"/>
      </w:rPr>
    </w:lvl>
  </w:abstractNum>
  <w:abstractNum w:abstractNumId="32">
    <w:nsid w:val="BEC9712B"/>
    <w:multiLevelType w:val="singleLevel"/>
    <w:tmpl w:val="BEC9712B"/>
    <w:lvl w:ilvl="0" w:tentative="0">
      <w:start w:val="1"/>
      <w:numFmt w:val="decimal"/>
      <w:suff w:val="nothing"/>
      <w:lvlText w:val="（%1）"/>
      <w:lvlJc w:val="left"/>
    </w:lvl>
  </w:abstractNum>
  <w:abstractNum w:abstractNumId="33">
    <w:nsid w:val="BF43957C"/>
    <w:multiLevelType w:val="singleLevel"/>
    <w:tmpl w:val="BF43957C"/>
    <w:lvl w:ilvl="0" w:tentative="0">
      <w:start w:val="1"/>
      <w:numFmt w:val="decimal"/>
      <w:suff w:val="nothing"/>
      <w:lvlText w:val="%1）"/>
      <w:lvlJc w:val="left"/>
    </w:lvl>
  </w:abstractNum>
  <w:abstractNum w:abstractNumId="34">
    <w:nsid w:val="C0783389"/>
    <w:multiLevelType w:val="multilevel"/>
    <w:tmpl w:val="C0783389"/>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C1A366DB"/>
    <w:multiLevelType w:val="multilevel"/>
    <w:tmpl w:val="C1A366DB"/>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C3A04F91"/>
    <w:multiLevelType w:val="multilevel"/>
    <w:tmpl w:val="C3A04F91"/>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C4DB1340"/>
    <w:multiLevelType w:val="multilevel"/>
    <w:tmpl w:val="C4DB1340"/>
    <w:lvl w:ilvl="0" w:tentative="0">
      <w:start w:val="1"/>
      <w:numFmt w:val="decimal"/>
      <w:suff w:val="noth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C5943AE5"/>
    <w:multiLevelType w:val="multilevel"/>
    <w:tmpl w:val="C5943AE5"/>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C7CD5AF7"/>
    <w:multiLevelType w:val="singleLevel"/>
    <w:tmpl w:val="C7CD5AF7"/>
    <w:lvl w:ilvl="0" w:tentative="0">
      <w:start w:val="1"/>
      <w:numFmt w:val="decimal"/>
      <w:suff w:val="nothing"/>
      <w:lvlText w:val="%1）"/>
      <w:lvlJc w:val="left"/>
    </w:lvl>
  </w:abstractNum>
  <w:abstractNum w:abstractNumId="40">
    <w:nsid w:val="C8BAE65B"/>
    <w:multiLevelType w:val="singleLevel"/>
    <w:tmpl w:val="C8BAE65B"/>
    <w:lvl w:ilvl="0" w:tentative="0">
      <w:start w:val="1"/>
      <w:numFmt w:val="decimal"/>
      <w:suff w:val="nothing"/>
      <w:lvlText w:val="%1）"/>
      <w:lvlJc w:val="left"/>
    </w:lvl>
  </w:abstractNum>
  <w:abstractNum w:abstractNumId="41">
    <w:nsid w:val="CB48A36E"/>
    <w:multiLevelType w:val="singleLevel"/>
    <w:tmpl w:val="CB48A36E"/>
    <w:lvl w:ilvl="0" w:tentative="0">
      <w:start w:val="1"/>
      <w:numFmt w:val="decimal"/>
      <w:suff w:val="nothing"/>
      <w:lvlText w:val="%1）"/>
      <w:lvlJc w:val="left"/>
    </w:lvl>
  </w:abstractNum>
  <w:abstractNum w:abstractNumId="42">
    <w:nsid w:val="CB57056A"/>
    <w:multiLevelType w:val="singleLevel"/>
    <w:tmpl w:val="CB57056A"/>
    <w:lvl w:ilvl="0" w:tentative="0">
      <w:start w:val="1"/>
      <w:numFmt w:val="decimal"/>
      <w:suff w:val="nothing"/>
      <w:lvlText w:val="%1）"/>
      <w:lvlJc w:val="left"/>
    </w:lvl>
  </w:abstractNum>
  <w:abstractNum w:abstractNumId="43">
    <w:nsid w:val="D06F674F"/>
    <w:multiLevelType w:val="multilevel"/>
    <w:tmpl w:val="D06F674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D0F26745"/>
    <w:multiLevelType w:val="singleLevel"/>
    <w:tmpl w:val="D0F26745"/>
    <w:lvl w:ilvl="0" w:tentative="0">
      <w:start w:val="1"/>
      <w:numFmt w:val="decimal"/>
      <w:suff w:val="nothing"/>
      <w:lvlText w:val="%1）"/>
      <w:lvlJc w:val="left"/>
    </w:lvl>
  </w:abstractNum>
  <w:abstractNum w:abstractNumId="45">
    <w:nsid w:val="D2A46211"/>
    <w:multiLevelType w:val="multilevel"/>
    <w:tmpl w:val="D2A46211"/>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D3920190"/>
    <w:multiLevelType w:val="singleLevel"/>
    <w:tmpl w:val="D3920190"/>
    <w:lvl w:ilvl="0" w:tentative="0">
      <w:start w:val="1"/>
      <w:numFmt w:val="decimal"/>
      <w:suff w:val="nothing"/>
      <w:lvlText w:val="%1）"/>
      <w:lvlJc w:val="left"/>
    </w:lvl>
  </w:abstractNum>
  <w:abstractNum w:abstractNumId="47">
    <w:nsid w:val="D4F81091"/>
    <w:multiLevelType w:val="singleLevel"/>
    <w:tmpl w:val="D4F81091"/>
    <w:lvl w:ilvl="0" w:tentative="0">
      <w:start w:val="1"/>
      <w:numFmt w:val="decimal"/>
      <w:suff w:val="nothing"/>
      <w:lvlText w:val="%1）"/>
      <w:lvlJc w:val="left"/>
    </w:lvl>
  </w:abstractNum>
  <w:abstractNum w:abstractNumId="48">
    <w:nsid w:val="D7EFD21E"/>
    <w:multiLevelType w:val="multilevel"/>
    <w:tmpl w:val="D7EFD21E"/>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D7FA48FD"/>
    <w:multiLevelType w:val="multilevel"/>
    <w:tmpl w:val="D7FA48F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D96AEE39"/>
    <w:multiLevelType w:val="singleLevel"/>
    <w:tmpl w:val="D96AEE39"/>
    <w:lvl w:ilvl="0" w:tentative="0">
      <w:start w:val="1"/>
      <w:numFmt w:val="decimal"/>
      <w:lvlText w:val="%1."/>
      <w:lvlJc w:val="left"/>
      <w:pPr>
        <w:ind w:left="425" w:hanging="425"/>
      </w:pPr>
      <w:rPr>
        <w:rFonts w:hint="default"/>
      </w:rPr>
    </w:lvl>
  </w:abstractNum>
  <w:abstractNum w:abstractNumId="51">
    <w:nsid w:val="DC8D5E70"/>
    <w:multiLevelType w:val="multilevel"/>
    <w:tmpl w:val="DC8D5E70"/>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DF3FD319"/>
    <w:multiLevelType w:val="singleLevel"/>
    <w:tmpl w:val="DF3FD319"/>
    <w:lvl w:ilvl="0" w:tentative="0">
      <w:start w:val="1"/>
      <w:numFmt w:val="decimal"/>
      <w:suff w:val="nothing"/>
      <w:lvlText w:val="%1）"/>
      <w:lvlJc w:val="left"/>
    </w:lvl>
  </w:abstractNum>
  <w:abstractNum w:abstractNumId="53">
    <w:nsid w:val="DF40EEB2"/>
    <w:multiLevelType w:val="multilevel"/>
    <w:tmpl w:val="DF40EEB2"/>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DF9368CA"/>
    <w:multiLevelType w:val="singleLevel"/>
    <w:tmpl w:val="DF9368CA"/>
    <w:lvl w:ilvl="0" w:tentative="0">
      <w:start w:val="1"/>
      <w:numFmt w:val="decimal"/>
      <w:suff w:val="nothing"/>
      <w:lvlText w:val="（%1）"/>
      <w:lvlJc w:val="left"/>
    </w:lvl>
  </w:abstractNum>
  <w:abstractNum w:abstractNumId="55">
    <w:nsid w:val="E5867833"/>
    <w:multiLevelType w:val="multilevel"/>
    <w:tmpl w:val="E5867833"/>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E6F00E53"/>
    <w:multiLevelType w:val="multilevel"/>
    <w:tmpl w:val="E6F00E53"/>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7">
    <w:nsid w:val="EC582873"/>
    <w:multiLevelType w:val="singleLevel"/>
    <w:tmpl w:val="EC582873"/>
    <w:lvl w:ilvl="0" w:tentative="0">
      <w:start w:val="1"/>
      <w:numFmt w:val="decimal"/>
      <w:lvlText w:val="%1."/>
      <w:lvlJc w:val="left"/>
      <w:pPr>
        <w:ind w:left="425" w:hanging="425"/>
      </w:pPr>
      <w:rPr>
        <w:rFonts w:hint="default"/>
      </w:rPr>
    </w:lvl>
  </w:abstractNum>
  <w:abstractNum w:abstractNumId="58">
    <w:nsid w:val="EE61BB2F"/>
    <w:multiLevelType w:val="multilevel"/>
    <w:tmpl w:val="EE61BB2F"/>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EF8EA1B8"/>
    <w:multiLevelType w:val="singleLevel"/>
    <w:tmpl w:val="EF8EA1B8"/>
    <w:lvl w:ilvl="0" w:tentative="0">
      <w:start w:val="1"/>
      <w:numFmt w:val="decimal"/>
      <w:suff w:val="nothing"/>
      <w:lvlText w:val="%1、"/>
      <w:lvlJc w:val="left"/>
    </w:lvl>
  </w:abstractNum>
  <w:abstractNum w:abstractNumId="60">
    <w:nsid w:val="F9282360"/>
    <w:multiLevelType w:val="singleLevel"/>
    <w:tmpl w:val="F9282360"/>
    <w:lvl w:ilvl="0" w:tentative="0">
      <w:start w:val="1"/>
      <w:numFmt w:val="decimal"/>
      <w:suff w:val="nothing"/>
      <w:lvlText w:val="%1）"/>
      <w:lvlJc w:val="left"/>
    </w:lvl>
  </w:abstractNum>
  <w:abstractNum w:abstractNumId="61">
    <w:nsid w:val="F9E1299F"/>
    <w:multiLevelType w:val="multilevel"/>
    <w:tmpl w:val="F9E1299F"/>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2">
    <w:nsid w:val="FB9C15FB"/>
    <w:multiLevelType w:val="singleLevel"/>
    <w:tmpl w:val="FB9C15FB"/>
    <w:lvl w:ilvl="0" w:tentative="0">
      <w:start w:val="1"/>
      <w:numFmt w:val="decimal"/>
      <w:suff w:val="nothing"/>
      <w:lvlText w:val="%1、"/>
      <w:lvlJc w:val="left"/>
    </w:lvl>
  </w:abstractNum>
  <w:abstractNum w:abstractNumId="63">
    <w:nsid w:val="FD17CB51"/>
    <w:multiLevelType w:val="singleLevel"/>
    <w:tmpl w:val="FD17CB51"/>
    <w:lvl w:ilvl="0" w:tentative="0">
      <w:start w:val="1"/>
      <w:numFmt w:val="decimal"/>
      <w:suff w:val="nothing"/>
      <w:lvlText w:val="%1、"/>
      <w:lvlJc w:val="left"/>
    </w:lvl>
  </w:abstractNum>
  <w:abstractNum w:abstractNumId="64">
    <w:nsid w:val="FD9E84A7"/>
    <w:multiLevelType w:val="multilevel"/>
    <w:tmpl w:val="FD9E84A7"/>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FF9F5DAF"/>
    <w:multiLevelType w:val="singleLevel"/>
    <w:tmpl w:val="FF9F5DAF"/>
    <w:lvl w:ilvl="0" w:tentative="0">
      <w:start w:val="1"/>
      <w:numFmt w:val="decimal"/>
      <w:suff w:val="nothing"/>
      <w:lvlText w:val="%1）"/>
      <w:lvlJc w:val="left"/>
    </w:lvl>
  </w:abstractNum>
  <w:abstractNum w:abstractNumId="66">
    <w:nsid w:val="00000001"/>
    <w:multiLevelType w:val="singleLevel"/>
    <w:tmpl w:val="00000001"/>
    <w:lvl w:ilvl="0" w:tentative="0">
      <w:start w:val="1"/>
      <w:numFmt w:val="decimal"/>
      <w:suff w:val="nothing"/>
      <w:lvlText w:val="%1）"/>
      <w:lvlJc w:val="left"/>
    </w:lvl>
  </w:abstractNum>
  <w:abstractNum w:abstractNumId="67">
    <w:nsid w:val="00000002"/>
    <w:multiLevelType w:val="multilevel"/>
    <w:tmpl w:val="00000002"/>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0000003"/>
    <w:multiLevelType w:val="multilevel"/>
    <w:tmpl w:val="00000003"/>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0000006"/>
    <w:multiLevelType w:val="singleLevel"/>
    <w:tmpl w:val="00000006"/>
    <w:lvl w:ilvl="0" w:tentative="0">
      <w:start w:val="1"/>
      <w:numFmt w:val="decimal"/>
      <w:suff w:val="nothing"/>
      <w:lvlText w:val="%1）"/>
      <w:lvlJc w:val="left"/>
    </w:lvl>
  </w:abstractNum>
  <w:abstractNum w:abstractNumId="71">
    <w:nsid w:val="00000008"/>
    <w:multiLevelType w:val="singleLevel"/>
    <w:tmpl w:val="00000008"/>
    <w:lvl w:ilvl="0" w:tentative="0">
      <w:start w:val="1"/>
      <w:numFmt w:val="decimal"/>
      <w:suff w:val="nothing"/>
      <w:lvlText w:val="%1）"/>
      <w:lvlJc w:val="left"/>
    </w:lvl>
  </w:abstractNum>
  <w:abstractNum w:abstractNumId="72">
    <w:nsid w:val="0000000A"/>
    <w:multiLevelType w:val="multilevel"/>
    <w:tmpl w:val="0000000A"/>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0B"/>
    <w:multiLevelType w:val="singleLevel"/>
    <w:tmpl w:val="0000000B"/>
    <w:lvl w:ilvl="0" w:tentative="0">
      <w:start w:val="1"/>
      <w:numFmt w:val="decimal"/>
      <w:suff w:val="nothing"/>
      <w:lvlText w:val="%1）"/>
      <w:lvlJc w:val="left"/>
    </w:lvl>
  </w:abstractNum>
  <w:abstractNum w:abstractNumId="74">
    <w:nsid w:val="0000000C"/>
    <w:multiLevelType w:val="singleLevel"/>
    <w:tmpl w:val="0000000C"/>
    <w:lvl w:ilvl="0" w:tentative="0">
      <w:start w:val="1"/>
      <w:numFmt w:val="decimal"/>
      <w:suff w:val="nothing"/>
      <w:lvlText w:val="%1）"/>
      <w:lvlJc w:val="left"/>
    </w:lvl>
  </w:abstractNum>
  <w:abstractNum w:abstractNumId="75">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6">
    <w:nsid w:val="0000000F"/>
    <w:multiLevelType w:val="multilevel"/>
    <w:tmpl w:val="0000000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00000010"/>
    <w:multiLevelType w:val="singleLevel"/>
    <w:tmpl w:val="00000010"/>
    <w:lvl w:ilvl="0" w:tentative="0">
      <w:start w:val="8"/>
      <w:numFmt w:val="japaneseCounting"/>
      <w:lvlText w:val="第%1条"/>
      <w:lvlJc w:val="left"/>
      <w:pPr>
        <w:tabs>
          <w:tab w:val="left" w:pos="1440"/>
        </w:tabs>
        <w:ind w:left="1440" w:hanging="960"/>
      </w:pPr>
      <w:rPr>
        <w:rFonts w:hint="eastAsia"/>
      </w:rPr>
    </w:lvl>
  </w:abstractNum>
  <w:abstractNum w:abstractNumId="78">
    <w:nsid w:val="00000012"/>
    <w:multiLevelType w:val="multilevel"/>
    <w:tmpl w:val="00000012"/>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13"/>
    <w:multiLevelType w:val="multilevel"/>
    <w:tmpl w:val="00000013"/>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14"/>
    <w:multiLevelType w:val="multilevel"/>
    <w:tmpl w:val="00000014"/>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00000020"/>
    <w:multiLevelType w:val="singleLevel"/>
    <w:tmpl w:val="00000020"/>
    <w:lvl w:ilvl="0" w:tentative="0">
      <w:start w:val="1"/>
      <w:numFmt w:val="decimal"/>
      <w:suff w:val="nothing"/>
      <w:lvlText w:val="%1）"/>
      <w:lvlJc w:val="left"/>
    </w:lvl>
  </w:abstractNum>
  <w:abstractNum w:abstractNumId="82">
    <w:nsid w:val="00000021"/>
    <w:multiLevelType w:val="multilevel"/>
    <w:tmpl w:val="00000021"/>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00000022"/>
    <w:multiLevelType w:val="singleLevel"/>
    <w:tmpl w:val="00000022"/>
    <w:lvl w:ilvl="0" w:tentative="0">
      <w:start w:val="1"/>
      <w:numFmt w:val="decimal"/>
      <w:suff w:val="nothing"/>
      <w:lvlText w:val="%1）"/>
      <w:lvlJc w:val="left"/>
    </w:lvl>
  </w:abstractNum>
  <w:abstractNum w:abstractNumId="84">
    <w:nsid w:val="00000024"/>
    <w:multiLevelType w:val="multilevel"/>
    <w:tmpl w:val="00000024"/>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00000025"/>
    <w:multiLevelType w:val="multilevel"/>
    <w:tmpl w:val="00000025"/>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00000027"/>
    <w:multiLevelType w:val="multilevel"/>
    <w:tmpl w:val="00000027"/>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00000028"/>
    <w:multiLevelType w:val="multilevel"/>
    <w:tmpl w:val="00000028"/>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00000029"/>
    <w:multiLevelType w:val="multilevel"/>
    <w:tmpl w:val="00000029"/>
    <w:lvl w:ilvl="0" w:tentative="0">
      <w:start w:val="1"/>
      <w:numFmt w:val="decimal"/>
      <w:suff w:val="nothing"/>
      <w:lvlText w:val="%1、"/>
      <w:lvlJc w:val="left"/>
      <w:pPr>
        <w:ind w:left="178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0000002A"/>
    <w:multiLevelType w:val="multilevel"/>
    <w:tmpl w:val="0000002A"/>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0000002B"/>
    <w:multiLevelType w:val="multilevel"/>
    <w:tmpl w:val="0000002B"/>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0000002C"/>
    <w:multiLevelType w:val="multilevel"/>
    <w:tmpl w:val="0000002C"/>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0000002D"/>
    <w:multiLevelType w:val="multilevel"/>
    <w:tmpl w:val="0000002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0000002E"/>
    <w:multiLevelType w:val="multilevel"/>
    <w:tmpl w:val="0000002E"/>
    <w:lvl w:ilvl="0" w:tentative="0">
      <w:start w:val="1"/>
      <w:numFmt w:val="decimal"/>
      <w:suff w:val="noth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94">
    <w:nsid w:val="0000002F"/>
    <w:multiLevelType w:val="singleLevel"/>
    <w:tmpl w:val="0000002F"/>
    <w:lvl w:ilvl="0" w:tentative="0">
      <w:start w:val="1"/>
      <w:numFmt w:val="decimal"/>
      <w:suff w:val="nothing"/>
      <w:lvlText w:val="%1）"/>
      <w:lvlJc w:val="left"/>
    </w:lvl>
  </w:abstractNum>
  <w:abstractNum w:abstractNumId="95">
    <w:nsid w:val="00000031"/>
    <w:multiLevelType w:val="singleLevel"/>
    <w:tmpl w:val="00000031"/>
    <w:lvl w:ilvl="0" w:tentative="0">
      <w:start w:val="1"/>
      <w:numFmt w:val="decimal"/>
      <w:suff w:val="nothing"/>
      <w:lvlText w:val="%1）"/>
      <w:lvlJc w:val="left"/>
    </w:lvl>
  </w:abstractNum>
  <w:abstractNum w:abstractNumId="96">
    <w:nsid w:val="00000033"/>
    <w:multiLevelType w:val="singleLevel"/>
    <w:tmpl w:val="00000033"/>
    <w:lvl w:ilvl="0" w:tentative="0">
      <w:start w:val="1"/>
      <w:numFmt w:val="decimal"/>
      <w:suff w:val="nothing"/>
      <w:lvlText w:val="%1）"/>
      <w:lvlJc w:val="left"/>
    </w:lvl>
  </w:abstractNum>
  <w:abstractNum w:abstractNumId="97">
    <w:nsid w:val="00000035"/>
    <w:multiLevelType w:val="singleLevel"/>
    <w:tmpl w:val="00000035"/>
    <w:lvl w:ilvl="0" w:tentative="0">
      <w:start w:val="1"/>
      <w:numFmt w:val="decimal"/>
      <w:suff w:val="nothing"/>
      <w:lvlText w:val="%1）"/>
      <w:lvlJc w:val="left"/>
    </w:lvl>
  </w:abstractNum>
  <w:abstractNum w:abstractNumId="98">
    <w:nsid w:val="00000036"/>
    <w:multiLevelType w:val="multilevel"/>
    <w:tmpl w:val="00000036"/>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0022EE68"/>
    <w:multiLevelType w:val="multilevel"/>
    <w:tmpl w:val="0022EE68"/>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012F1082"/>
    <w:multiLevelType w:val="multilevel"/>
    <w:tmpl w:val="012F1082"/>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033AF5CC"/>
    <w:multiLevelType w:val="multilevel"/>
    <w:tmpl w:val="033AF5CC"/>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03ABB447"/>
    <w:multiLevelType w:val="multilevel"/>
    <w:tmpl w:val="03ABB447"/>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0439ED4E"/>
    <w:multiLevelType w:val="multilevel"/>
    <w:tmpl w:val="0439ED4E"/>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04A3169A"/>
    <w:multiLevelType w:val="singleLevel"/>
    <w:tmpl w:val="04A3169A"/>
    <w:lvl w:ilvl="0" w:tentative="0">
      <w:start w:val="1"/>
      <w:numFmt w:val="decimal"/>
      <w:lvlText w:val="(%1)"/>
      <w:lvlJc w:val="left"/>
      <w:pPr>
        <w:ind w:left="425" w:hanging="425"/>
      </w:pPr>
      <w:rPr>
        <w:rFonts w:hint="default"/>
      </w:rPr>
    </w:lvl>
  </w:abstractNum>
  <w:abstractNum w:abstractNumId="105">
    <w:nsid w:val="04B398BA"/>
    <w:multiLevelType w:val="singleLevel"/>
    <w:tmpl w:val="04B398BA"/>
    <w:lvl w:ilvl="0" w:tentative="0">
      <w:start w:val="1"/>
      <w:numFmt w:val="decimal"/>
      <w:lvlText w:val="%1."/>
      <w:lvlJc w:val="left"/>
      <w:pPr>
        <w:ind w:left="425" w:hanging="425"/>
      </w:pPr>
      <w:rPr>
        <w:rFonts w:hint="default"/>
      </w:rPr>
    </w:lvl>
  </w:abstractNum>
  <w:abstractNum w:abstractNumId="106">
    <w:nsid w:val="08EA12CF"/>
    <w:multiLevelType w:val="multilevel"/>
    <w:tmpl w:val="08EA12C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08F70496"/>
    <w:multiLevelType w:val="singleLevel"/>
    <w:tmpl w:val="08F70496"/>
    <w:lvl w:ilvl="0" w:tentative="0">
      <w:start w:val="1"/>
      <w:numFmt w:val="decimal"/>
      <w:lvlText w:val="%1."/>
      <w:lvlJc w:val="left"/>
      <w:pPr>
        <w:ind w:left="425" w:hanging="425"/>
      </w:pPr>
      <w:rPr>
        <w:rFonts w:hint="default"/>
      </w:rPr>
    </w:lvl>
  </w:abstractNum>
  <w:abstractNum w:abstractNumId="108">
    <w:nsid w:val="0C9503BB"/>
    <w:multiLevelType w:val="singleLevel"/>
    <w:tmpl w:val="0C9503BB"/>
    <w:lvl w:ilvl="0" w:tentative="0">
      <w:start w:val="1"/>
      <w:numFmt w:val="decimal"/>
      <w:suff w:val="nothing"/>
      <w:lvlText w:val="%1）"/>
      <w:lvlJc w:val="left"/>
    </w:lvl>
  </w:abstractNum>
  <w:abstractNum w:abstractNumId="109">
    <w:nsid w:val="0D4B1B9F"/>
    <w:multiLevelType w:val="multilevel"/>
    <w:tmpl w:val="0D4B1B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0E2FDA73"/>
    <w:multiLevelType w:val="multilevel"/>
    <w:tmpl w:val="0E2FDA7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1">
    <w:nsid w:val="0EA4275B"/>
    <w:multiLevelType w:val="singleLevel"/>
    <w:tmpl w:val="0EA4275B"/>
    <w:lvl w:ilvl="0" w:tentative="0">
      <w:start w:val="1"/>
      <w:numFmt w:val="decimal"/>
      <w:suff w:val="nothing"/>
      <w:lvlText w:val="（%1）"/>
      <w:lvlJc w:val="left"/>
    </w:lvl>
  </w:abstractNum>
  <w:abstractNum w:abstractNumId="112">
    <w:nsid w:val="129A0E3C"/>
    <w:multiLevelType w:val="singleLevel"/>
    <w:tmpl w:val="129A0E3C"/>
    <w:lvl w:ilvl="0" w:tentative="0">
      <w:start w:val="1"/>
      <w:numFmt w:val="decimal"/>
      <w:suff w:val="nothing"/>
      <w:lvlText w:val="%1）"/>
      <w:lvlJc w:val="left"/>
    </w:lvl>
  </w:abstractNum>
  <w:abstractNum w:abstractNumId="11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153312D5"/>
    <w:multiLevelType w:val="multilevel"/>
    <w:tmpl w:val="153312D5"/>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15B97986"/>
    <w:multiLevelType w:val="singleLevel"/>
    <w:tmpl w:val="15B97986"/>
    <w:lvl w:ilvl="0" w:tentative="0">
      <w:start w:val="1"/>
      <w:numFmt w:val="decimal"/>
      <w:suff w:val="nothing"/>
      <w:lvlText w:val="%1）"/>
      <w:lvlJc w:val="left"/>
    </w:lvl>
  </w:abstractNum>
  <w:abstractNum w:abstractNumId="116">
    <w:nsid w:val="18A58246"/>
    <w:multiLevelType w:val="singleLevel"/>
    <w:tmpl w:val="18A58246"/>
    <w:lvl w:ilvl="0" w:tentative="0">
      <w:start w:val="1"/>
      <w:numFmt w:val="decimal"/>
      <w:lvlText w:val="%1."/>
      <w:lvlJc w:val="left"/>
      <w:pPr>
        <w:ind w:left="425" w:hanging="425"/>
      </w:pPr>
      <w:rPr>
        <w:rFonts w:hint="default"/>
      </w:rPr>
    </w:lvl>
  </w:abstractNum>
  <w:abstractNum w:abstractNumId="117">
    <w:nsid w:val="1CA2B890"/>
    <w:multiLevelType w:val="singleLevel"/>
    <w:tmpl w:val="1CA2B890"/>
    <w:lvl w:ilvl="0" w:tentative="0">
      <w:start w:val="1"/>
      <w:numFmt w:val="decimal"/>
      <w:suff w:val="nothing"/>
      <w:lvlText w:val="%1）"/>
      <w:lvlJc w:val="left"/>
    </w:lvl>
  </w:abstractNum>
  <w:abstractNum w:abstractNumId="118">
    <w:nsid w:val="1CDF3E21"/>
    <w:multiLevelType w:val="multilevel"/>
    <w:tmpl w:val="1CDF3E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9">
    <w:nsid w:val="203073F9"/>
    <w:multiLevelType w:val="multilevel"/>
    <w:tmpl w:val="203073F9"/>
    <w:lvl w:ilvl="0" w:tentative="0">
      <w:start w:val="1"/>
      <w:numFmt w:val="decimal"/>
      <w:lvlText w:val="%1."/>
      <w:lvlJc w:val="center"/>
      <w:pPr>
        <w:ind w:left="624" w:hanging="624"/>
      </w:pPr>
      <w:rPr>
        <w:rFonts w:hint="eastAsia" w:ascii="宋体" w:hAnsi="宋体" w:eastAsia="宋体"/>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20A6925D"/>
    <w:multiLevelType w:val="multilevel"/>
    <w:tmpl w:val="20A6925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230B176A"/>
    <w:multiLevelType w:val="multilevel"/>
    <w:tmpl w:val="230B176A"/>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235ABB3A"/>
    <w:multiLevelType w:val="multilevel"/>
    <w:tmpl w:val="235ABB3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4">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5">
    <w:nsid w:val="27182812"/>
    <w:multiLevelType w:val="singleLevel"/>
    <w:tmpl w:val="27182812"/>
    <w:lvl w:ilvl="0" w:tentative="0">
      <w:start w:val="1"/>
      <w:numFmt w:val="decimal"/>
      <w:suff w:val="nothing"/>
      <w:lvlText w:val="%1）"/>
      <w:lvlJc w:val="left"/>
    </w:lvl>
  </w:abstractNum>
  <w:abstractNum w:abstractNumId="126">
    <w:nsid w:val="2734CE89"/>
    <w:multiLevelType w:val="singleLevel"/>
    <w:tmpl w:val="2734CE89"/>
    <w:lvl w:ilvl="0" w:tentative="0">
      <w:start w:val="1"/>
      <w:numFmt w:val="decimal"/>
      <w:suff w:val="nothing"/>
      <w:lvlText w:val="%1）"/>
      <w:lvlJc w:val="left"/>
    </w:lvl>
  </w:abstractNum>
  <w:abstractNum w:abstractNumId="127">
    <w:nsid w:val="27CDAA95"/>
    <w:multiLevelType w:val="multilevel"/>
    <w:tmpl w:val="27CDAA95"/>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8">
    <w:nsid w:val="28128574"/>
    <w:multiLevelType w:val="singleLevel"/>
    <w:tmpl w:val="28128574"/>
    <w:lvl w:ilvl="0" w:tentative="0">
      <w:start w:val="1"/>
      <w:numFmt w:val="decimal"/>
      <w:suff w:val="nothing"/>
      <w:lvlText w:val="%1、"/>
      <w:lvlJc w:val="left"/>
    </w:lvl>
  </w:abstractNum>
  <w:abstractNum w:abstractNumId="129">
    <w:nsid w:val="2F0A7C4C"/>
    <w:multiLevelType w:val="multilevel"/>
    <w:tmpl w:val="2F0A7C4C"/>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3060475D"/>
    <w:multiLevelType w:val="singleLevel"/>
    <w:tmpl w:val="3060475D"/>
    <w:lvl w:ilvl="0" w:tentative="0">
      <w:start w:val="1"/>
      <w:numFmt w:val="decimal"/>
      <w:suff w:val="nothing"/>
      <w:lvlText w:val="%1）"/>
      <w:lvlJc w:val="left"/>
    </w:lvl>
  </w:abstractNum>
  <w:abstractNum w:abstractNumId="131">
    <w:nsid w:val="3085E5F9"/>
    <w:multiLevelType w:val="singleLevel"/>
    <w:tmpl w:val="3085E5F9"/>
    <w:lvl w:ilvl="0" w:tentative="0">
      <w:start w:val="1"/>
      <w:numFmt w:val="decimal"/>
      <w:lvlText w:val="%1."/>
      <w:lvlJc w:val="left"/>
      <w:pPr>
        <w:ind w:left="425" w:hanging="425"/>
      </w:pPr>
      <w:rPr>
        <w:rFonts w:hint="default"/>
      </w:rPr>
    </w:lvl>
  </w:abstractNum>
  <w:abstractNum w:abstractNumId="132">
    <w:nsid w:val="3504B602"/>
    <w:multiLevelType w:val="singleLevel"/>
    <w:tmpl w:val="3504B602"/>
    <w:lvl w:ilvl="0" w:tentative="0">
      <w:start w:val="1"/>
      <w:numFmt w:val="decimal"/>
      <w:lvlText w:val="(%1)"/>
      <w:lvlJc w:val="left"/>
      <w:pPr>
        <w:ind w:left="425" w:hanging="425"/>
      </w:pPr>
      <w:rPr>
        <w:rFonts w:hint="default"/>
      </w:rPr>
    </w:lvl>
  </w:abstractNum>
  <w:abstractNum w:abstractNumId="133">
    <w:nsid w:val="35EBCC86"/>
    <w:multiLevelType w:val="singleLevel"/>
    <w:tmpl w:val="35EBCC86"/>
    <w:lvl w:ilvl="0" w:tentative="0">
      <w:start w:val="1"/>
      <w:numFmt w:val="decimal"/>
      <w:suff w:val="nothing"/>
      <w:lvlText w:val="%1）"/>
      <w:lvlJc w:val="left"/>
    </w:lvl>
  </w:abstractNum>
  <w:abstractNum w:abstractNumId="134">
    <w:nsid w:val="37ED29C1"/>
    <w:multiLevelType w:val="multilevel"/>
    <w:tmpl w:val="37ED29C1"/>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38D1262A"/>
    <w:multiLevelType w:val="multilevel"/>
    <w:tmpl w:val="38D1262A"/>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7">
    <w:nsid w:val="3937C871"/>
    <w:multiLevelType w:val="multilevel"/>
    <w:tmpl w:val="3937C87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8">
    <w:nsid w:val="3A224318"/>
    <w:multiLevelType w:val="multilevel"/>
    <w:tmpl w:val="3A224318"/>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40">
    <w:nsid w:val="3D9E7FBC"/>
    <w:multiLevelType w:val="singleLevel"/>
    <w:tmpl w:val="3D9E7FBC"/>
    <w:lvl w:ilvl="0" w:tentative="0">
      <w:start w:val="1"/>
      <w:numFmt w:val="decimal"/>
      <w:lvlText w:val="%1"/>
      <w:lvlJc w:val="left"/>
      <w:pPr>
        <w:tabs>
          <w:tab w:val="left" w:pos="420"/>
        </w:tabs>
        <w:ind w:left="425" w:hanging="425"/>
      </w:pPr>
      <w:rPr>
        <w:rFonts w:hint="default"/>
      </w:rPr>
    </w:lvl>
  </w:abstractNum>
  <w:abstractNum w:abstractNumId="141">
    <w:nsid w:val="3DEC9748"/>
    <w:multiLevelType w:val="singleLevel"/>
    <w:tmpl w:val="3DEC9748"/>
    <w:lvl w:ilvl="0" w:tentative="0">
      <w:start w:val="1"/>
      <w:numFmt w:val="decimal"/>
      <w:lvlText w:val="%1"/>
      <w:lvlJc w:val="left"/>
      <w:pPr>
        <w:tabs>
          <w:tab w:val="left" w:pos="420"/>
        </w:tabs>
        <w:ind w:left="425" w:hanging="425"/>
      </w:pPr>
      <w:rPr>
        <w:rFonts w:hint="default"/>
      </w:rPr>
    </w:lvl>
  </w:abstractNum>
  <w:abstractNum w:abstractNumId="142">
    <w:nsid w:val="426AE3FE"/>
    <w:multiLevelType w:val="singleLevel"/>
    <w:tmpl w:val="426AE3FE"/>
    <w:lvl w:ilvl="0" w:tentative="0">
      <w:start w:val="1"/>
      <w:numFmt w:val="decimal"/>
      <w:lvlText w:val="%1"/>
      <w:lvlJc w:val="left"/>
      <w:pPr>
        <w:tabs>
          <w:tab w:val="left" w:pos="420"/>
        </w:tabs>
        <w:ind w:left="425" w:hanging="425"/>
      </w:pPr>
      <w:rPr>
        <w:rFonts w:hint="default"/>
      </w:rPr>
    </w:lvl>
  </w:abstractNum>
  <w:abstractNum w:abstractNumId="143">
    <w:nsid w:val="42CB4F14"/>
    <w:multiLevelType w:val="singleLevel"/>
    <w:tmpl w:val="42CB4F14"/>
    <w:lvl w:ilvl="0" w:tentative="0">
      <w:start w:val="1"/>
      <w:numFmt w:val="decimal"/>
      <w:lvlText w:val="%1"/>
      <w:lvlJc w:val="left"/>
      <w:pPr>
        <w:tabs>
          <w:tab w:val="left" w:pos="420"/>
        </w:tabs>
        <w:ind w:left="425" w:hanging="425"/>
      </w:pPr>
      <w:rPr>
        <w:rFonts w:hint="default"/>
      </w:rPr>
    </w:lvl>
  </w:abstractNum>
  <w:abstractNum w:abstractNumId="144">
    <w:nsid w:val="42D11E4A"/>
    <w:multiLevelType w:val="multilevel"/>
    <w:tmpl w:val="42D11E4A"/>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5">
    <w:nsid w:val="432A7D39"/>
    <w:multiLevelType w:val="multilevel"/>
    <w:tmpl w:val="432A7D39"/>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46">
    <w:nsid w:val="49B0187A"/>
    <w:multiLevelType w:val="multilevel"/>
    <w:tmpl w:val="49B0187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48">
    <w:nsid w:val="4B37505A"/>
    <w:multiLevelType w:val="multilevel"/>
    <w:tmpl w:val="4B37505A"/>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4D621402"/>
    <w:multiLevelType w:val="singleLevel"/>
    <w:tmpl w:val="4D621402"/>
    <w:lvl w:ilvl="0" w:tentative="0">
      <w:start w:val="1"/>
      <w:numFmt w:val="decimal"/>
      <w:lvlText w:val="%1"/>
      <w:lvlJc w:val="left"/>
      <w:pPr>
        <w:tabs>
          <w:tab w:val="left" w:pos="420"/>
        </w:tabs>
        <w:ind w:left="425" w:hanging="425"/>
      </w:pPr>
      <w:rPr>
        <w:rFonts w:hint="default"/>
      </w:rPr>
    </w:lvl>
  </w:abstractNum>
  <w:abstractNum w:abstractNumId="150">
    <w:nsid w:val="50675357"/>
    <w:multiLevelType w:val="multilevel"/>
    <w:tmpl w:val="50675357"/>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1">
    <w:nsid w:val="52D33979"/>
    <w:multiLevelType w:val="multilevel"/>
    <w:tmpl w:val="52D33979"/>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2">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3">
    <w:nsid w:val="54F56DE0"/>
    <w:multiLevelType w:val="singleLevel"/>
    <w:tmpl w:val="54F56DE0"/>
    <w:lvl w:ilvl="0" w:tentative="0">
      <w:start w:val="1"/>
      <w:numFmt w:val="decimal"/>
      <w:suff w:val="nothing"/>
      <w:lvlText w:val="%1）"/>
      <w:lvlJc w:val="left"/>
    </w:lvl>
  </w:abstractNum>
  <w:abstractNum w:abstractNumId="154">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155">
    <w:nsid w:val="56C3E73E"/>
    <w:multiLevelType w:val="multilevel"/>
    <w:tmpl w:val="56C3E73E"/>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6">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7">
    <w:nsid w:val="57511025"/>
    <w:multiLevelType w:val="singleLevel"/>
    <w:tmpl w:val="57511025"/>
    <w:lvl w:ilvl="0" w:tentative="0">
      <w:start w:val="1"/>
      <w:numFmt w:val="decimal"/>
      <w:suff w:val="nothing"/>
      <w:lvlText w:val="%1）"/>
      <w:lvlJc w:val="left"/>
    </w:lvl>
  </w:abstractNum>
  <w:abstractNum w:abstractNumId="158">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159">
    <w:nsid w:val="595D8462"/>
    <w:multiLevelType w:val="multilevel"/>
    <w:tmpl w:val="595D8462"/>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0">
    <w:nsid w:val="59B54A3C"/>
    <w:multiLevelType w:val="singleLevel"/>
    <w:tmpl w:val="59B54A3C"/>
    <w:lvl w:ilvl="0" w:tentative="0">
      <w:start w:val="1"/>
      <w:numFmt w:val="decimal"/>
      <w:lvlText w:val="%1."/>
      <w:lvlJc w:val="left"/>
      <w:pPr>
        <w:ind w:left="425" w:hanging="425"/>
      </w:pPr>
      <w:rPr>
        <w:rFonts w:hint="default"/>
      </w:rPr>
    </w:lvl>
  </w:abstractNum>
  <w:abstractNum w:abstractNumId="161">
    <w:nsid w:val="5C656443"/>
    <w:multiLevelType w:val="singleLevel"/>
    <w:tmpl w:val="5C656443"/>
    <w:lvl w:ilvl="0" w:tentative="0">
      <w:start w:val="1"/>
      <w:numFmt w:val="decimal"/>
      <w:suff w:val="nothing"/>
      <w:lvlText w:val="%1）"/>
      <w:lvlJc w:val="left"/>
    </w:lvl>
  </w:abstractNum>
  <w:abstractNum w:abstractNumId="162">
    <w:nsid w:val="5C9DE3AD"/>
    <w:multiLevelType w:val="singleLevel"/>
    <w:tmpl w:val="5C9DE3AD"/>
    <w:lvl w:ilvl="0" w:tentative="0">
      <w:start w:val="1"/>
      <w:numFmt w:val="decimal"/>
      <w:suff w:val="nothing"/>
      <w:lvlText w:val="%1）"/>
      <w:lvlJc w:val="left"/>
    </w:lvl>
  </w:abstractNum>
  <w:abstractNum w:abstractNumId="163">
    <w:nsid w:val="5D9BAE0D"/>
    <w:multiLevelType w:val="multilevel"/>
    <w:tmpl w:val="5D9BAE0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4">
    <w:nsid w:val="6268E1C0"/>
    <w:multiLevelType w:val="multilevel"/>
    <w:tmpl w:val="6268E1C0"/>
    <w:lvl w:ilvl="0" w:tentative="0">
      <w:start w:val="1"/>
      <w:numFmt w:val="decimal"/>
      <w:suff w:val="nothing"/>
      <w:lvlText w:val="%1、"/>
      <w:lvlJc w:val="left"/>
      <w:pPr>
        <w:ind w:left="22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5">
    <w:nsid w:val="66653320"/>
    <w:multiLevelType w:val="singleLevel"/>
    <w:tmpl w:val="66653320"/>
    <w:lvl w:ilvl="0" w:tentative="0">
      <w:start w:val="1"/>
      <w:numFmt w:val="decimal"/>
      <w:suff w:val="nothing"/>
      <w:lvlText w:val="（%1）"/>
      <w:lvlJc w:val="left"/>
    </w:lvl>
  </w:abstractNum>
  <w:abstractNum w:abstractNumId="166">
    <w:nsid w:val="69C56FEF"/>
    <w:multiLevelType w:val="multilevel"/>
    <w:tmpl w:val="69C56FE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7">
    <w:nsid w:val="6A2AB64F"/>
    <w:multiLevelType w:val="multilevel"/>
    <w:tmpl w:val="6A2AB64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8">
    <w:nsid w:val="6AD7BC02"/>
    <w:multiLevelType w:val="multilevel"/>
    <w:tmpl w:val="6AD7BC02"/>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9">
    <w:nsid w:val="6CD7786D"/>
    <w:multiLevelType w:val="singleLevel"/>
    <w:tmpl w:val="6CD7786D"/>
    <w:lvl w:ilvl="0" w:tentative="0">
      <w:start w:val="1"/>
      <w:numFmt w:val="decimal"/>
      <w:suff w:val="nothing"/>
      <w:lvlText w:val="%1）"/>
      <w:lvlJc w:val="left"/>
    </w:lvl>
  </w:abstractNum>
  <w:abstractNum w:abstractNumId="170">
    <w:nsid w:val="6ECE3516"/>
    <w:multiLevelType w:val="multilevel"/>
    <w:tmpl w:val="6ECE351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1">
    <w:nsid w:val="7061088D"/>
    <w:multiLevelType w:val="multilevel"/>
    <w:tmpl w:val="7061088D"/>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2">
    <w:nsid w:val="7468E46D"/>
    <w:multiLevelType w:val="multilevel"/>
    <w:tmpl w:val="7468E46D"/>
    <w:lvl w:ilvl="0" w:tentative="0">
      <w:start w:val="1"/>
      <w:numFmt w:val="decimal"/>
      <w:suff w:val="noth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73">
    <w:nsid w:val="76307D6E"/>
    <w:multiLevelType w:val="singleLevel"/>
    <w:tmpl w:val="76307D6E"/>
    <w:lvl w:ilvl="0" w:tentative="0">
      <w:start w:val="1"/>
      <w:numFmt w:val="decimal"/>
      <w:suff w:val="nothing"/>
      <w:lvlText w:val="%1）"/>
      <w:lvlJc w:val="left"/>
    </w:lvl>
  </w:abstractNum>
  <w:abstractNum w:abstractNumId="174">
    <w:nsid w:val="77CEA08A"/>
    <w:multiLevelType w:val="singleLevel"/>
    <w:tmpl w:val="77CEA08A"/>
    <w:lvl w:ilvl="0" w:tentative="0">
      <w:start w:val="1"/>
      <w:numFmt w:val="decimal"/>
      <w:suff w:val="nothing"/>
      <w:lvlText w:val="%1）"/>
      <w:lvlJc w:val="left"/>
    </w:lvl>
  </w:abstractNum>
  <w:abstractNum w:abstractNumId="17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6">
    <w:nsid w:val="79CC6223"/>
    <w:multiLevelType w:val="multilevel"/>
    <w:tmpl w:val="79CC6223"/>
    <w:lvl w:ilvl="0" w:tentative="0">
      <w:start w:val="1"/>
      <w:numFmt w:val="decimal"/>
      <w:suff w:val="nothing"/>
      <w:lvlText w:val="%1、"/>
      <w:lvlJc w:val="left"/>
      <w:pPr>
        <w:ind w:left="1787" w:hanging="22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7">
    <w:nsid w:val="7CB5911A"/>
    <w:multiLevelType w:val="singleLevel"/>
    <w:tmpl w:val="7CB5911A"/>
    <w:lvl w:ilvl="0" w:tentative="0">
      <w:start w:val="1"/>
      <w:numFmt w:val="decimal"/>
      <w:suff w:val="nothing"/>
      <w:lvlText w:val="%1）"/>
      <w:lvlJc w:val="left"/>
    </w:lvl>
  </w:abstractNum>
  <w:abstractNum w:abstractNumId="178">
    <w:nsid w:val="7DD4A13D"/>
    <w:multiLevelType w:val="multilevel"/>
    <w:tmpl w:val="7DD4A13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9">
    <w:nsid w:val="7E77841F"/>
    <w:multiLevelType w:val="multilevel"/>
    <w:tmpl w:val="7E77841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5"/>
  </w:num>
  <w:num w:numId="2">
    <w:abstractNumId w:val="154"/>
  </w:num>
  <w:num w:numId="3">
    <w:abstractNumId w:val="109"/>
  </w:num>
  <w:num w:numId="4">
    <w:abstractNumId w:val="156"/>
  </w:num>
  <w:num w:numId="5">
    <w:abstractNumId w:val="7"/>
  </w:num>
  <w:num w:numId="6">
    <w:abstractNumId w:val="132"/>
  </w:num>
  <w:num w:numId="7">
    <w:abstractNumId w:val="168"/>
  </w:num>
  <w:num w:numId="8">
    <w:abstractNumId w:val="152"/>
  </w:num>
  <w:num w:numId="9">
    <w:abstractNumId w:val="127"/>
  </w:num>
  <w:num w:numId="10">
    <w:abstractNumId w:val="104"/>
  </w:num>
  <w:num w:numId="11">
    <w:abstractNumId w:val="57"/>
  </w:num>
  <w:num w:numId="12">
    <w:abstractNumId w:val="24"/>
  </w:num>
  <w:num w:numId="13">
    <w:abstractNumId w:val="23"/>
  </w:num>
  <w:num w:numId="14">
    <w:abstractNumId w:val="110"/>
  </w:num>
  <w:num w:numId="15">
    <w:abstractNumId w:val="98"/>
  </w:num>
  <w:num w:numId="16">
    <w:abstractNumId w:val="88"/>
  </w:num>
  <w:num w:numId="17">
    <w:abstractNumId w:val="90"/>
  </w:num>
  <w:num w:numId="18">
    <w:abstractNumId w:val="85"/>
  </w:num>
  <w:num w:numId="19">
    <w:abstractNumId w:val="87"/>
  </w:num>
  <w:num w:numId="20">
    <w:abstractNumId w:val="93"/>
  </w:num>
  <w:num w:numId="21">
    <w:abstractNumId w:val="79"/>
  </w:num>
  <w:num w:numId="22">
    <w:abstractNumId w:val="89"/>
  </w:num>
  <w:num w:numId="23">
    <w:abstractNumId w:val="129"/>
  </w:num>
  <w:num w:numId="24">
    <w:abstractNumId w:val="78"/>
  </w:num>
  <w:num w:numId="25">
    <w:abstractNumId w:val="91"/>
  </w:num>
  <w:num w:numId="26">
    <w:abstractNumId w:val="71"/>
  </w:num>
  <w:num w:numId="27">
    <w:abstractNumId w:val="84"/>
  </w:num>
  <w:num w:numId="28">
    <w:abstractNumId w:val="97"/>
  </w:num>
  <w:num w:numId="29">
    <w:abstractNumId w:val="95"/>
  </w:num>
  <w:num w:numId="30">
    <w:abstractNumId w:val="73"/>
  </w:num>
  <w:num w:numId="31">
    <w:abstractNumId w:val="68"/>
  </w:num>
  <w:num w:numId="32">
    <w:abstractNumId w:val="80"/>
  </w:num>
  <w:num w:numId="33">
    <w:abstractNumId w:val="70"/>
  </w:num>
  <w:num w:numId="34">
    <w:abstractNumId w:val="39"/>
  </w:num>
  <w:num w:numId="35">
    <w:abstractNumId w:val="72"/>
  </w:num>
  <w:num w:numId="36">
    <w:abstractNumId w:val="76"/>
  </w:num>
  <w:num w:numId="37">
    <w:abstractNumId w:val="66"/>
  </w:num>
  <w:num w:numId="38">
    <w:abstractNumId w:val="83"/>
  </w:num>
  <w:num w:numId="39">
    <w:abstractNumId w:val="74"/>
  </w:num>
  <w:num w:numId="40">
    <w:abstractNumId w:val="67"/>
  </w:num>
  <w:num w:numId="41">
    <w:abstractNumId w:val="167"/>
  </w:num>
  <w:num w:numId="42">
    <w:abstractNumId w:val="30"/>
  </w:num>
  <w:num w:numId="43">
    <w:abstractNumId w:val="86"/>
  </w:num>
  <w:num w:numId="44">
    <w:abstractNumId w:val="92"/>
  </w:num>
  <w:num w:numId="45">
    <w:abstractNumId w:val="81"/>
  </w:num>
  <w:num w:numId="46">
    <w:abstractNumId w:val="15"/>
  </w:num>
  <w:num w:numId="47">
    <w:abstractNumId w:val="96"/>
  </w:num>
  <w:num w:numId="48">
    <w:abstractNumId w:val="94"/>
  </w:num>
  <w:num w:numId="49">
    <w:abstractNumId w:val="82"/>
  </w:num>
  <w:num w:numId="5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9"/>
  </w:num>
  <w:num w:numId="52">
    <w:abstractNumId w:val="176"/>
  </w:num>
  <w:num w:numId="53">
    <w:abstractNumId w:val="45"/>
  </w:num>
  <w:num w:numId="54">
    <w:abstractNumId w:val="51"/>
  </w:num>
  <w:num w:numId="55">
    <w:abstractNumId w:val="103"/>
  </w:num>
  <w:num w:numId="56">
    <w:abstractNumId w:val="172"/>
  </w:num>
  <w:num w:numId="57">
    <w:abstractNumId w:val="1"/>
  </w:num>
  <w:num w:numId="58">
    <w:abstractNumId w:val="6"/>
  </w:num>
  <w:num w:numId="59">
    <w:abstractNumId w:val="178"/>
  </w:num>
  <w:num w:numId="60">
    <w:abstractNumId w:val="25"/>
  </w:num>
  <w:num w:numId="61">
    <w:abstractNumId w:val="102"/>
  </w:num>
  <w:num w:numId="62">
    <w:abstractNumId w:val="44"/>
  </w:num>
  <w:num w:numId="63">
    <w:abstractNumId w:val="151"/>
  </w:num>
  <w:num w:numId="64">
    <w:abstractNumId w:val="2"/>
  </w:num>
  <w:num w:numId="65">
    <w:abstractNumId w:val="161"/>
  </w:num>
  <w:num w:numId="66">
    <w:abstractNumId w:val="115"/>
  </w:num>
  <w:num w:numId="67">
    <w:abstractNumId w:val="12"/>
  </w:num>
  <w:num w:numId="68">
    <w:abstractNumId w:val="179"/>
  </w:num>
  <w:num w:numId="69">
    <w:abstractNumId w:val="26"/>
  </w:num>
  <w:num w:numId="70">
    <w:abstractNumId w:val="46"/>
  </w:num>
  <w:num w:numId="71">
    <w:abstractNumId w:val="100"/>
  </w:num>
  <w:num w:numId="72">
    <w:abstractNumId w:val="53"/>
  </w:num>
  <w:num w:numId="73">
    <w:abstractNumId w:val="133"/>
  </w:num>
  <w:num w:numId="74">
    <w:abstractNumId w:val="47"/>
  </w:num>
  <w:num w:numId="75">
    <w:abstractNumId w:val="52"/>
  </w:num>
  <w:num w:numId="76">
    <w:abstractNumId w:val="43"/>
  </w:num>
  <w:num w:numId="77">
    <w:abstractNumId w:val="106"/>
  </w:num>
  <w:num w:numId="78">
    <w:abstractNumId w:val="153"/>
  </w:num>
  <w:num w:numId="79">
    <w:abstractNumId w:val="135"/>
  </w:num>
  <w:num w:numId="80">
    <w:abstractNumId w:val="8"/>
  </w:num>
  <w:num w:numId="81">
    <w:abstractNumId w:val="162"/>
  </w:num>
  <w:num w:numId="82">
    <w:abstractNumId w:val="108"/>
  </w:num>
  <w:num w:numId="83">
    <w:abstractNumId w:val="40"/>
  </w:num>
  <w:num w:numId="84">
    <w:abstractNumId w:val="33"/>
  </w:num>
  <w:num w:numId="85">
    <w:abstractNumId w:val="18"/>
  </w:num>
  <w:num w:numId="8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8"/>
  </w:num>
  <w:num w:numId="88">
    <w:abstractNumId w:val="28"/>
  </w:num>
  <w:num w:numId="89">
    <w:abstractNumId w:val="38"/>
  </w:num>
  <w:num w:numId="90">
    <w:abstractNumId w:val="5"/>
  </w:num>
  <w:num w:numId="91">
    <w:abstractNumId w:val="35"/>
  </w:num>
  <w:num w:numId="92">
    <w:abstractNumId w:val="37"/>
  </w:num>
  <w:num w:numId="93">
    <w:abstractNumId w:val="164"/>
  </w:num>
  <w:num w:numId="94">
    <w:abstractNumId w:val="34"/>
  </w:num>
  <w:num w:numId="95">
    <w:abstractNumId w:val="49"/>
  </w:num>
  <w:num w:numId="96">
    <w:abstractNumId w:val="101"/>
  </w:num>
  <w:num w:numId="97">
    <w:abstractNumId w:val="120"/>
  </w:num>
  <w:num w:numId="98">
    <w:abstractNumId w:val="177"/>
  </w:num>
  <w:num w:numId="99">
    <w:abstractNumId w:val="163"/>
  </w:num>
  <w:num w:numId="100">
    <w:abstractNumId w:val="173"/>
  </w:num>
  <w:num w:numId="101">
    <w:abstractNumId w:val="65"/>
  </w:num>
  <w:num w:numId="102">
    <w:abstractNumId w:val="16"/>
  </w:num>
  <w:num w:numId="103">
    <w:abstractNumId w:val="36"/>
  </w:num>
  <w:num w:numId="104">
    <w:abstractNumId w:val="48"/>
  </w:num>
  <w:num w:numId="105">
    <w:abstractNumId w:val="22"/>
  </w:num>
  <w:num w:numId="106">
    <w:abstractNumId w:val="125"/>
  </w:num>
  <w:num w:numId="107">
    <w:abstractNumId w:val="148"/>
  </w:num>
  <w:num w:numId="108">
    <w:abstractNumId w:val="55"/>
  </w:num>
  <w:num w:numId="109">
    <w:abstractNumId w:val="157"/>
  </w:num>
  <w:num w:numId="110">
    <w:abstractNumId w:val="10"/>
  </w:num>
  <w:num w:numId="111">
    <w:abstractNumId w:val="21"/>
  </w:num>
  <w:num w:numId="112">
    <w:abstractNumId w:val="17"/>
  </w:num>
  <w:num w:numId="113">
    <w:abstractNumId w:val="9"/>
  </w:num>
  <w:num w:numId="114">
    <w:abstractNumId w:val="117"/>
  </w:num>
  <w:num w:numId="115">
    <w:abstractNumId w:val="114"/>
  </w:num>
  <w:num w:numId="116">
    <w:abstractNumId w:val="64"/>
  </w:num>
  <w:num w:numId="117">
    <w:abstractNumId w:val="130"/>
  </w:num>
  <w:num w:numId="118">
    <w:abstractNumId w:val="20"/>
  </w:num>
  <w:num w:numId="119">
    <w:abstractNumId w:val="42"/>
  </w:num>
  <w:num w:numId="120">
    <w:abstractNumId w:val="169"/>
  </w:num>
  <w:num w:numId="121">
    <w:abstractNumId w:val="121"/>
  </w:num>
  <w:num w:numId="12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
  </w:num>
  <w:num w:numId="124">
    <w:abstractNumId w:val="138"/>
  </w:num>
  <w:num w:numId="125">
    <w:abstractNumId w:val="155"/>
  </w:num>
  <w:num w:numId="126">
    <w:abstractNumId w:val="3"/>
  </w:num>
  <w:num w:numId="127">
    <w:abstractNumId w:val="134"/>
  </w:num>
  <w:num w:numId="128">
    <w:abstractNumId w:val="14"/>
  </w:num>
  <w:num w:numId="129">
    <w:abstractNumId w:val="136"/>
  </w:num>
  <w:num w:numId="130">
    <w:abstractNumId w:val="124"/>
  </w:num>
  <w:num w:numId="131">
    <w:abstractNumId w:val="143"/>
  </w:num>
  <w:num w:numId="132">
    <w:abstractNumId w:val="144"/>
  </w:num>
  <w:num w:numId="133">
    <w:abstractNumId w:val="174"/>
  </w:num>
  <w:num w:numId="134">
    <w:abstractNumId w:val="149"/>
  </w:num>
  <w:num w:numId="135">
    <w:abstractNumId w:val="59"/>
  </w:num>
  <w:num w:numId="136">
    <w:abstractNumId w:val="171"/>
  </w:num>
  <w:num w:numId="137">
    <w:abstractNumId w:val="41"/>
  </w:num>
  <w:num w:numId="138">
    <w:abstractNumId w:val="140"/>
  </w:num>
  <w:num w:numId="139">
    <w:abstractNumId w:val="137"/>
  </w:num>
  <w:num w:numId="140">
    <w:abstractNumId w:val="112"/>
  </w:num>
  <w:num w:numId="141">
    <w:abstractNumId w:val="142"/>
  </w:num>
  <w:num w:numId="142">
    <w:abstractNumId w:val="27"/>
  </w:num>
  <w:num w:numId="143">
    <w:abstractNumId w:val="128"/>
  </w:num>
  <w:num w:numId="144">
    <w:abstractNumId w:val="50"/>
  </w:num>
  <w:num w:numId="145">
    <w:abstractNumId w:val="60"/>
  </w:num>
  <w:num w:numId="146">
    <w:abstractNumId w:val="141"/>
  </w:num>
  <w:num w:numId="147">
    <w:abstractNumId w:val="63"/>
  </w:num>
  <w:num w:numId="148">
    <w:abstractNumId w:val="62"/>
  </w:num>
  <w:num w:numId="149">
    <w:abstractNumId w:val="29"/>
  </w:num>
  <w:num w:numId="150">
    <w:abstractNumId w:val="126"/>
  </w:num>
  <w:num w:numId="151">
    <w:abstractNumId w:val="150"/>
  </w:num>
  <w:num w:numId="152">
    <w:abstractNumId w:val="4"/>
  </w:num>
  <w:num w:numId="153">
    <w:abstractNumId w:val="69"/>
  </w:num>
  <w:num w:numId="154">
    <w:abstractNumId w:val="75"/>
  </w:num>
  <w:num w:numId="155">
    <w:abstractNumId w:val="165"/>
  </w:num>
  <w:num w:numId="156">
    <w:abstractNumId w:val="32"/>
  </w:num>
  <w:num w:numId="157">
    <w:abstractNumId w:val="111"/>
  </w:num>
  <w:num w:numId="158">
    <w:abstractNumId w:val="77"/>
  </w:num>
  <w:num w:numId="159">
    <w:abstractNumId w:val="146"/>
  </w:num>
  <w:num w:numId="160">
    <w:abstractNumId w:val="54"/>
  </w:num>
  <w:num w:numId="161">
    <w:abstractNumId w:val="0"/>
  </w:num>
  <w:num w:numId="162">
    <w:abstractNumId w:val="11"/>
  </w:num>
  <w:num w:numId="163">
    <w:abstractNumId w:val="122"/>
  </w:num>
  <w:num w:numId="164">
    <w:abstractNumId w:val="170"/>
  </w:num>
  <w:num w:numId="165">
    <w:abstractNumId w:val="139"/>
  </w:num>
  <w:num w:numId="166">
    <w:abstractNumId w:val="175"/>
  </w:num>
  <w:num w:numId="167">
    <w:abstractNumId w:val="158"/>
  </w:num>
  <w:num w:numId="168">
    <w:abstractNumId w:val="131"/>
  </w:num>
  <w:num w:numId="169">
    <w:abstractNumId w:val="118"/>
  </w:num>
  <w:num w:numId="170">
    <w:abstractNumId w:val="160"/>
  </w:num>
  <w:num w:numId="171">
    <w:abstractNumId w:val="147"/>
  </w:num>
  <w:num w:numId="172">
    <w:abstractNumId w:val="61"/>
  </w:num>
  <w:num w:numId="173">
    <w:abstractNumId w:val="56"/>
  </w:num>
  <w:num w:numId="174">
    <w:abstractNumId w:val="116"/>
  </w:num>
  <w:num w:numId="175">
    <w:abstractNumId w:val="119"/>
  </w:num>
  <w:num w:numId="176">
    <w:abstractNumId w:val="105"/>
  </w:num>
  <w:num w:numId="177">
    <w:abstractNumId w:val="123"/>
  </w:num>
  <w:num w:numId="178">
    <w:abstractNumId w:val="107"/>
  </w:num>
  <w:num w:numId="179">
    <w:abstractNumId w:val="13"/>
  </w:num>
  <w:num w:numId="180">
    <w:abstractNumId w:val="31"/>
  </w:num>
  <w:num w:numId="181">
    <w:abstractNumId w:val="113"/>
  </w:num>
  <w:num w:numId="182">
    <w:abstractNumId w:val="166"/>
  </w:num>
  <w:num w:numId="183">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C4090"/>
    <w:rsid w:val="0048057F"/>
    <w:rsid w:val="0049001E"/>
    <w:rsid w:val="00574CAA"/>
    <w:rsid w:val="008B273C"/>
    <w:rsid w:val="008B6CC4"/>
    <w:rsid w:val="009052EC"/>
    <w:rsid w:val="0091329D"/>
    <w:rsid w:val="009E7E6E"/>
    <w:rsid w:val="00A8204E"/>
    <w:rsid w:val="00AB55CD"/>
    <w:rsid w:val="00AB5DAF"/>
    <w:rsid w:val="00B35E37"/>
    <w:rsid w:val="00B9709F"/>
    <w:rsid w:val="00BA1C3A"/>
    <w:rsid w:val="00D0113B"/>
    <w:rsid w:val="00D8396D"/>
    <w:rsid w:val="00E43DAD"/>
    <w:rsid w:val="00E738C1"/>
    <w:rsid w:val="00F53208"/>
    <w:rsid w:val="01694B9C"/>
    <w:rsid w:val="01725B2E"/>
    <w:rsid w:val="025D0AEF"/>
    <w:rsid w:val="0296155C"/>
    <w:rsid w:val="02BA7868"/>
    <w:rsid w:val="030446D4"/>
    <w:rsid w:val="031849A0"/>
    <w:rsid w:val="03203777"/>
    <w:rsid w:val="032B6524"/>
    <w:rsid w:val="03503282"/>
    <w:rsid w:val="035E49B6"/>
    <w:rsid w:val="03C66A0C"/>
    <w:rsid w:val="03CB673D"/>
    <w:rsid w:val="04250006"/>
    <w:rsid w:val="0445217A"/>
    <w:rsid w:val="048A5581"/>
    <w:rsid w:val="04F274C4"/>
    <w:rsid w:val="04F32B7C"/>
    <w:rsid w:val="05545199"/>
    <w:rsid w:val="056E0326"/>
    <w:rsid w:val="060B57CC"/>
    <w:rsid w:val="061251B7"/>
    <w:rsid w:val="06174D3F"/>
    <w:rsid w:val="06341EBB"/>
    <w:rsid w:val="06872109"/>
    <w:rsid w:val="07104F67"/>
    <w:rsid w:val="071428F9"/>
    <w:rsid w:val="0765760B"/>
    <w:rsid w:val="076F467C"/>
    <w:rsid w:val="078F41C1"/>
    <w:rsid w:val="07FA2365"/>
    <w:rsid w:val="08532390"/>
    <w:rsid w:val="086F73F2"/>
    <w:rsid w:val="08FD582C"/>
    <w:rsid w:val="09486BF7"/>
    <w:rsid w:val="0949325D"/>
    <w:rsid w:val="095540B3"/>
    <w:rsid w:val="098B25F2"/>
    <w:rsid w:val="099A3A3F"/>
    <w:rsid w:val="09AC78D9"/>
    <w:rsid w:val="09B975B8"/>
    <w:rsid w:val="09C93A6E"/>
    <w:rsid w:val="09D503C3"/>
    <w:rsid w:val="09DF3007"/>
    <w:rsid w:val="09ED5F2D"/>
    <w:rsid w:val="0A2D5C34"/>
    <w:rsid w:val="0A511886"/>
    <w:rsid w:val="0A7828B5"/>
    <w:rsid w:val="0AE84B42"/>
    <w:rsid w:val="0B3324C6"/>
    <w:rsid w:val="0C6E0C68"/>
    <w:rsid w:val="0C852845"/>
    <w:rsid w:val="0CBC02B3"/>
    <w:rsid w:val="0CDB4A92"/>
    <w:rsid w:val="0D637001"/>
    <w:rsid w:val="0D6A07E8"/>
    <w:rsid w:val="0D822762"/>
    <w:rsid w:val="0D86346E"/>
    <w:rsid w:val="0D9C792C"/>
    <w:rsid w:val="0DDB2234"/>
    <w:rsid w:val="0DE50C90"/>
    <w:rsid w:val="0E937CAA"/>
    <w:rsid w:val="0EA85E9F"/>
    <w:rsid w:val="0EAD5F8B"/>
    <w:rsid w:val="0FAC3649"/>
    <w:rsid w:val="107E0374"/>
    <w:rsid w:val="10900C3E"/>
    <w:rsid w:val="10AA0141"/>
    <w:rsid w:val="10AB0AE3"/>
    <w:rsid w:val="10AD72BB"/>
    <w:rsid w:val="10B079C9"/>
    <w:rsid w:val="10B56FA6"/>
    <w:rsid w:val="111E2256"/>
    <w:rsid w:val="11C060D5"/>
    <w:rsid w:val="12295E1A"/>
    <w:rsid w:val="129C48AA"/>
    <w:rsid w:val="12AF09B1"/>
    <w:rsid w:val="12DB68F8"/>
    <w:rsid w:val="13033737"/>
    <w:rsid w:val="134226A3"/>
    <w:rsid w:val="136669DD"/>
    <w:rsid w:val="137F785D"/>
    <w:rsid w:val="138C3D9D"/>
    <w:rsid w:val="13B334A5"/>
    <w:rsid w:val="144C7296"/>
    <w:rsid w:val="145B15D7"/>
    <w:rsid w:val="1473140E"/>
    <w:rsid w:val="15B01F12"/>
    <w:rsid w:val="16883C5A"/>
    <w:rsid w:val="16916E80"/>
    <w:rsid w:val="16C73DE4"/>
    <w:rsid w:val="17853146"/>
    <w:rsid w:val="178A4DAA"/>
    <w:rsid w:val="178F7E1B"/>
    <w:rsid w:val="179026A3"/>
    <w:rsid w:val="17C424FB"/>
    <w:rsid w:val="186C5540"/>
    <w:rsid w:val="1879370E"/>
    <w:rsid w:val="189D244D"/>
    <w:rsid w:val="18C94BDA"/>
    <w:rsid w:val="18C95499"/>
    <w:rsid w:val="18E05A53"/>
    <w:rsid w:val="196E2E4E"/>
    <w:rsid w:val="19C902E5"/>
    <w:rsid w:val="19D068A8"/>
    <w:rsid w:val="19D803CF"/>
    <w:rsid w:val="1A4A444D"/>
    <w:rsid w:val="1A55478D"/>
    <w:rsid w:val="1A576C6B"/>
    <w:rsid w:val="1ABE58FB"/>
    <w:rsid w:val="1AD019FF"/>
    <w:rsid w:val="1AD10D35"/>
    <w:rsid w:val="1AD3680A"/>
    <w:rsid w:val="1AE1595C"/>
    <w:rsid w:val="1B5E114F"/>
    <w:rsid w:val="1BCB2179"/>
    <w:rsid w:val="1C254C40"/>
    <w:rsid w:val="1C3F2CB8"/>
    <w:rsid w:val="1C8D11D4"/>
    <w:rsid w:val="1CE44F72"/>
    <w:rsid w:val="1CEB5229"/>
    <w:rsid w:val="1D297772"/>
    <w:rsid w:val="1E580E8A"/>
    <w:rsid w:val="1E596E19"/>
    <w:rsid w:val="1EAA731B"/>
    <w:rsid w:val="1EAD5FFB"/>
    <w:rsid w:val="1F7B60F9"/>
    <w:rsid w:val="1FC11BD8"/>
    <w:rsid w:val="209546A2"/>
    <w:rsid w:val="20BB52C5"/>
    <w:rsid w:val="20D56512"/>
    <w:rsid w:val="20E96588"/>
    <w:rsid w:val="2147013A"/>
    <w:rsid w:val="215F4D85"/>
    <w:rsid w:val="216162C3"/>
    <w:rsid w:val="21616705"/>
    <w:rsid w:val="22D24075"/>
    <w:rsid w:val="22E25AD2"/>
    <w:rsid w:val="231B305B"/>
    <w:rsid w:val="232748D0"/>
    <w:rsid w:val="232A4DB1"/>
    <w:rsid w:val="23433E6D"/>
    <w:rsid w:val="239F01AB"/>
    <w:rsid w:val="23A152D7"/>
    <w:rsid w:val="23CC7D7B"/>
    <w:rsid w:val="24285B18"/>
    <w:rsid w:val="24541218"/>
    <w:rsid w:val="2495168B"/>
    <w:rsid w:val="24BA63C9"/>
    <w:rsid w:val="250057A0"/>
    <w:rsid w:val="25942BF1"/>
    <w:rsid w:val="259B66D3"/>
    <w:rsid w:val="25D17670"/>
    <w:rsid w:val="25DB3049"/>
    <w:rsid w:val="25FD27F3"/>
    <w:rsid w:val="26542282"/>
    <w:rsid w:val="269B76FE"/>
    <w:rsid w:val="27002022"/>
    <w:rsid w:val="272765C3"/>
    <w:rsid w:val="27407AD3"/>
    <w:rsid w:val="276C40BB"/>
    <w:rsid w:val="27A753AD"/>
    <w:rsid w:val="27B34FD6"/>
    <w:rsid w:val="282101D2"/>
    <w:rsid w:val="282A0791"/>
    <w:rsid w:val="28EF522B"/>
    <w:rsid w:val="2905414C"/>
    <w:rsid w:val="295751C9"/>
    <w:rsid w:val="29581A72"/>
    <w:rsid w:val="29662C30"/>
    <w:rsid w:val="299C7EBE"/>
    <w:rsid w:val="2A0F4881"/>
    <w:rsid w:val="2A1C12E3"/>
    <w:rsid w:val="2A211E0B"/>
    <w:rsid w:val="2AE555F8"/>
    <w:rsid w:val="2B093897"/>
    <w:rsid w:val="2B6F1F47"/>
    <w:rsid w:val="2B784396"/>
    <w:rsid w:val="2B8C04BA"/>
    <w:rsid w:val="2C2C4B27"/>
    <w:rsid w:val="2C745C62"/>
    <w:rsid w:val="2CB64F5D"/>
    <w:rsid w:val="2CE41BA6"/>
    <w:rsid w:val="2D920CB3"/>
    <w:rsid w:val="2DC72B60"/>
    <w:rsid w:val="2E273C62"/>
    <w:rsid w:val="2E6E3E98"/>
    <w:rsid w:val="2EC1140C"/>
    <w:rsid w:val="2EC22D66"/>
    <w:rsid w:val="2FB04CA8"/>
    <w:rsid w:val="2FE85403"/>
    <w:rsid w:val="30132B8A"/>
    <w:rsid w:val="30A05FFC"/>
    <w:rsid w:val="31643DB6"/>
    <w:rsid w:val="31DB1247"/>
    <w:rsid w:val="32011BA7"/>
    <w:rsid w:val="32356065"/>
    <w:rsid w:val="3250622E"/>
    <w:rsid w:val="3257092C"/>
    <w:rsid w:val="32A43A2B"/>
    <w:rsid w:val="32A57138"/>
    <w:rsid w:val="32A6343D"/>
    <w:rsid w:val="32E675AF"/>
    <w:rsid w:val="33557FA0"/>
    <w:rsid w:val="338A159F"/>
    <w:rsid w:val="338E1EAD"/>
    <w:rsid w:val="33941DD6"/>
    <w:rsid w:val="33FF0998"/>
    <w:rsid w:val="34205197"/>
    <w:rsid w:val="34402695"/>
    <w:rsid w:val="34A913C8"/>
    <w:rsid w:val="34C754E4"/>
    <w:rsid w:val="34E537FB"/>
    <w:rsid w:val="350E58C2"/>
    <w:rsid w:val="35180B3A"/>
    <w:rsid w:val="35BF73AD"/>
    <w:rsid w:val="36042242"/>
    <w:rsid w:val="3651044C"/>
    <w:rsid w:val="365E04DB"/>
    <w:rsid w:val="36B868C7"/>
    <w:rsid w:val="36B90E3D"/>
    <w:rsid w:val="3714017E"/>
    <w:rsid w:val="37334BA2"/>
    <w:rsid w:val="373549F3"/>
    <w:rsid w:val="378F5604"/>
    <w:rsid w:val="37A914F0"/>
    <w:rsid w:val="37C5436D"/>
    <w:rsid w:val="37ED1CA1"/>
    <w:rsid w:val="380231C6"/>
    <w:rsid w:val="383147D8"/>
    <w:rsid w:val="387A6DEC"/>
    <w:rsid w:val="390A1056"/>
    <w:rsid w:val="394C4D30"/>
    <w:rsid w:val="39791A01"/>
    <w:rsid w:val="3A9A38C7"/>
    <w:rsid w:val="3A9F345B"/>
    <w:rsid w:val="3ABE7B72"/>
    <w:rsid w:val="3AFF09E5"/>
    <w:rsid w:val="3BC92532"/>
    <w:rsid w:val="3C9E5887"/>
    <w:rsid w:val="3CEF327C"/>
    <w:rsid w:val="3D1C69C0"/>
    <w:rsid w:val="3D51078D"/>
    <w:rsid w:val="3D9923F0"/>
    <w:rsid w:val="3E0D6441"/>
    <w:rsid w:val="3E0E23BB"/>
    <w:rsid w:val="3E444D53"/>
    <w:rsid w:val="3E4F7DA9"/>
    <w:rsid w:val="3E4F7EA1"/>
    <w:rsid w:val="3E6C21AB"/>
    <w:rsid w:val="3E831950"/>
    <w:rsid w:val="3ECF1272"/>
    <w:rsid w:val="3ED34F89"/>
    <w:rsid w:val="3F0B1E55"/>
    <w:rsid w:val="3F121029"/>
    <w:rsid w:val="3FBE0E13"/>
    <w:rsid w:val="3FC72B6C"/>
    <w:rsid w:val="3FD316F1"/>
    <w:rsid w:val="3FDD4FD1"/>
    <w:rsid w:val="40767412"/>
    <w:rsid w:val="411C4C2D"/>
    <w:rsid w:val="4160628C"/>
    <w:rsid w:val="41A240A3"/>
    <w:rsid w:val="41A25482"/>
    <w:rsid w:val="41C15E7E"/>
    <w:rsid w:val="41D3491B"/>
    <w:rsid w:val="42476483"/>
    <w:rsid w:val="42CD123A"/>
    <w:rsid w:val="43C0472D"/>
    <w:rsid w:val="442C7F39"/>
    <w:rsid w:val="446A4413"/>
    <w:rsid w:val="44BE325E"/>
    <w:rsid w:val="44D4182B"/>
    <w:rsid w:val="44E40948"/>
    <w:rsid w:val="45334407"/>
    <w:rsid w:val="4563437E"/>
    <w:rsid w:val="463433E1"/>
    <w:rsid w:val="46722353"/>
    <w:rsid w:val="46CE4FD5"/>
    <w:rsid w:val="47106231"/>
    <w:rsid w:val="47345A29"/>
    <w:rsid w:val="475D6779"/>
    <w:rsid w:val="47917F1B"/>
    <w:rsid w:val="47C97254"/>
    <w:rsid w:val="47C978CE"/>
    <w:rsid w:val="48025DB3"/>
    <w:rsid w:val="48414B9E"/>
    <w:rsid w:val="489261E6"/>
    <w:rsid w:val="48934A29"/>
    <w:rsid w:val="489A6E3A"/>
    <w:rsid w:val="49562359"/>
    <w:rsid w:val="498645DA"/>
    <w:rsid w:val="499334E1"/>
    <w:rsid w:val="499D6167"/>
    <w:rsid w:val="49B05CF6"/>
    <w:rsid w:val="49C04E50"/>
    <w:rsid w:val="49EA3823"/>
    <w:rsid w:val="4A0D0BFF"/>
    <w:rsid w:val="4A8D0CF1"/>
    <w:rsid w:val="4AF6773F"/>
    <w:rsid w:val="4B0E6D0C"/>
    <w:rsid w:val="4B49179F"/>
    <w:rsid w:val="4B8F0EE3"/>
    <w:rsid w:val="4BB30717"/>
    <w:rsid w:val="4BBE763C"/>
    <w:rsid w:val="4BC7753F"/>
    <w:rsid w:val="4BE9586C"/>
    <w:rsid w:val="4C03348F"/>
    <w:rsid w:val="4C156A6B"/>
    <w:rsid w:val="4C657356"/>
    <w:rsid w:val="4CA9491A"/>
    <w:rsid w:val="4CBA2382"/>
    <w:rsid w:val="4CC2017A"/>
    <w:rsid w:val="4CD56381"/>
    <w:rsid w:val="4D2D33E3"/>
    <w:rsid w:val="4D886380"/>
    <w:rsid w:val="4D971473"/>
    <w:rsid w:val="4D9A0DDD"/>
    <w:rsid w:val="4DB239F0"/>
    <w:rsid w:val="4E125255"/>
    <w:rsid w:val="4E1A3520"/>
    <w:rsid w:val="4E1B49DD"/>
    <w:rsid w:val="4E6C57C7"/>
    <w:rsid w:val="4EAB7FA8"/>
    <w:rsid w:val="4ECF0CE9"/>
    <w:rsid w:val="4EE77D33"/>
    <w:rsid w:val="4F146112"/>
    <w:rsid w:val="4F3047E9"/>
    <w:rsid w:val="4F3F37B4"/>
    <w:rsid w:val="4F6857C5"/>
    <w:rsid w:val="4FBC0AC3"/>
    <w:rsid w:val="4FD7121E"/>
    <w:rsid w:val="505A476E"/>
    <w:rsid w:val="50AC3B4E"/>
    <w:rsid w:val="50C511B1"/>
    <w:rsid w:val="514D7DB5"/>
    <w:rsid w:val="51547806"/>
    <w:rsid w:val="51843E5E"/>
    <w:rsid w:val="51920970"/>
    <w:rsid w:val="51965958"/>
    <w:rsid w:val="51DC26AF"/>
    <w:rsid w:val="520A3417"/>
    <w:rsid w:val="522C1FBE"/>
    <w:rsid w:val="52365DA6"/>
    <w:rsid w:val="526B645E"/>
    <w:rsid w:val="52996733"/>
    <w:rsid w:val="52E120BA"/>
    <w:rsid w:val="52F91EF6"/>
    <w:rsid w:val="53550A2D"/>
    <w:rsid w:val="53805D1F"/>
    <w:rsid w:val="53FF0C20"/>
    <w:rsid w:val="544D09B1"/>
    <w:rsid w:val="54593C84"/>
    <w:rsid w:val="546563CD"/>
    <w:rsid w:val="548D7C6E"/>
    <w:rsid w:val="54B566F4"/>
    <w:rsid w:val="550A54C4"/>
    <w:rsid w:val="554D3793"/>
    <w:rsid w:val="55940563"/>
    <w:rsid w:val="55E00B08"/>
    <w:rsid w:val="56376CEC"/>
    <w:rsid w:val="563A0537"/>
    <w:rsid w:val="56596EB9"/>
    <w:rsid w:val="566F3D7B"/>
    <w:rsid w:val="56F40C68"/>
    <w:rsid w:val="578C309E"/>
    <w:rsid w:val="58734D5F"/>
    <w:rsid w:val="5885330B"/>
    <w:rsid w:val="58B23E5D"/>
    <w:rsid w:val="58D31A0A"/>
    <w:rsid w:val="590F6A24"/>
    <w:rsid w:val="595D2BF1"/>
    <w:rsid w:val="59681DDE"/>
    <w:rsid w:val="59922FE6"/>
    <w:rsid w:val="599A653F"/>
    <w:rsid w:val="59FF5C17"/>
    <w:rsid w:val="5A234903"/>
    <w:rsid w:val="5B0822EA"/>
    <w:rsid w:val="5B095026"/>
    <w:rsid w:val="5B1F26A7"/>
    <w:rsid w:val="5B42712F"/>
    <w:rsid w:val="5B48516B"/>
    <w:rsid w:val="5B813B9D"/>
    <w:rsid w:val="5BAF64FB"/>
    <w:rsid w:val="5BEA4316"/>
    <w:rsid w:val="5BF92B42"/>
    <w:rsid w:val="5C906F4C"/>
    <w:rsid w:val="5CC330C1"/>
    <w:rsid w:val="5CFF087F"/>
    <w:rsid w:val="5D557CD9"/>
    <w:rsid w:val="5D931B90"/>
    <w:rsid w:val="5E274A3A"/>
    <w:rsid w:val="5E5A049A"/>
    <w:rsid w:val="5F087282"/>
    <w:rsid w:val="5F5E64F1"/>
    <w:rsid w:val="5F7A1B51"/>
    <w:rsid w:val="5FC54D3A"/>
    <w:rsid w:val="5FC711A1"/>
    <w:rsid w:val="601C43EB"/>
    <w:rsid w:val="60303201"/>
    <w:rsid w:val="603125E5"/>
    <w:rsid w:val="6070737D"/>
    <w:rsid w:val="60D83657"/>
    <w:rsid w:val="60FD25A1"/>
    <w:rsid w:val="613A1E13"/>
    <w:rsid w:val="613D65FC"/>
    <w:rsid w:val="62890A0A"/>
    <w:rsid w:val="6298755F"/>
    <w:rsid w:val="62BF7B1E"/>
    <w:rsid w:val="63AF5572"/>
    <w:rsid w:val="63E30153"/>
    <w:rsid w:val="6424737A"/>
    <w:rsid w:val="64656205"/>
    <w:rsid w:val="647632B5"/>
    <w:rsid w:val="64D630EF"/>
    <w:rsid w:val="65236BF9"/>
    <w:rsid w:val="65246F9B"/>
    <w:rsid w:val="6582653A"/>
    <w:rsid w:val="660423A1"/>
    <w:rsid w:val="663E502F"/>
    <w:rsid w:val="66455E02"/>
    <w:rsid w:val="66884D70"/>
    <w:rsid w:val="668B2975"/>
    <w:rsid w:val="66E0283C"/>
    <w:rsid w:val="672D420F"/>
    <w:rsid w:val="678B5D17"/>
    <w:rsid w:val="67F8639E"/>
    <w:rsid w:val="680D31EF"/>
    <w:rsid w:val="682713B3"/>
    <w:rsid w:val="68317CD4"/>
    <w:rsid w:val="683C7A70"/>
    <w:rsid w:val="68610136"/>
    <w:rsid w:val="68664A4C"/>
    <w:rsid w:val="689A6603"/>
    <w:rsid w:val="68EE0E5C"/>
    <w:rsid w:val="69442418"/>
    <w:rsid w:val="69D22A9B"/>
    <w:rsid w:val="69E845EA"/>
    <w:rsid w:val="6ABE1B1B"/>
    <w:rsid w:val="6ADC64EC"/>
    <w:rsid w:val="6AEE5B25"/>
    <w:rsid w:val="6AF52B86"/>
    <w:rsid w:val="6AF74AE9"/>
    <w:rsid w:val="6B2528B9"/>
    <w:rsid w:val="6B3605A0"/>
    <w:rsid w:val="6B372502"/>
    <w:rsid w:val="6B3A03BB"/>
    <w:rsid w:val="6B4D6CD5"/>
    <w:rsid w:val="6B502CB0"/>
    <w:rsid w:val="6B6D1A58"/>
    <w:rsid w:val="6B72232A"/>
    <w:rsid w:val="6BCA1B18"/>
    <w:rsid w:val="6BFE03E7"/>
    <w:rsid w:val="6CC119E1"/>
    <w:rsid w:val="6D010864"/>
    <w:rsid w:val="6D16797A"/>
    <w:rsid w:val="6D704781"/>
    <w:rsid w:val="6E085E63"/>
    <w:rsid w:val="6E3D46FA"/>
    <w:rsid w:val="6E426550"/>
    <w:rsid w:val="6ECA5951"/>
    <w:rsid w:val="6F020044"/>
    <w:rsid w:val="6F2C1F84"/>
    <w:rsid w:val="6F571AB7"/>
    <w:rsid w:val="6F6618B3"/>
    <w:rsid w:val="6F6845AC"/>
    <w:rsid w:val="6F7601FD"/>
    <w:rsid w:val="6FB44C01"/>
    <w:rsid w:val="6FDD0EA0"/>
    <w:rsid w:val="70392B8D"/>
    <w:rsid w:val="708F5D6A"/>
    <w:rsid w:val="70C74634"/>
    <w:rsid w:val="70EF0045"/>
    <w:rsid w:val="712520B4"/>
    <w:rsid w:val="71660113"/>
    <w:rsid w:val="71A11B73"/>
    <w:rsid w:val="71B2197B"/>
    <w:rsid w:val="724823CE"/>
    <w:rsid w:val="727225BF"/>
    <w:rsid w:val="728A5F15"/>
    <w:rsid w:val="72F13E7A"/>
    <w:rsid w:val="730A7FCE"/>
    <w:rsid w:val="731E0FF3"/>
    <w:rsid w:val="73697DC8"/>
    <w:rsid w:val="738C0ADB"/>
    <w:rsid w:val="73B26F55"/>
    <w:rsid w:val="74086D45"/>
    <w:rsid w:val="74142A82"/>
    <w:rsid w:val="74351571"/>
    <w:rsid w:val="74396DBD"/>
    <w:rsid w:val="74451183"/>
    <w:rsid w:val="746536B0"/>
    <w:rsid w:val="74AF4C7F"/>
    <w:rsid w:val="74B14A06"/>
    <w:rsid w:val="755846E6"/>
    <w:rsid w:val="758101B1"/>
    <w:rsid w:val="758550E5"/>
    <w:rsid w:val="75994E67"/>
    <w:rsid w:val="75D75083"/>
    <w:rsid w:val="760B42AE"/>
    <w:rsid w:val="76184ED8"/>
    <w:rsid w:val="7657349A"/>
    <w:rsid w:val="76861594"/>
    <w:rsid w:val="769D30E2"/>
    <w:rsid w:val="77CE6CE3"/>
    <w:rsid w:val="77D71B91"/>
    <w:rsid w:val="784C4F09"/>
    <w:rsid w:val="78522237"/>
    <w:rsid w:val="789806B6"/>
    <w:rsid w:val="78AE0FDD"/>
    <w:rsid w:val="78F26C5B"/>
    <w:rsid w:val="794E123A"/>
    <w:rsid w:val="7A1A6233"/>
    <w:rsid w:val="7A476E5B"/>
    <w:rsid w:val="7A4A4934"/>
    <w:rsid w:val="7A5F25F8"/>
    <w:rsid w:val="7A814014"/>
    <w:rsid w:val="7AA4762A"/>
    <w:rsid w:val="7AB167EF"/>
    <w:rsid w:val="7BA34E2E"/>
    <w:rsid w:val="7BA54D2C"/>
    <w:rsid w:val="7BBA7136"/>
    <w:rsid w:val="7BEE7BA1"/>
    <w:rsid w:val="7C31755A"/>
    <w:rsid w:val="7C687665"/>
    <w:rsid w:val="7C9E71D2"/>
    <w:rsid w:val="7CA81260"/>
    <w:rsid w:val="7D3B1C74"/>
    <w:rsid w:val="7D4C52C6"/>
    <w:rsid w:val="7D737CE0"/>
    <w:rsid w:val="7D8A4C31"/>
    <w:rsid w:val="7E04322B"/>
    <w:rsid w:val="7E166448"/>
    <w:rsid w:val="7EBE2837"/>
    <w:rsid w:val="7F0224F3"/>
    <w:rsid w:val="7F3C37B2"/>
    <w:rsid w:val="7F914720"/>
    <w:rsid w:val="7FCD5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widowControl/>
      <w:numPr>
        <w:ilvl w:val="0"/>
        <w:numId w:val="1"/>
      </w:numPr>
      <w:jc w:val="left"/>
      <w:outlineLvl w:val="0"/>
    </w:pPr>
    <w:rPr>
      <w:b/>
      <w:bCs/>
      <w:kern w:val="0"/>
      <w:sz w:val="2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line="416" w:lineRule="auto"/>
      <w:ind w:firstLine="400"/>
      <w:outlineLvl w:val="2"/>
    </w:pPr>
    <w:rPr>
      <w:b/>
      <w:bCs/>
      <w:sz w:val="32"/>
      <w:szCs w:val="32"/>
    </w:rPr>
  </w:style>
  <w:style w:type="paragraph" w:styleId="6">
    <w:name w:val="heading 4"/>
    <w:basedOn w:val="1"/>
    <w:next w:val="2"/>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7">
    <w:name w:val="Default Paragraph Font"/>
    <w:semiHidden/>
    <w:uiPriority w:val="0"/>
  </w:style>
  <w:style w:type="table" w:default="1" w:styleId="25">
    <w:name w:val="Normal Table"/>
    <w:semiHidden/>
    <w:uiPriority w:val="0"/>
    <w:tblPr>
      <w:tblStyle w:val="25"/>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12">
    <w:name w:val="caption"/>
    <w:basedOn w:val="1"/>
    <w:next w:val="1"/>
    <w:qFormat/>
    <w:uiPriority w:val="0"/>
    <w:rPr>
      <w:rFonts w:ascii="Cambria" w:hAnsi="Cambria" w:eastAsia="黑体"/>
      <w:sz w:val="20"/>
      <w:szCs w:val="20"/>
    </w:rPr>
  </w:style>
  <w:style w:type="paragraph" w:styleId="13">
    <w:name w:val="annotation text"/>
    <w:basedOn w:val="1"/>
    <w:link w:val="42"/>
    <w:qFormat/>
    <w:uiPriority w:val="99"/>
    <w:pPr>
      <w:jc w:val="left"/>
    </w:p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after="120"/>
    </w:pPr>
  </w:style>
  <w:style w:type="paragraph" w:styleId="16">
    <w:name w:val="Plain Text"/>
    <w:basedOn w:val="1"/>
    <w:qFormat/>
    <w:uiPriority w:val="99"/>
    <w:rPr>
      <w:rFonts w:ascii="宋体" w:hAnsi="Courier New" w:cs="Courier New"/>
      <w:szCs w:val="21"/>
    </w:rPr>
  </w:style>
  <w:style w:type="paragraph" w:styleId="17">
    <w:name w:val="endnote text"/>
    <w:basedOn w:val="1"/>
    <w:qFormat/>
    <w:uiPriority w:val="0"/>
    <w:pPr>
      <w:snapToGrid w:val="0"/>
      <w:jc w:val="left"/>
    </w:pPr>
    <w:rPr>
      <w:rFonts w:ascii="Times New Roman" w:hAnsi="Times New Roman"/>
      <w:kern w:val="0"/>
      <w:szCs w:val="20"/>
    </w:rPr>
  </w:style>
  <w:style w:type="paragraph" w:styleId="18">
    <w:name w:val="Balloon Text"/>
    <w:basedOn w:val="1"/>
    <w:link w:val="43"/>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060"/>
      </w:tabs>
      <w:spacing w:line="360" w:lineRule="auto"/>
    </w:pPr>
    <w:rPr>
      <w:szCs w:val="20"/>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13"/>
    <w:next w:val="13"/>
    <w:link w:val="44"/>
    <w:uiPriority w:val="0"/>
    <w:rPr>
      <w:b/>
      <w:bCs/>
    </w:rPr>
  </w:style>
  <w:style w:type="paragraph" w:styleId="24">
    <w:name w:val="Body Text First Indent"/>
    <w:basedOn w:val="15"/>
    <w:uiPriority w:val="0"/>
    <w:pPr>
      <w:ind w:firstLine="420" w:firstLineChars="100"/>
    </w:pPr>
  </w:style>
  <w:style w:type="table" w:styleId="26">
    <w:name w:val="Table Grid"/>
    <w:basedOn w:val="25"/>
    <w:uiPriority w:val="0"/>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uiPriority w:val="0"/>
    <w:rPr>
      <w:color w:val="333333"/>
      <w:u w:val="none"/>
    </w:rPr>
  </w:style>
  <w:style w:type="character" w:styleId="31">
    <w:name w:val="Emphasis"/>
    <w:qFormat/>
    <w:uiPriority w:val="0"/>
  </w:style>
  <w:style w:type="character" w:styleId="32">
    <w:name w:val="HTML Definition"/>
    <w:uiPriority w:val="0"/>
  </w:style>
  <w:style w:type="character" w:styleId="33">
    <w:name w:val="HTML Typewriter"/>
    <w:uiPriority w:val="0"/>
    <w:rPr>
      <w:rFonts w:hint="default" w:ascii="monospace" w:hAnsi="monospace" w:eastAsia="monospace" w:cs="monospace"/>
      <w:sz w:val="20"/>
    </w:rPr>
  </w:style>
  <w:style w:type="character" w:styleId="34">
    <w:name w:val="HTML Acronym"/>
    <w:basedOn w:val="27"/>
    <w:uiPriority w:val="0"/>
  </w:style>
  <w:style w:type="character" w:styleId="35">
    <w:name w:val="HTML Variable"/>
    <w:uiPriority w:val="0"/>
  </w:style>
  <w:style w:type="character" w:styleId="36">
    <w:name w:val="Hyperlink"/>
    <w:qFormat/>
    <w:uiPriority w:val="99"/>
    <w:rPr>
      <w:color w:val="000000"/>
      <w:sz w:val="18"/>
      <w:szCs w:val="18"/>
      <w:u w:val="none"/>
    </w:rPr>
  </w:style>
  <w:style w:type="character" w:styleId="37">
    <w:name w:val="HTML Code"/>
    <w:uiPriority w:val="0"/>
    <w:rPr>
      <w:rFonts w:hint="default"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uiPriority w:val="0"/>
  </w:style>
  <w:style w:type="character" w:styleId="40">
    <w:name w:val="HTML Keyboard"/>
    <w:uiPriority w:val="0"/>
    <w:rPr>
      <w:rFonts w:hint="default" w:ascii="monospace" w:hAnsi="monospace" w:eastAsia="monospace" w:cs="monospace"/>
      <w:sz w:val="20"/>
    </w:rPr>
  </w:style>
  <w:style w:type="character" w:styleId="41">
    <w:name w:val="HTML Sample"/>
    <w:uiPriority w:val="0"/>
    <w:rPr>
      <w:rFonts w:ascii="monospace" w:hAnsi="monospace" w:eastAsia="monospace" w:cs="monospace"/>
    </w:rPr>
  </w:style>
  <w:style w:type="character" w:customStyle="1" w:styleId="42">
    <w:name w:val="批注文字 Char"/>
    <w:link w:val="13"/>
    <w:uiPriority w:val="99"/>
    <w:rPr>
      <w:kern w:val="2"/>
      <w:sz w:val="21"/>
      <w:szCs w:val="24"/>
    </w:rPr>
  </w:style>
  <w:style w:type="character" w:customStyle="1" w:styleId="43">
    <w:name w:val="批注框文本 Char"/>
    <w:link w:val="18"/>
    <w:uiPriority w:val="0"/>
    <w:rPr>
      <w:kern w:val="2"/>
      <w:sz w:val="18"/>
      <w:szCs w:val="18"/>
    </w:rPr>
  </w:style>
  <w:style w:type="character" w:customStyle="1" w:styleId="44">
    <w:name w:val="批注主题 Char"/>
    <w:link w:val="23"/>
    <w:uiPriority w:val="0"/>
    <w:rPr>
      <w:b/>
      <w:bCs/>
      <w:kern w:val="2"/>
      <w:sz w:val="21"/>
      <w:szCs w:val="24"/>
    </w:rPr>
  </w:style>
  <w:style w:type="character" w:customStyle="1" w:styleId="45">
    <w:name w:val="font01"/>
    <w:uiPriority w:val="0"/>
    <w:rPr>
      <w:rFonts w:hint="eastAsia" w:ascii="宋体" w:hAnsi="宋体" w:eastAsia="宋体" w:cs="宋体"/>
      <w:color w:val="000000"/>
      <w:sz w:val="21"/>
      <w:szCs w:val="21"/>
      <w:u w:val="none"/>
    </w:rPr>
  </w:style>
  <w:style w:type="paragraph" w:customStyle="1" w:styleId="46">
    <w:name w:val="普通(网站)1"/>
    <w:basedOn w:val="1"/>
    <w:qFormat/>
    <w:uiPriority w:val="0"/>
    <w:pPr>
      <w:widowControl/>
      <w:spacing w:before="100" w:beforeAutospacing="1" w:after="100" w:afterAutospacing="1"/>
      <w:jc w:val="left"/>
    </w:pPr>
    <w:rPr>
      <w:rFonts w:ascii="宋体" w:hAnsi="宋体"/>
      <w:kern w:val="0"/>
      <w:sz w:val="24"/>
    </w:rPr>
  </w:style>
  <w:style w:type="paragraph" w:styleId="47">
    <w:name w:val="List Paragraph"/>
    <w:basedOn w:val="1"/>
    <w:qFormat/>
    <w:uiPriority w:val="99"/>
    <w:pPr>
      <w:ind w:firstLine="420" w:firstLineChars="200"/>
    </w:pPr>
  </w:style>
  <w:style w:type="paragraph" w:customStyle="1" w:styleId="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9">
    <w:name w:val="Default"/>
    <w:unhideWhenUsed/>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0">
    <w:name w:val="Body text|1"/>
    <w:basedOn w:val="1"/>
    <w:qFormat/>
    <w:uiPriority w:val="0"/>
    <w:pPr>
      <w:widowControl w:val="0"/>
      <w:shd w:val="clear" w:color="auto" w:fill="auto"/>
      <w:spacing w:after="140" w:afterLines="0" w:line="360" w:lineRule="auto"/>
      <w:ind w:firstLine="400"/>
    </w:pPr>
    <w:rPr>
      <w:rFonts w:ascii="宋体" w:hAnsi="宋体" w:eastAsia="宋体" w:cs="宋体"/>
      <w:sz w:val="20"/>
      <w:szCs w:val="20"/>
      <w:u w:val="none"/>
      <w:shd w:val="clear" w:color="auto" w:fill="auto"/>
      <w:lang w:val="zh-TW" w:eastAsia="zh-TW" w:bidi="zh-TW"/>
    </w:rPr>
  </w:style>
  <w:style w:type="paragraph" w:customStyle="1" w:styleId="51">
    <w:name w:val="p0"/>
    <w:basedOn w:val="1"/>
    <w:uiPriority w:val="0"/>
    <w:pPr>
      <w:widowControl/>
    </w:pPr>
    <w:rPr>
      <w:kern w:val="0"/>
      <w:szCs w:val="21"/>
    </w:rPr>
  </w:style>
  <w:style w:type="paragraph" w:customStyle="1" w:styleId="52">
    <w:name w:val="首行缩进"/>
    <w:basedOn w:val="1"/>
    <w:qFormat/>
    <w:uiPriority w:val="0"/>
    <w:pPr>
      <w:ind w:firstLine="480" w:firstLineChars="200"/>
    </w:pPr>
    <w:rPr>
      <w:lang w:val="zh-CN"/>
    </w:rPr>
  </w:style>
  <w:style w:type="paragraph" w:customStyle="1" w:styleId="53">
    <w:name w:val="列出段落1"/>
    <w:basedOn w:val="1"/>
    <w:qFormat/>
    <w:uiPriority w:val="0"/>
    <w:pPr>
      <w:ind w:firstLine="420" w:firstLineChars="200"/>
    </w:pPr>
    <w:rPr>
      <w:szCs w:val="21"/>
    </w:rPr>
  </w:style>
  <w:style w:type="paragraph" w:customStyle="1" w:styleId="54">
    <w:name w:val="[Normal]"/>
    <w:qFormat/>
    <w:uiPriority w:val="0"/>
    <w:rPr>
      <w:rFonts w:ascii="宋体" w:hAnsi="宋体"/>
      <w:sz w:val="24"/>
      <w:lang w:val="en-US" w:eastAsia="en-US" w:bidi="ar-SA"/>
    </w:rPr>
  </w:style>
  <w:style w:type="paragraph" w:customStyle="1" w:styleId="55">
    <w:name w:val="正文_1"/>
    <w:next w:val="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208</Pages>
  <Words>122452</Words>
  <Characters>128361</Characters>
  <Lines>800</Lines>
  <Paragraphs>225</Paragraphs>
  <TotalTime>119</TotalTime>
  <ScaleCrop>false</ScaleCrop>
  <LinksUpToDate>false</LinksUpToDate>
  <CharactersWithSpaces>134265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好好</cp:lastModifiedBy>
  <cp:lastPrinted>2020-12-14T03:19:16Z</cp:lastPrinted>
  <dcterms:modified xsi:type="dcterms:W3CDTF">2022-04-26T01:35:57Z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19D3638120D14F7D8A7CC264562ED902</vt:lpwstr>
  </property>
  <property fmtid="{D5CDD505-2E9C-101B-9397-08002B2CF9AE}" pid="4" name="commondata">
    <vt:lpwstr>eyJoZGlkIjoiOWM0MjdkNmY5YThjOTI5YmIxODg3ZmQzNjI1MTQyZGIifQ==</vt:lpwstr>
  </property>
</Properties>
</file>