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643C6">
      <w:pPr>
        <w:spacing w:line="480" w:lineRule="auto"/>
        <w:rPr>
          <w:rFonts w:ascii="宋体" w:hAnsi="宋体" w:cs="宋体"/>
          <w:b/>
          <w:szCs w:val="21"/>
          <w:highlight w:val="none"/>
        </w:rPr>
      </w:pPr>
      <w:r>
        <w:rPr>
          <w:rFonts w:hint="eastAsia" w:ascii="宋体" w:hAnsi="宋体" w:cs="宋体"/>
          <w:szCs w:val="21"/>
          <w:highlight w:val="none"/>
        </w:rPr>
        <w:drawing>
          <wp:inline distT="0" distB="0" distL="114300" distR="114300">
            <wp:extent cx="1514475" cy="1357630"/>
            <wp:effectExtent l="0" t="0" r="9525" b="1270"/>
            <wp:docPr id="3" name="图片 1"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KYQQ}GOZ1{]~8T6VE]_3Y"/>
                    <pic:cNvPicPr>
                      <a:picLocks noChangeAspect="1"/>
                    </pic:cNvPicPr>
                  </pic:nvPicPr>
                  <pic:blipFill>
                    <a:blip r:embed="rId11"/>
                    <a:stretch>
                      <a:fillRect/>
                    </a:stretch>
                  </pic:blipFill>
                  <pic:spPr>
                    <a:xfrm>
                      <a:off x="0" y="0"/>
                      <a:ext cx="1514475" cy="1357630"/>
                    </a:xfrm>
                    <a:prstGeom prst="rect">
                      <a:avLst/>
                    </a:prstGeom>
                    <a:noFill/>
                    <a:ln>
                      <a:noFill/>
                    </a:ln>
                  </pic:spPr>
                </pic:pic>
              </a:graphicData>
            </a:graphic>
          </wp:inline>
        </w:drawing>
      </w:r>
    </w:p>
    <w:p w14:paraId="2CCD7C1F">
      <w:pPr>
        <w:snapToGrid w:val="0"/>
        <w:jc w:val="center"/>
        <w:rPr>
          <w:rFonts w:ascii="黑体" w:hAnsi="华文中宋" w:eastAsia="黑体" w:cs="华文中宋"/>
          <w:b/>
          <w:bCs/>
          <w:sz w:val="72"/>
          <w:szCs w:val="72"/>
          <w:highlight w:val="none"/>
        </w:rPr>
      </w:pPr>
    </w:p>
    <w:p w14:paraId="0D1F70AC">
      <w:pPr>
        <w:snapToGrid w:val="0"/>
        <w:jc w:val="center"/>
        <w:rPr>
          <w:rFonts w:ascii="黑体" w:hAnsi="华文中宋" w:eastAsia="黑体" w:cs="华文中宋"/>
          <w:b/>
          <w:bCs/>
          <w:sz w:val="72"/>
          <w:szCs w:val="72"/>
          <w:highlight w:val="none"/>
        </w:rPr>
      </w:pPr>
      <w:r>
        <w:rPr>
          <w:rFonts w:hint="eastAsia" w:ascii="黑体" w:hAnsi="华文中宋" w:eastAsia="黑体" w:cs="华文中宋"/>
          <w:b/>
          <w:bCs/>
          <w:sz w:val="72"/>
          <w:szCs w:val="72"/>
          <w:highlight w:val="none"/>
        </w:rPr>
        <w:t>公开招标文件</w:t>
      </w:r>
    </w:p>
    <w:p w14:paraId="492EAAF5">
      <w:pPr>
        <w:spacing w:line="480" w:lineRule="auto"/>
        <w:rPr>
          <w:rFonts w:ascii="宋体" w:hAnsi="宋体" w:cs="宋体"/>
          <w:b/>
          <w:bCs/>
          <w:szCs w:val="21"/>
          <w:highlight w:val="none"/>
        </w:rPr>
      </w:pPr>
    </w:p>
    <w:p w14:paraId="4CD9C4B7">
      <w:pPr>
        <w:spacing w:line="480" w:lineRule="auto"/>
        <w:rPr>
          <w:rFonts w:ascii="宋体" w:hAnsi="宋体" w:cs="宋体"/>
          <w:szCs w:val="21"/>
          <w:highlight w:val="none"/>
        </w:rPr>
      </w:pPr>
    </w:p>
    <w:p w14:paraId="00B6D1E8">
      <w:pPr>
        <w:spacing w:line="360" w:lineRule="auto"/>
        <w:rPr>
          <w:rFonts w:ascii="宋体" w:hAnsi="宋体" w:cs="宋体"/>
          <w:szCs w:val="21"/>
          <w:highlight w:val="none"/>
        </w:rPr>
      </w:pPr>
    </w:p>
    <w:p w14:paraId="48C758A3">
      <w:pPr>
        <w:spacing w:line="360" w:lineRule="auto"/>
        <w:rPr>
          <w:rFonts w:ascii="宋体" w:hAnsi="宋体" w:cs="宋体"/>
          <w:szCs w:val="21"/>
          <w:highlight w:val="none"/>
        </w:rPr>
      </w:pPr>
    </w:p>
    <w:p w14:paraId="086626C2">
      <w:pPr>
        <w:pStyle w:val="14"/>
        <w:spacing w:line="360" w:lineRule="auto"/>
        <w:ind w:firstLine="470" w:firstLineChars="147"/>
        <w:outlineLvl w:val="0"/>
        <w:rPr>
          <w:rFonts w:ascii="仿宋_GB2312" w:eastAsia="仿宋_GB2312"/>
          <w:b/>
          <w:sz w:val="32"/>
          <w:highlight w:val="none"/>
        </w:rPr>
      </w:pPr>
      <w:bookmarkStart w:id="0" w:name="_Toc30650"/>
      <w:bookmarkStart w:id="1" w:name="_Toc17593"/>
      <w:r>
        <w:rPr>
          <w:rFonts w:hint="eastAsia" w:ascii="仿宋_GB2312" w:eastAsia="仿宋_GB2312"/>
          <w:b/>
          <w:sz w:val="32"/>
          <w:highlight w:val="none"/>
        </w:rPr>
        <w:t>项目编号：</w:t>
      </w:r>
      <w:bookmarkEnd w:id="0"/>
      <w:r>
        <w:rPr>
          <w:rFonts w:hint="eastAsia" w:ascii="仿宋_GB2312" w:eastAsia="仿宋_GB2312"/>
          <w:b/>
          <w:sz w:val="32"/>
          <w:highlight w:val="none"/>
        </w:rPr>
        <w:t>GDZC-24GZ166</w:t>
      </w:r>
      <w:bookmarkEnd w:id="1"/>
    </w:p>
    <w:p w14:paraId="54227E0A">
      <w:pPr>
        <w:pStyle w:val="14"/>
        <w:spacing w:line="360" w:lineRule="auto"/>
        <w:ind w:firstLine="470" w:firstLineChars="147"/>
        <w:rPr>
          <w:rFonts w:ascii="仿宋_GB2312" w:eastAsia="仿宋_GB2312"/>
          <w:b/>
          <w:sz w:val="32"/>
          <w:highlight w:val="none"/>
        </w:rPr>
      </w:pPr>
      <w:r>
        <w:rPr>
          <w:rFonts w:hint="eastAsia" w:ascii="仿宋_GB2312" w:eastAsia="仿宋_GB2312"/>
          <w:b/>
          <w:sz w:val="32"/>
          <w:highlight w:val="none"/>
        </w:rPr>
        <w:t>项目名称：广东南海产业集团有限公司注册发行中期票据</w:t>
      </w:r>
    </w:p>
    <w:p w14:paraId="431BB074">
      <w:pPr>
        <w:pStyle w:val="14"/>
        <w:spacing w:line="360" w:lineRule="auto"/>
        <w:ind w:firstLine="470" w:firstLineChars="147"/>
        <w:rPr>
          <w:rFonts w:ascii="仿宋_GB2312" w:eastAsia="仿宋_GB2312"/>
          <w:b/>
          <w:sz w:val="32"/>
          <w:highlight w:val="none"/>
        </w:rPr>
      </w:pPr>
      <w:r>
        <w:rPr>
          <w:rFonts w:hint="eastAsia" w:ascii="仿宋_GB2312" w:eastAsia="仿宋_GB2312"/>
          <w:b/>
          <w:sz w:val="32"/>
          <w:highlight w:val="none"/>
        </w:rPr>
        <w:t>选取主承销商项目</w:t>
      </w:r>
    </w:p>
    <w:p w14:paraId="73982C65">
      <w:pPr>
        <w:pStyle w:val="14"/>
        <w:spacing w:line="360" w:lineRule="auto"/>
        <w:rPr>
          <w:rFonts w:ascii="宋体" w:hAnsi="宋体" w:cs="宋体"/>
          <w:b/>
          <w:szCs w:val="21"/>
          <w:highlight w:val="none"/>
        </w:rPr>
      </w:pPr>
    </w:p>
    <w:p w14:paraId="774B51CC">
      <w:pPr>
        <w:pStyle w:val="14"/>
        <w:spacing w:line="360" w:lineRule="auto"/>
        <w:rPr>
          <w:rFonts w:ascii="宋体" w:hAnsi="宋体" w:cs="宋体"/>
          <w:b/>
          <w:szCs w:val="21"/>
          <w:highlight w:val="none"/>
        </w:rPr>
      </w:pPr>
    </w:p>
    <w:p w14:paraId="65553600">
      <w:pPr>
        <w:snapToGrid w:val="0"/>
        <w:spacing w:line="360" w:lineRule="auto"/>
        <w:rPr>
          <w:rFonts w:ascii="宋体" w:hAnsi="宋体" w:cs="宋体"/>
          <w:szCs w:val="21"/>
          <w:highlight w:val="none"/>
        </w:rPr>
      </w:pPr>
    </w:p>
    <w:p w14:paraId="63AACAF2">
      <w:pPr>
        <w:spacing w:line="360" w:lineRule="auto"/>
        <w:ind w:firstLine="1500" w:firstLineChars="500"/>
        <w:rPr>
          <w:rFonts w:ascii="黑体" w:hAnsi="华文中宋" w:eastAsia="黑体" w:cs="华文中宋"/>
          <w:sz w:val="30"/>
          <w:szCs w:val="30"/>
          <w:highlight w:val="none"/>
        </w:rPr>
      </w:pPr>
      <w:r>
        <w:rPr>
          <w:rFonts w:hint="eastAsia" w:ascii="黑体" w:hAnsi="华文中宋" w:eastAsia="黑体" w:cs="华文中宋"/>
          <w:sz w:val="30"/>
          <w:szCs w:val="30"/>
          <w:highlight w:val="none"/>
        </w:rPr>
        <w:t>招标人：广东南海产业集团有限公司</w:t>
      </w:r>
    </w:p>
    <w:p w14:paraId="34222D78">
      <w:pPr>
        <w:spacing w:line="360" w:lineRule="auto"/>
        <w:ind w:firstLine="1500" w:firstLineChars="500"/>
        <w:rPr>
          <w:rFonts w:ascii="黑体" w:hAnsi="华文中宋" w:eastAsia="黑体" w:cs="华文中宋"/>
          <w:sz w:val="30"/>
          <w:szCs w:val="30"/>
          <w:highlight w:val="none"/>
        </w:rPr>
      </w:pPr>
      <w:r>
        <w:rPr>
          <w:rFonts w:hint="eastAsia" w:ascii="黑体" w:hAnsi="华文中宋" w:eastAsia="黑体" w:cs="华文中宋"/>
          <w:sz w:val="30"/>
          <w:szCs w:val="30"/>
          <w:highlight w:val="none"/>
        </w:rPr>
        <w:t>招标代理机构：广东中采招标有限公司</w:t>
      </w:r>
    </w:p>
    <w:p w14:paraId="30C22D42">
      <w:pPr>
        <w:spacing w:line="360" w:lineRule="auto"/>
        <w:ind w:firstLine="1500" w:firstLineChars="500"/>
        <w:rPr>
          <w:rFonts w:ascii="黑体" w:hAnsi="华文中宋" w:eastAsia="黑体" w:cs="华文中宋"/>
          <w:sz w:val="30"/>
          <w:szCs w:val="30"/>
          <w:highlight w:val="none"/>
        </w:rPr>
      </w:pPr>
    </w:p>
    <w:p w14:paraId="2AC81EF5">
      <w:pPr>
        <w:spacing w:line="360" w:lineRule="auto"/>
        <w:jc w:val="center"/>
        <w:rPr>
          <w:rFonts w:ascii="黑体" w:hAnsi="华文中宋" w:eastAsia="黑体" w:cs="华文中宋"/>
          <w:sz w:val="30"/>
          <w:szCs w:val="30"/>
          <w:highlight w:val="none"/>
        </w:rPr>
        <w:sectPr>
          <w:headerReference r:id="rId5" w:type="first"/>
          <w:headerReference r:id="rId3" w:type="default"/>
          <w:headerReference r:id="rId4" w:type="even"/>
          <w:footerReference r:id="rId6" w:type="even"/>
          <w:pgSz w:w="11906" w:h="16838"/>
          <w:pgMar w:top="1440" w:right="1466" w:bottom="1440" w:left="1800" w:header="567" w:footer="992" w:gutter="0"/>
          <w:cols w:space="720" w:num="1"/>
          <w:docGrid w:type="linesAndChars" w:linePitch="312" w:charSpace="0"/>
        </w:sectPr>
      </w:pPr>
      <w:r>
        <w:rPr>
          <w:rFonts w:hint="eastAsia" w:ascii="黑体" w:hAnsi="华文中宋" w:eastAsia="黑体" w:cs="华文中宋"/>
          <w:sz w:val="30"/>
          <w:szCs w:val="30"/>
          <w:highlight w:val="none"/>
        </w:rPr>
        <w:t>2024年</w:t>
      </w:r>
      <w:r>
        <w:rPr>
          <w:rFonts w:hint="eastAsia" w:ascii="黑体" w:hAnsi="华文中宋" w:eastAsia="黑体" w:cs="华文中宋"/>
          <w:sz w:val="30"/>
          <w:szCs w:val="30"/>
          <w:highlight w:val="none"/>
          <w:lang w:val="en-US" w:eastAsia="zh-CN"/>
        </w:rPr>
        <w:t>10</w:t>
      </w:r>
      <w:r>
        <w:rPr>
          <w:rFonts w:hint="eastAsia" w:ascii="黑体" w:hAnsi="华文中宋" w:eastAsia="黑体" w:cs="华文中宋"/>
          <w:sz w:val="30"/>
          <w:szCs w:val="30"/>
          <w:highlight w:val="none"/>
        </w:rPr>
        <w:t>月</w:t>
      </w:r>
    </w:p>
    <w:p w14:paraId="4D1B65E8">
      <w:pPr>
        <w:autoSpaceDE w:val="0"/>
        <w:autoSpaceDN w:val="0"/>
        <w:adjustRightInd w:val="0"/>
        <w:snapToGrid w:val="0"/>
        <w:spacing w:before="156" w:beforeLines="50" w:after="156" w:afterLines="50" w:line="360" w:lineRule="auto"/>
        <w:jc w:val="center"/>
        <w:rPr>
          <w:rFonts w:ascii="宋体" w:hAnsi="宋体"/>
          <w:b/>
          <w:sz w:val="44"/>
          <w:szCs w:val="44"/>
          <w:highlight w:val="none"/>
        </w:rPr>
      </w:pPr>
      <w:r>
        <w:rPr>
          <w:rFonts w:hint="eastAsia" w:ascii="宋体" w:hAnsi="宋体"/>
          <w:b/>
          <w:sz w:val="44"/>
          <w:szCs w:val="44"/>
          <w:highlight w:val="none"/>
        </w:rPr>
        <w:t>目   录</w:t>
      </w:r>
    </w:p>
    <w:sdt>
      <w:sdtPr>
        <w:rPr>
          <w:rFonts w:ascii="宋体" w:hAnsi="宋体"/>
          <w:highlight w:val="none"/>
        </w:rPr>
        <w:id w:val="147469581"/>
        <w15:color w:val="DBDBDB"/>
      </w:sdtPr>
      <w:sdtEndPr>
        <w:rPr>
          <w:rFonts w:hint="eastAsia" w:ascii="宋体" w:hAnsi="宋体" w:cs="宋体"/>
          <w:b/>
          <w:bCs/>
          <w:highlight w:val="none"/>
        </w:rPr>
      </w:sdtEndPr>
      <w:sdtContent>
        <w:p w14:paraId="2E741E98">
          <w:pPr>
            <w:jc w:val="center"/>
            <w:rPr>
              <w:rFonts w:ascii="宋体" w:hAnsi="宋体"/>
              <w:b/>
              <w:sz w:val="44"/>
              <w:szCs w:val="44"/>
              <w:highlight w:val="none"/>
            </w:rPr>
          </w:pPr>
          <w:bookmarkStart w:id="2" w:name="_Toc11072"/>
        </w:p>
        <w:p w14:paraId="37D44587">
          <w:pPr>
            <w:pStyle w:val="23"/>
            <w:tabs>
              <w:tab w:val="right" w:leader="dot" w:pos="9180"/>
              <w:tab w:val="clear" w:pos="9060"/>
            </w:tabs>
            <w:rPr>
              <w:rFonts w:hint="eastAsia" w:ascii="宋体" w:hAnsi="宋体" w:eastAsia="宋体" w:cs="宋体"/>
              <w:b/>
              <w:bCs w:val="0"/>
              <w:highlight w:val="none"/>
            </w:rPr>
          </w:pP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TOC \o "1-1" \h \u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\l _Toc28320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8"/>
              <w:highlight w:val="none"/>
            </w:rPr>
            <w:t>第一章  采购公告</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_Toc28320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2</w:t>
          </w:r>
          <w:r>
            <w:rPr>
              <w:rFonts w:hint="eastAsia" w:ascii="宋体" w:hAnsi="宋体" w:eastAsia="宋体" w:cs="宋体"/>
              <w:b/>
              <w:bCs w:val="0"/>
              <w:highlight w:val="none"/>
            </w:rPr>
            <w:fldChar w:fldCharType="end"/>
          </w:r>
          <w:r>
            <w:rPr>
              <w:rFonts w:hint="eastAsia" w:ascii="宋体" w:hAnsi="宋体" w:eastAsia="宋体" w:cs="宋体"/>
              <w:b/>
              <w:bCs w:val="0"/>
              <w:szCs w:val="21"/>
              <w:highlight w:val="none"/>
            </w:rPr>
            <w:fldChar w:fldCharType="end"/>
          </w:r>
        </w:p>
        <w:p w14:paraId="4747DF56">
          <w:pPr>
            <w:pStyle w:val="23"/>
            <w:tabs>
              <w:tab w:val="right" w:leader="dot" w:pos="9180"/>
              <w:tab w:val="clear" w:pos="9060"/>
            </w:tabs>
            <w:rPr>
              <w:rFonts w:hint="eastAsia" w:ascii="宋体" w:hAnsi="宋体" w:eastAsia="宋体" w:cs="宋体"/>
              <w:b/>
              <w:bCs w:val="0"/>
              <w:highlight w:val="none"/>
            </w:rPr>
          </w:pP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\l _Toc19553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8"/>
              <w:highlight w:val="none"/>
            </w:rPr>
            <w:t>第二章  投标资料表</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_Toc19553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5</w:t>
          </w:r>
          <w:r>
            <w:rPr>
              <w:rFonts w:hint="eastAsia" w:ascii="宋体" w:hAnsi="宋体" w:eastAsia="宋体" w:cs="宋体"/>
              <w:b/>
              <w:bCs w:val="0"/>
              <w:highlight w:val="none"/>
            </w:rPr>
            <w:fldChar w:fldCharType="end"/>
          </w:r>
          <w:r>
            <w:rPr>
              <w:rFonts w:hint="eastAsia" w:ascii="宋体" w:hAnsi="宋体" w:eastAsia="宋体" w:cs="宋体"/>
              <w:b/>
              <w:bCs w:val="0"/>
              <w:szCs w:val="21"/>
              <w:highlight w:val="none"/>
            </w:rPr>
            <w:fldChar w:fldCharType="end"/>
          </w:r>
        </w:p>
        <w:p w14:paraId="445DFF9E">
          <w:pPr>
            <w:pStyle w:val="23"/>
            <w:tabs>
              <w:tab w:val="right" w:leader="dot" w:pos="9180"/>
              <w:tab w:val="clear" w:pos="9060"/>
            </w:tabs>
            <w:rPr>
              <w:rFonts w:hint="eastAsia" w:ascii="宋体" w:hAnsi="宋体" w:eastAsia="宋体" w:cs="宋体"/>
              <w:b/>
              <w:bCs w:val="0"/>
              <w:highlight w:val="none"/>
            </w:rPr>
          </w:pP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\l _Toc15739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8"/>
              <w:highlight w:val="none"/>
            </w:rPr>
            <w:t>第三章  用户需求书</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_Toc15739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7</w:t>
          </w:r>
          <w:r>
            <w:rPr>
              <w:rFonts w:hint="eastAsia" w:ascii="宋体" w:hAnsi="宋体" w:eastAsia="宋体" w:cs="宋体"/>
              <w:b/>
              <w:bCs w:val="0"/>
              <w:highlight w:val="none"/>
            </w:rPr>
            <w:fldChar w:fldCharType="end"/>
          </w:r>
          <w:r>
            <w:rPr>
              <w:rFonts w:hint="eastAsia" w:ascii="宋体" w:hAnsi="宋体" w:eastAsia="宋体" w:cs="宋体"/>
              <w:b/>
              <w:bCs w:val="0"/>
              <w:szCs w:val="21"/>
              <w:highlight w:val="none"/>
            </w:rPr>
            <w:fldChar w:fldCharType="end"/>
          </w:r>
        </w:p>
        <w:p w14:paraId="0133EA56">
          <w:pPr>
            <w:pStyle w:val="23"/>
            <w:tabs>
              <w:tab w:val="right" w:leader="dot" w:pos="9180"/>
              <w:tab w:val="clear" w:pos="9060"/>
            </w:tabs>
            <w:rPr>
              <w:rFonts w:hint="eastAsia" w:ascii="宋体" w:hAnsi="宋体" w:eastAsia="宋体" w:cs="宋体"/>
              <w:b/>
              <w:bCs w:val="0"/>
              <w:highlight w:val="none"/>
            </w:rPr>
          </w:pP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\l _Toc31371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8"/>
              <w:highlight w:val="none"/>
            </w:rPr>
            <w:t>第四章  评分体系与标准</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_Toc31371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12</w:t>
          </w:r>
          <w:r>
            <w:rPr>
              <w:rFonts w:hint="eastAsia" w:ascii="宋体" w:hAnsi="宋体" w:eastAsia="宋体" w:cs="宋体"/>
              <w:b/>
              <w:bCs w:val="0"/>
              <w:highlight w:val="none"/>
            </w:rPr>
            <w:fldChar w:fldCharType="end"/>
          </w:r>
          <w:r>
            <w:rPr>
              <w:rFonts w:hint="eastAsia" w:ascii="宋体" w:hAnsi="宋体" w:eastAsia="宋体" w:cs="宋体"/>
              <w:b/>
              <w:bCs w:val="0"/>
              <w:szCs w:val="21"/>
              <w:highlight w:val="none"/>
            </w:rPr>
            <w:fldChar w:fldCharType="end"/>
          </w:r>
        </w:p>
        <w:p w14:paraId="40FE6370">
          <w:pPr>
            <w:pStyle w:val="23"/>
            <w:tabs>
              <w:tab w:val="right" w:leader="dot" w:pos="9180"/>
              <w:tab w:val="clear" w:pos="9060"/>
            </w:tabs>
            <w:rPr>
              <w:rFonts w:hint="eastAsia" w:ascii="宋体" w:hAnsi="宋体" w:eastAsia="宋体" w:cs="宋体"/>
              <w:b/>
              <w:bCs w:val="0"/>
              <w:highlight w:val="none"/>
            </w:rPr>
          </w:pP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\l _Toc14019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44"/>
              <w:highlight w:val="none"/>
            </w:rPr>
            <w:t>第五章</w:t>
          </w:r>
          <w:r>
            <w:rPr>
              <w:rFonts w:hint="eastAsia" w:ascii="宋体" w:hAnsi="宋体" w:eastAsia="宋体" w:cs="宋体"/>
              <w:b/>
              <w:bCs w:val="0"/>
              <w:szCs w:val="44"/>
              <w:highlight w:val="none"/>
              <w:lang w:val="en-US" w:eastAsia="zh-CN"/>
            </w:rPr>
            <w:t xml:space="preserve">  </w:t>
          </w:r>
          <w:r>
            <w:rPr>
              <w:rFonts w:hint="eastAsia" w:ascii="宋体" w:hAnsi="宋体" w:eastAsia="宋体" w:cs="宋体"/>
              <w:b/>
              <w:bCs w:val="0"/>
              <w:szCs w:val="44"/>
              <w:highlight w:val="none"/>
            </w:rPr>
            <w:t>投标人须知</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_Toc14019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18</w:t>
          </w:r>
          <w:r>
            <w:rPr>
              <w:rFonts w:hint="eastAsia" w:ascii="宋体" w:hAnsi="宋体" w:eastAsia="宋体" w:cs="宋体"/>
              <w:b/>
              <w:bCs w:val="0"/>
              <w:highlight w:val="none"/>
            </w:rPr>
            <w:fldChar w:fldCharType="end"/>
          </w:r>
          <w:r>
            <w:rPr>
              <w:rFonts w:hint="eastAsia" w:ascii="宋体" w:hAnsi="宋体" w:eastAsia="宋体" w:cs="宋体"/>
              <w:b/>
              <w:bCs w:val="0"/>
              <w:szCs w:val="21"/>
              <w:highlight w:val="none"/>
            </w:rPr>
            <w:fldChar w:fldCharType="end"/>
          </w:r>
        </w:p>
        <w:p w14:paraId="57ECD8A6">
          <w:pPr>
            <w:pStyle w:val="23"/>
            <w:tabs>
              <w:tab w:val="right" w:leader="dot" w:pos="9180"/>
              <w:tab w:val="clear" w:pos="9060"/>
            </w:tabs>
            <w:rPr>
              <w:rFonts w:hint="eastAsia" w:ascii="宋体" w:hAnsi="宋体" w:eastAsia="宋体" w:cs="宋体"/>
              <w:b/>
              <w:bCs w:val="0"/>
              <w:highlight w:val="none"/>
            </w:rPr>
          </w:pP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\l _Toc30267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8"/>
              <w:highlight w:val="none"/>
            </w:rPr>
            <w:t>第六章  投标文件格式</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_Toc30267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28</w:t>
          </w:r>
          <w:r>
            <w:rPr>
              <w:rFonts w:hint="eastAsia" w:ascii="宋体" w:hAnsi="宋体" w:eastAsia="宋体" w:cs="宋体"/>
              <w:b/>
              <w:bCs w:val="0"/>
              <w:highlight w:val="none"/>
            </w:rPr>
            <w:fldChar w:fldCharType="end"/>
          </w:r>
          <w:r>
            <w:rPr>
              <w:rFonts w:hint="eastAsia" w:ascii="宋体" w:hAnsi="宋体" w:eastAsia="宋体" w:cs="宋体"/>
              <w:b/>
              <w:bCs w:val="0"/>
              <w:szCs w:val="21"/>
              <w:highlight w:val="none"/>
            </w:rPr>
            <w:fldChar w:fldCharType="end"/>
          </w:r>
        </w:p>
        <w:p w14:paraId="00EB22F4">
          <w:pPr>
            <w:pStyle w:val="23"/>
            <w:tabs>
              <w:tab w:val="right" w:leader="dot" w:pos="9180"/>
              <w:tab w:val="clear" w:pos="9060"/>
            </w:tabs>
            <w:rPr>
              <w:rFonts w:hint="eastAsia" w:ascii="宋体" w:hAnsi="宋体" w:eastAsia="宋体" w:cs="宋体"/>
              <w:b/>
              <w:bCs w:val="0"/>
              <w:highlight w:val="none"/>
            </w:rPr>
          </w:pP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\l _Toc27148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8"/>
              <w:highlight w:val="none"/>
              <w:lang w:eastAsia="zh-TW"/>
            </w:rPr>
            <w:t>投标文件包装封面参考</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_Toc27148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28</w:t>
          </w:r>
          <w:r>
            <w:rPr>
              <w:rFonts w:hint="eastAsia" w:ascii="宋体" w:hAnsi="宋体" w:eastAsia="宋体" w:cs="宋体"/>
              <w:b/>
              <w:bCs w:val="0"/>
              <w:highlight w:val="none"/>
            </w:rPr>
            <w:fldChar w:fldCharType="end"/>
          </w:r>
          <w:r>
            <w:rPr>
              <w:rFonts w:hint="eastAsia" w:ascii="宋体" w:hAnsi="宋体" w:eastAsia="宋体" w:cs="宋体"/>
              <w:b/>
              <w:bCs w:val="0"/>
              <w:szCs w:val="21"/>
              <w:highlight w:val="none"/>
            </w:rPr>
            <w:fldChar w:fldCharType="end"/>
          </w:r>
        </w:p>
        <w:p w14:paraId="5FA38C93">
          <w:pPr>
            <w:pStyle w:val="23"/>
            <w:tabs>
              <w:tab w:val="right" w:leader="dot" w:pos="9180"/>
              <w:tab w:val="clear" w:pos="9060"/>
            </w:tabs>
            <w:rPr>
              <w:rFonts w:hint="eastAsia" w:ascii="宋体" w:hAnsi="宋体" w:eastAsia="宋体" w:cs="宋体"/>
              <w:b/>
              <w:bCs w:val="0"/>
              <w:highlight w:val="none"/>
            </w:rPr>
          </w:pP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\l _Toc1847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8"/>
              <w:highlight w:val="none"/>
              <w:lang w:eastAsia="zh-TW"/>
            </w:rPr>
            <w:t>投标文件目录表</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_Toc1847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29</w:t>
          </w:r>
          <w:r>
            <w:rPr>
              <w:rFonts w:hint="eastAsia" w:ascii="宋体" w:hAnsi="宋体" w:eastAsia="宋体" w:cs="宋体"/>
              <w:b/>
              <w:bCs w:val="0"/>
              <w:highlight w:val="none"/>
            </w:rPr>
            <w:fldChar w:fldCharType="end"/>
          </w:r>
          <w:r>
            <w:rPr>
              <w:rFonts w:hint="eastAsia" w:ascii="宋体" w:hAnsi="宋体" w:eastAsia="宋体" w:cs="宋体"/>
              <w:b/>
              <w:bCs w:val="0"/>
              <w:szCs w:val="21"/>
              <w:highlight w:val="none"/>
            </w:rPr>
            <w:fldChar w:fldCharType="end"/>
          </w:r>
        </w:p>
        <w:p w14:paraId="643BBB04">
          <w:pPr>
            <w:pStyle w:val="23"/>
            <w:tabs>
              <w:tab w:val="right" w:leader="dot" w:pos="9180"/>
              <w:tab w:val="clear" w:pos="9060"/>
            </w:tabs>
            <w:rPr>
              <w:rFonts w:hint="eastAsia" w:ascii="宋体" w:hAnsi="宋体" w:eastAsia="宋体" w:cs="宋体"/>
              <w:b/>
              <w:bCs w:val="0"/>
              <w:highlight w:val="none"/>
            </w:rPr>
          </w:pP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\l _Toc15822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44"/>
              <w:highlight w:val="none"/>
            </w:rPr>
            <w:t>第</w:t>
          </w:r>
          <w:r>
            <w:rPr>
              <w:rFonts w:hint="eastAsia" w:ascii="宋体" w:hAnsi="宋体" w:eastAsia="宋体" w:cs="宋体"/>
              <w:b/>
              <w:bCs w:val="0"/>
              <w:szCs w:val="44"/>
              <w:highlight w:val="none"/>
              <w:lang w:eastAsia="zh-CN"/>
            </w:rPr>
            <w:t>七</w:t>
          </w:r>
          <w:r>
            <w:rPr>
              <w:rFonts w:hint="eastAsia" w:ascii="宋体" w:hAnsi="宋体" w:eastAsia="宋体" w:cs="宋体"/>
              <w:b/>
              <w:bCs w:val="0"/>
              <w:szCs w:val="44"/>
              <w:highlight w:val="none"/>
            </w:rPr>
            <w:t>章</w:t>
          </w:r>
          <w:r>
            <w:rPr>
              <w:rFonts w:hint="eastAsia" w:ascii="宋体" w:hAnsi="宋体" w:eastAsia="宋体" w:cs="宋体"/>
              <w:b/>
              <w:bCs w:val="0"/>
              <w:szCs w:val="44"/>
              <w:highlight w:val="none"/>
              <w:lang w:val="en-US" w:eastAsia="zh-CN"/>
            </w:rPr>
            <w:t xml:space="preserve">  </w:t>
          </w:r>
          <w:r>
            <w:rPr>
              <w:rFonts w:hint="eastAsia" w:ascii="宋体" w:hAnsi="宋体" w:eastAsia="宋体" w:cs="宋体"/>
              <w:b/>
              <w:bCs w:val="0"/>
              <w:szCs w:val="44"/>
              <w:highlight w:val="none"/>
            </w:rPr>
            <w:t>合同格式</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_Toc15822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53</w:t>
          </w:r>
          <w:r>
            <w:rPr>
              <w:rFonts w:hint="eastAsia" w:ascii="宋体" w:hAnsi="宋体" w:eastAsia="宋体" w:cs="宋体"/>
              <w:b/>
              <w:bCs w:val="0"/>
              <w:highlight w:val="none"/>
            </w:rPr>
            <w:fldChar w:fldCharType="end"/>
          </w:r>
          <w:r>
            <w:rPr>
              <w:rFonts w:hint="eastAsia" w:ascii="宋体" w:hAnsi="宋体" w:eastAsia="宋体" w:cs="宋体"/>
              <w:b/>
              <w:bCs w:val="0"/>
              <w:szCs w:val="21"/>
              <w:highlight w:val="none"/>
            </w:rPr>
            <w:fldChar w:fldCharType="end"/>
          </w:r>
        </w:p>
        <w:p w14:paraId="35AE0DFF">
          <w:pPr>
            <w:spacing w:line="360" w:lineRule="auto"/>
            <w:rPr>
              <w:rFonts w:ascii="宋体" w:hAnsi="宋体" w:cs="宋体"/>
              <w:b/>
              <w:bCs/>
              <w:highlight w:val="none"/>
            </w:rPr>
          </w:pPr>
          <w:r>
            <w:rPr>
              <w:rFonts w:hint="eastAsia" w:ascii="宋体" w:hAnsi="宋体" w:eastAsia="宋体" w:cs="宋体"/>
              <w:b/>
              <w:bCs w:val="0"/>
              <w:szCs w:val="21"/>
              <w:highlight w:val="none"/>
            </w:rPr>
            <w:fldChar w:fldCharType="end"/>
          </w:r>
        </w:p>
      </w:sdtContent>
    </w:sdt>
    <w:p w14:paraId="5E5A2EE0">
      <w:pPr>
        <w:adjustRightInd w:val="0"/>
        <w:snapToGrid w:val="0"/>
        <w:spacing w:before="156" w:beforeLines="50" w:after="156" w:afterLines="50" w:line="360" w:lineRule="auto"/>
        <w:jc w:val="center"/>
        <w:outlineLvl w:val="0"/>
        <w:rPr>
          <w:rFonts w:ascii="Times New Roman" w:hAnsi="Times New Roman"/>
          <w:b/>
          <w:bCs/>
          <w:sz w:val="28"/>
          <w:szCs w:val="28"/>
          <w:highlight w:val="none"/>
        </w:rPr>
      </w:pPr>
      <w:r>
        <w:rPr>
          <w:rFonts w:hint="eastAsia" w:ascii="宋体" w:hAnsi="宋体" w:cs="宋体"/>
          <w:szCs w:val="21"/>
          <w:highlight w:val="none"/>
        </w:rPr>
        <w:br w:type="page"/>
      </w:r>
      <w:bookmarkStart w:id="3" w:name="_Toc28320"/>
      <w:r>
        <w:rPr>
          <w:rFonts w:hint="eastAsia" w:ascii="Times New Roman" w:hAnsi="Times New Roman"/>
          <w:b/>
          <w:bCs/>
          <w:sz w:val="28"/>
          <w:szCs w:val="28"/>
          <w:highlight w:val="none"/>
        </w:rPr>
        <w:t xml:space="preserve">第一章  </w:t>
      </w:r>
      <w:bookmarkEnd w:id="2"/>
      <w:r>
        <w:rPr>
          <w:rFonts w:hint="eastAsia" w:ascii="Times New Roman" w:hAnsi="Times New Roman"/>
          <w:b/>
          <w:bCs/>
          <w:sz w:val="28"/>
          <w:szCs w:val="28"/>
          <w:highlight w:val="none"/>
        </w:rPr>
        <w:t>采购公告</w:t>
      </w:r>
      <w:bookmarkEnd w:id="3"/>
    </w:p>
    <w:p w14:paraId="5FCD6D81">
      <w:pPr>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广东中采招标有限公司</w:t>
      </w:r>
      <w:r>
        <w:rPr>
          <w:rFonts w:hint="eastAsia" w:ascii="宋体" w:hAnsi="宋体" w:cs="宋体"/>
          <w:szCs w:val="21"/>
          <w:highlight w:val="none"/>
        </w:rPr>
        <w:t>（以下简称“招标代理机构”）</w:t>
      </w:r>
      <w:r>
        <w:rPr>
          <w:rFonts w:hint="eastAsia" w:ascii="宋体" w:hAnsi="宋体" w:cs="宋体"/>
          <w:bCs/>
          <w:szCs w:val="21"/>
          <w:highlight w:val="none"/>
        </w:rPr>
        <w:t>受</w:t>
      </w:r>
      <w:r>
        <w:rPr>
          <w:rFonts w:hint="eastAsia" w:ascii="宋体" w:hAnsi="宋体" w:cs="宋体"/>
          <w:szCs w:val="21"/>
          <w:highlight w:val="none"/>
        </w:rPr>
        <w:t>广东南海产业集团有限公司（以下简称“招标人”）</w:t>
      </w:r>
      <w:r>
        <w:rPr>
          <w:rFonts w:hint="eastAsia" w:ascii="宋体" w:hAnsi="宋体" w:cs="宋体"/>
          <w:bCs/>
          <w:szCs w:val="21"/>
          <w:highlight w:val="none"/>
        </w:rPr>
        <w:t>委托，对</w:t>
      </w:r>
      <w:r>
        <w:rPr>
          <w:rFonts w:hint="eastAsia" w:ascii="宋体" w:hAnsi="宋体" w:cs="宋体"/>
          <w:szCs w:val="21"/>
          <w:highlight w:val="none"/>
        </w:rPr>
        <w:t>广东南海产业集团有限公司注册发行中期票据选取主承销商项目</w:t>
      </w:r>
      <w:r>
        <w:rPr>
          <w:rFonts w:hint="eastAsia" w:ascii="宋体" w:hAnsi="宋体" w:cs="宋体"/>
          <w:bCs/>
          <w:szCs w:val="21"/>
          <w:highlight w:val="none"/>
        </w:rPr>
        <w:t>进行公开招标，</w:t>
      </w:r>
      <w:r>
        <w:rPr>
          <w:rFonts w:hint="eastAsia" w:ascii="宋体" w:hAnsi="宋体" w:cs="宋体"/>
          <w:bCs/>
          <w:szCs w:val="21"/>
          <w:highlight w:val="none"/>
          <w:lang w:val="zh-CN"/>
        </w:rPr>
        <w:t>欢迎符合资格条件</w:t>
      </w:r>
      <w:r>
        <w:rPr>
          <w:rFonts w:hint="eastAsia" w:ascii="宋体" w:hAnsi="宋体" w:cs="宋体"/>
          <w:bCs/>
          <w:szCs w:val="21"/>
          <w:highlight w:val="none"/>
        </w:rPr>
        <w:t>的供应商投标。</w:t>
      </w:r>
    </w:p>
    <w:p w14:paraId="44C0A01A">
      <w:pPr>
        <w:numPr>
          <w:ilvl w:val="0"/>
          <w:numId w:val="2"/>
        </w:numPr>
        <w:snapToGrid w:val="0"/>
        <w:spacing w:line="360" w:lineRule="auto"/>
        <w:ind w:firstLine="0"/>
        <w:rPr>
          <w:rFonts w:ascii="宋体" w:hAnsi="宋体" w:cs="宋体"/>
          <w:bCs/>
          <w:szCs w:val="21"/>
          <w:highlight w:val="none"/>
        </w:rPr>
      </w:pPr>
      <w:r>
        <w:rPr>
          <w:rFonts w:hint="eastAsia" w:ascii="宋体" w:hAnsi="宋体" w:cs="宋体"/>
          <w:bCs/>
          <w:szCs w:val="21"/>
          <w:highlight w:val="none"/>
        </w:rPr>
        <w:t>项目编号：</w:t>
      </w:r>
      <w:r>
        <w:rPr>
          <w:rFonts w:hint="eastAsia" w:ascii="宋体" w:hAnsi="宋体" w:cs="宋体"/>
          <w:szCs w:val="21"/>
          <w:highlight w:val="none"/>
        </w:rPr>
        <w:t>GDZC-24GZ166</w:t>
      </w:r>
    </w:p>
    <w:p w14:paraId="3A4676C5">
      <w:pPr>
        <w:numPr>
          <w:ilvl w:val="0"/>
          <w:numId w:val="2"/>
        </w:numPr>
        <w:snapToGrid w:val="0"/>
        <w:spacing w:line="360" w:lineRule="auto"/>
        <w:ind w:firstLine="0"/>
        <w:rPr>
          <w:rFonts w:ascii="宋体" w:hAnsi="宋体" w:cs="宋体"/>
          <w:szCs w:val="21"/>
          <w:highlight w:val="none"/>
        </w:rPr>
      </w:pPr>
      <w:r>
        <w:rPr>
          <w:rFonts w:hint="eastAsia" w:ascii="宋体" w:hAnsi="宋体" w:cs="宋体"/>
          <w:bCs/>
          <w:szCs w:val="21"/>
          <w:highlight w:val="none"/>
        </w:rPr>
        <w:t>项目名称：</w:t>
      </w:r>
      <w:r>
        <w:rPr>
          <w:rFonts w:hint="eastAsia" w:ascii="宋体" w:hAnsi="宋体" w:cs="宋体"/>
          <w:szCs w:val="21"/>
          <w:highlight w:val="none"/>
        </w:rPr>
        <w:t>广东南海产业集团有限公司注册发行中期票据选取主承销商项目</w:t>
      </w:r>
    </w:p>
    <w:p w14:paraId="0ADDA338">
      <w:pPr>
        <w:numPr>
          <w:ilvl w:val="0"/>
          <w:numId w:val="2"/>
        </w:numPr>
        <w:snapToGrid w:val="0"/>
        <w:spacing w:line="360" w:lineRule="auto"/>
        <w:ind w:firstLine="0"/>
        <w:rPr>
          <w:highlight w:val="none"/>
        </w:rPr>
      </w:pPr>
      <w:r>
        <w:rPr>
          <w:rFonts w:hint="eastAsia" w:ascii="宋体" w:cs="宋体"/>
          <w:bCs/>
          <w:szCs w:val="21"/>
          <w:highlight w:val="none"/>
        </w:rPr>
        <w:t>项目类型：服务类</w:t>
      </w:r>
    </w:p>
    <w:p w14:paraId="6C1D5BEF">
      <w:pPr>
        <w:numPr>
          <w:ilvl w:val="0"/>
          <w:numId w:val="2"/>
        </w:numPr>
        <w:snapToGrid w:val="0"/>
        <w:spacing w:line="360" w:lineRule="auto"/>
        <w:ind w:firstLine="0"/>
        <w:rPr>
          <w:rFonts w:ascii="宋体" w:hAnsi="宋体" w:cs="宋体"/>
          <w:bCs/>
          <w:szCs w:val="21"/>
          <w:highlight w:val="none"/>
        </w:rPr>
      </w:pPr>
      <w:r>
        <w:rPr>
          <w:rFonts w:hint="eastAsia" w:ascii="宋体" w:hAnsi="宋体" w:cs="宋体"/>
          <w:bCs/>
          <w:szCs w:val="21"/>
          <w:highlight w:val="none"/>
        </w:rPr>
        <w:t>采购项目内容及需求：</w:t>
      </w:r>
    </w:p>
    <w:p w14:paraId="4B99CE4A">
      <w:pPr>
        <w:numPr>
          <w:ilvl w:val="0"/>
          <w:numId w:val="3"/>
        </w:numPr>
        <w:snapToGrid w:val="0"/>
        <w:spacing w:line="360" w:lineRule="auto"/>
        <w:rPr>
          <w:rFonts w:ascii="宋体" w:hAnsi="宋体" w:cs="宋体"/>
          <w:bCs/>
          <w:szCs w:val="21"/>
          <w:highlight w:val="none"/>
        </w:rPr>
      </w:pPr>
      <w:r>
        <w:rPr>
          <w:rFonts w:hint="eastAsia" w:ascii="宋体" w:hAnsi="宋体" w:cs="宋体"/>
          <w:bCs/>
          <w:szCs w:val="21"/>
          <w:highlight w:val="none"/>
        </w:rPr>
        <w:t>注册和发行的规模：</w:t>
      </w:r>
      <w:r>
        <w:rPr>
          <w:rFonts w:hint="eastAsia" w:ascii="宋体"/>
          <w:bCs/>
          <w:szCs w:val="21"/>
          <w:highlight w:val="none"/>
        </w:rPr>
        <w:t>本次</w:t>
      </w:r>
      <w:r>
        <w:rPr>
          <w:rFonts w:hint="eastAsia" w:ascii="宋体" w:hAnsi="宋体"/>
          <w:szCs w:val="21"/>
          <w:highlight w:val="none"/>
        </w:rPr>
        <w:t>中期票据</w:t>
      </w:r>
      <w:r>
        <w:rPr>
          <w:rFonts w:hint="eastAsia" w:ascii="宋体"/>
          <w:bCs/>
          <w:szCs w:val="21"/>
          <w:highlight w:val="none"/>
        </w:rPr>
        <w:t>的注册</w:t>
      </w:r>
      <w:r>
        <w:rPr>
          <w:rFonts w:hint="eastAsia" w:ascii="宋体" w:hAnsi="Times New Roman"/>
          <w:bCs/>
          <w:szCs w:val="21"/>
          <w:highlight w:val="none"/>
        </w:rPr>
        <w:t>发行</w:t>
      </w:r>
      <w:r>
        <w:rPr>
          <w:rFonts w:hint="eastAsia" w:ascii="宋体"/>
          <w:bCs/>
          <w:szCs w:val="21"/>
          <w:highlight w:val="none"/>
        </w:rPr>
        <w:t>额度为不超过25亿元，并根据招标人的资金使用安排，在注册额度内确定各期发行规模。</w:t>
      </w:r>
    </w:p>
    <w:p w14:paraId="5AFE947A">
      <w:pPr>
        <w:numPr>
          <w:ilvl w:val="0"/>
          <w:numId w:val="3"/>
        </w:numPr>
        <w:snapToGrid w:val="0"/>
        <w:spacing w:line="360" w:lineRule="auto"/>
        <w:rPr>
          <w:rFonts w:ascii="宋体" w:hAnsi="宋体" w:cs="宋体"/>
          <w:bCs/>
          <w:szCs w:val="21"/>
          <w:highlight w:val="none"/>
        </w:rPr>
      </w:pPr>
      <w:r>
        <w:rPr>
          <w:rFonts w:hint="eastAsia" w:ascii="宋体" w:hAnsi="宋体" w:cs="宋体"/>
          <w:bCs/>
          <w:szCs w:val="21"/>
          <w:highlight w:val="none"/>
        </w:rPr>
        <w:t>发行期限：不超过5年（含5年）。</w:t>
      </w:r>
    </w:p>
    <w:p w14:paraId="12C3197E">
      <w:pPr>
        <w:numPr>
          <w:ilvl w:val="0"/>
          <w:numId w:val="3"/>
        </w:numPr>
        <w:snapToGrid w:val="0"/>
        <w:spacing w:line="360" w:lineRule="auto"/>
        <w:rPr>
          <w:rFonts w:ascii="宋体" w:hAnsi="宋体" w:cs="宋体"/>
          <w:bCs/>
          <w:szCs w:val="21"/>
          <w:highlight w:val="none"/>
        </w:rPr>
      </w:pPr>
      <w:r>
        <w:rPr>
          <w:rFonts w:hint="eastAsia" w:ascii="宋体" w:hAnsi="宋体" w:cs="宋体"/>
          <w:bCs/>
          <w:szCs w:val="21"/>
          <w:highlight w:val="none"/>
        </w:rPr>
        <w:t>承销方式：余额包销。</w:t>
      </w:r>
    </w:p>
    <w:p w14:paraId="4A67E501">
      <w:pPr>
        <w:numPr>
          <w:ilvl w:val="0"/>
          <w:numId w:val="3"/>
        </w:numPr>
        <w:snapToGrid w:val="0"/>
        <w:spacing w:line="360" w:lineRule="auto"/>
        <w:rPr>
          <w:rFonts w:ascii="宋体" w:hAnsi="宋体" w:cs="宋体"/>
          <w:bCs/>
          <w:szCs w:val="21"/>
          <w:highlight w:val="none"/>
        </w:rPr>
      </w:pPr>
      <w:r>
        <w:rPr>
          <w:rFonts w:hint="eastAsia" w:ascii="宋体" w:hAnsi="宋体" w:cs="宋体"/>
          <w:bCs/>
          <w:szCs w:val="21"/>
          <w:highlight w:val="none"/>
        </w:rPr>
        <w:t>本项目选取6名中标人，综合得分排名前六名的中标人取得本次注册发行中期票据的承销服务资格。</w:t>
      </w:r>
    </w:p>
    <w:p w14:paraId="370EB277">
      <w:pPr>
        <w:numPr>
          <w:ilvl w:val="0"/>
          <w:numId w:val="3"/>
        </w:numPr>
        <w:snapToGrid w:val="0"/>
        <w:spacing w:line="360" w:lineRule="auto"/>
        <w:rPr>
          <w:rFonts w:ascii="宋体" w:hAnsi="宋体" w:cs="宋体"/>
          <w:bCs/>
          <w:szCs w:val="21"/>
          <w:highlight w:val="none"/>
        </w:rPr>
      </w:pPr>
      <w:r>
        <w:rPr>
          <w:rFonts w:hint="eastAsia" w:ascii="宋体" w:hAnsi="宋体" w:cs="宋体"/>
          <w:bCs/>
          <w:szCs w:val="21"/>
          <w:highlight w:val="none"/>
        </w:rPr>
        <w:t>服务详细内容、要求及执行标准详见招标文件中的“用户需求书”。</w:t>
      </w:r>
    </w:p>
    <w:p w14:paraId="1C915BF3">
      <w:pPr>
        <w:numPr>
          <w:ilvl w:val="0"/>
          <w:numId w:val="2"/>
        </w:numPr>
        <w:snapToGrid w:val="0"/>
        <w:spacing w:line="360" w:lineRule="auto"/>
        <w:ind w:firstLine="0"/>
        <w:rPr>
          <w:rFonts w:ascii="宋体" w:hAnsi="宋体" w:cs="宋体"/>
          <w:bCs/>
          <w:szCs w:val="21"/>
          <w:highlight w:val="none"/>
        </w:rPr>
      </w:pPr>
      <w:r>
        <w:rPr>
          <w:rFonts w:hint="eastAsia" w:ascii="宋体" w:hAnsi="宋体" w:cs="宋体"/>
          <w:bCs/>
          <w:szCs w:val="21"/>
          <w:highlight w:val="none"/>
        </w:rPr>
        <w:t>投标人资格：</w:t>
      </w:r>
    </w:p>
    <w:p w14:paraId="503DCE65">
      <w:pPr>
        <w:widowControl/>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1.具有独立承担民事责任的能力(提供营业执照复印件并加盖公章）；</w:t>
      </w:r>
      <w:r>
        <w:rPr>
          <w:rFonts w:hint="eastAsia" w:hAnsi="宋体"/>
          <w:szCs w:val="21"/>
          <w:highlight w:val="none"/>
          <w:lang w:val="zh-CN"/>
        </w:rPr>
        <w:t>不接受同一金融机构2家或以上分支机构参与投标【如总公司参与投标的，应提供营业执照复印件；如分支机构（即由合法法人依法建立的分公司）参与投标的，应同时提供</w:t>
      </w:r>
      <w:r>
        <w:rPr>
          <w:rFonts w:hint="eastAsia" w:ascii="宋体" w:hAnsi="宋体"/>
          <w:bCs/>
          <w:szCs w:val="21"/>
          <w:highlight w:val="none"/>
        </w:rPr>
        <w:t>总公司的</w:t>
      </w:r>
      <w:r>
        <w:rPr>
          <w:rFonts w:hint="eastAsia" w:ascii="宋体" w:hAnsi="宋体"/>
          <w:szCs w:val="21"/>
          <w:highlight w:val="none"/>
        </w:rPr>
        <w:t>营业执照</w:t>
      </w:r>
      <w:r>
        <w:rPr>
          <w:rFonts w:hint="eastAsia" w:ascii="宋体" w:hAnsi="宋体"/>
          <w:bCs/>
          <w:szCs w:val="21"/>
          <w:highlight w:val="none"/>
        </w:rPr>
        <w:t>等证明文件复印件及相关授权证明文件，分支机构已具有效授权的，总公司取得的相关资格证书对分公司有效，若法律法规或招标文件另有规定的从其规定（授权证明文件格式不限）</w:t>
      </w:r>
      <w:r>
        <w:rPr>
          <w:rFonts w:hint="eastAsia" w:hAnsi="宋体"/>
          <w:szCs w:val="21"/>
          <w:highlight w:val="none"/>
          <w:lang w:val="zh-CN"/>
        </w:rPr>
        <w:t>】</w:t>
      </w:r>
    </w:p>
    <w:p w14:paraId="6487489B">
      <w:pPr>
        <w:widowControl/>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2.具有履行合同所必需的设备和专业技术能力（提供《投标人资格声明函》）；</w:t>
      </w:r>
    </w:p>
    <w:p w14:paraId="56339420">
      <w:pPr>
        <w:pStyle w:val="11"/>
        <w:tabs>
          <w:tab w:val="left" w:pos="0"/>
        </w:tabs>
        <w:snapToGrid w:val="0"/>
        <w:spacing w:line="360" w:lineRule="auto"/>
        <w:ind w:firstLine="420" w:firstLineChars="200"/>
        <w:rPr>
          <w:rFonts w:ascii="宋体" w:hAnsi="宋体"/>
          <w:szCs w:val="21"/>
          <w:highlight w:val="none"/>
        </w:rPr>
      </w:pPr>
      <w:bookmarkStart w:id="4" w:name="EB7ebd4b01c72848a9aa2460bf3e8da375"/>
      <w:r>
        <w:rPr>
          <w:rFonts w:hint="eastAsia" w:ascii="宋体" w:hAnsi="宋体"/>
          <w:szCs w:val="21"/>
          <w:highlight w:val="none"/>
        </w:rPr>
        <w:t>3.投标人具有中国银行间市场交易商协会确认的非金融企业债务融资工具主承销商资格；</w:t>
      </w:r>
    </w:p>
    <w:p w14:paraId="1665D9C7">
      <w:pPr>
        <w:pStyle w:val="12"/>
        <w:snapToGrid w:val="0"/>
        <w:spacing w:line="360" w:lineRule="auto"/>
        <w:ind w:firstLineChars="200"/>
        <w:rPr>
          <w:rFonts w:ascii="宋体" w:hAnsi="宋体"/>
          <w:szCs w:val="21"/>
          <w:highlight w:val="none"/>
        </w:rPr>
      </w:pPr>
      <w:r>
        <w:rPr>
          <w:rFonts w:hint="eastAsia"/>
          <w:highlight w:val="none"/>
          <w:lang w:val="en-US" w:eastAsia="zh-CN"/>
        </w:rPr>
        <w:t>4.</w:t>
      </w:r>
      <w:r>
        <w:rPr>
          <w:rFonts w:hint="eastAsia"/>
          <w:highlight w:val="none"/>
          <w:lang w:eastAsia="zh-CN"/>
        </w:rPr>
        <w:t>处于</w:t>
      </w:r>
      <w:r>
        <w:rPr>
          <w:rFonts w:hint="eastAsia"/>
          <w:highlight w:val="none"/>
        </w:rPr>
        <w:t>被中国证监会、中国银行间市场交易商协会等监督部门限制债券（债务融资工具）承销业务资格期间且尚未解除限制的，不得参与投标（提供《投标人资格声明函》）。</w:t>
      </w:r>
    </w:p>
    <w:bookmarkEnd w:id="4"/>
    <w:p w14:paraId="23291551">
      <w:pPr>
        <w:pStyle w:val="11"/>
        <w:tabs>
          <w:tab w:val="left" w:pos="0"/>
        </w:tabs>
        <w:snapToGrid w:val="0"/>
        <w:spacing w:line="360" w:lineRule="auto"/>
        <w:ind w:firstLine="420" w:firstLineChars="200"/>
        <w:rPr>
          <w:rFonts w:ascii="宋体" w:hAnsi="宋体"/>
          <w:szCs w:val="21"/>
          <w:highlight w:val="none"/>
        </w:rPr>
      </w:pPr>
      <w:r>
        <w:rPr>
          <w:rFonts w:hint="eastAsia" w:ascii="宋体" w:hAnsi="宋体"/>
          <w:bCs/>
          <w:szCs w:val="21"/>
          <w:highlight w:val="none"/>
          <w:lang w:val="en-US" w:eastAsia="zh-CN"/>
        </w:rPr>
        <w:t>5</w:t>
      </w:r>
      <w:r>
        <w:rPr>
          <w:rFonts w:hint="eastAsia" w:ascii="宋体" w:hAnsi="宋体"/>
          <w:bCs/>
          <w:szCs w:val="21"/>
          <w:highlight w:val="none"/>
        </w:rPr>
        <w:t>.法定代表人</w:t>
      </w:r>
      <w:r>
        <w:rPr>
          <w:rFonts w:hint="eastAsia" w:ascii="宋体" w:hAnsi="宋体"/>
          <w:szCs w:val="21"/>
          <w:highlight w:val="none"/>
        </w:rPr>
        <w:t>（负责人）</w:t>
      </w:r>
      <w:r>
        <w:rPr>
          <w:rFonts w:hint="eastAsia" w:ascii="宋体" w:hAnsi="宋体"/>
          <w:bCs/>
          <w:szCs w:val="21"/>
          <w:highlight w:val="none"/>
        </w:rPr>
        <w:t>为同一人或者存在直接控股、管理关系的不同供应商，不得参加同一合同项下的采购活动（提供《</w:t>
      </w:r>
      <w:r>
        <w:rPr>
          <w:rFonts w:hint="eastAsia" w:ascii="宋体" w:hAnsi="宋体" w:cs="宋体"/>
          <w:szCs w:val="21"/>
          <w:highlight w:val="none"/>
        </w:rPr>
        <w:t>投标人</w:t>
      </w:r>
      <w:r>
        <w:rPr>
          <w:rFonts w:hint="eastAsia" w:ascii="宋体" w:hAnsi="宋体"/>
          <w:bCs/>
          <w:szCs w:val="21"/>
          <w:highlight w:val="none"/>
        </w:rPr>
        <w:t>资格声明函》）；</w:t>
      </w:r>
    </w:p>
    <w:p w14:paraId="378AA3C6">
      <w:pPr>
        <w:widowControl/>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 xml:space="preserve">.本项目不接受联合体投标； </w:t>
      </w:r>
    </w:p>
    <w:p w14:paraId="7A045AD7">
      <w:pPr>
        <w:snapToGrid w:val="0"/>
        <w:spacing w:line="360" w:lineRule="auto"/>
        <w:ind w:firstLine="420" w:firstLineChars="200"/>
        <w:rPr>
          <w:rFonts w:ascii="宋体" w:hAnsi="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szCs w:val="21"/>
          <w:highlight w:val="none"/>
        </w:rPr>
        <w:t>投标人</w:t>
      </w:r>
      <w:r>
        <w:rPr>
          <w:rFonts w:hint="eastAsia" w:ascii="宋体" w:hAnsi="宋体" w:cs="宋体"/>
          <w:szCs w:val="21"/>
          <w:highlight w:val="none"/>
        </w:rPr>
        <w:t>未被列入“信用中国”网站(www.creditchina.gov.cn)“记录失信被执行人或重大税收违法失信主体或政府采购严重违法失信行为”记录名单。【以招标代理机构于投标截止日当天在“信用中国”网站（www.creditchina.gov.cn）查询结果为准，如相关失信记录已失效，投标人需提供相关证明资料】。</w:t>
      </w:r>
    </w:p>
    <w:p w14:paraId="1D953852">
      <w:pPr>
        <w:numPr>
          <w:ilvl w:val="0"/>
          <w:numId w:val="2"/>
        </w:numPr>
        <w:snapToGrid w:val="0"/>
        <w:spacing w:line="360" w:lineRule="auto"/>
        <w:ind w:firstLine="0"/>
        <w:rPr>
          <w:rFonts w:ascii="宋体" w:hAnsi="宋体" w:cs="宋体"/>
          <w:b/>
          <w:szCs w:val="21"/>
          <w:highlight w:val="none"/>
        </w:rPr>
      </w:pPr>
      <w:r>
        <w:rPr>
          <w:rFonts w:hint="eastAsia" w:ascii="宋体" w:hAnsi="宋体" w:cs="宋体"/>
          <w:b/>
          <w:szCs w:val="21"/>
          <w:highlight w:val="none"/>
        </w:rPr>
        <w:t>采购文件的获取</w:t>
      </w:r>
    </w:p>
    <w:p w14:paraId="5EFAF94A">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采购文件详见附件（采购文件下载）</w:t>
      </w:r>
    </w:p>
    <w:p w14:paraId="5C362C99">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投标文件递交时间：</w:t>
      </w:r>
      <w:r>
        <w:rPr>
          <w:rFonts w:hint="eastAsia" w:ascii="宋体" w:hAnsi="宋体" w:cs="宋体"/>
          <w:bCs/>
          <w:sz w:val="21"/>
          <w:szCs w:val="21"/>
          <w:highlight w:val="none"/>
        </w:rPr>
        <w:t>2024年</w:t>
      </w:r>
      <w:r>
        <w:rPr>
          <w:rFonts w:hint="eastAsia" w:ascii="宋体" w:hAnsi="宋体" w:cs="宋体"/>
          <w:bCs/>
          <w:sz w:val="21"/>
          <w:szCs w:val="21"/>
          <w:highlight w:val="none"/>
          <w:lang w:val="en-US" w:eastAsia="zh-CN"/>
        </w:rPr>
        <w:t>11</w:t>
      </w:r>
      <w:r>
        <w:rPr>
          <w:rFonts w:hint="eastAsia" w:ascii="宋体" w:hAnsi="宋体" w:cs="宋体"/>
          <w:bCs/>
          <w:sz w:val="21"/>
          <w:szCs w:val="21"/>
          <w:highlight w:val="none"/>
        </w:rPr>
        <w:t>月</w:t>
      </w:r>
      <w:r>
        <w:rPr>
          <w:rFonts w:hint="eastAsia" w:ascii="宋体" w:hAnsi="宋体" w:cs="宋体"/>
          <w:bCs/>
          <w:sz w:val="21"/>
          <w:szCs w:val="21"/>
          <w:highlight w:val="none"/>
          <w:lang w:val="en-US" w:eastAsia="zh-CN"/>
        </w:rPr>
        <w:t>13</w:t>
      </w:r>
      <w:r>
        <w:rPr>
          <w:rFonts w:hint="eastAsia" w:ascii="宋体" w:hAnsi="宋体" w:cs="宋体"/>
          <w:bCs/>
          <w:sz w:val="21"/>
          <w:szCs w:val="21"/>
          <w:highlight w:val="none"/>
        </w:rPr>
        <w:t>日上午9时00分至2024年</w:t>
      </w:r>
      <w:r>
        <w:rPr>
          <w:rFonts w:hint="eastAsia" w:ascii="宋体" w:hAnsi="宋体" w:cs="宋体"/>
          <w:bCs/>
          <w:sz w:val="21"/>
          <w:szCs w:val="21"/>
          <w:highlight w:val="none"/>
          <w:lang w:val="en-US" w:eastAsia="zh-CN"/>
        </w:rPr>
        <w:t>11</w:t>
      </w:r>
      <w:r>
        <w:rPr>
          <w:rFonts w:hint="eastAsia" w:ascii="宋体" w:hAnsi="宋体" w:cs="宋体"/>
          <w:bCs/>
          <w:sz w:val="21"/>
          <w:szCs w:val="21"/>
          <w:highlight w:val="none"/>
        </w:rPr>
        <w:t>月</w:t>
      </w:r>
      <w:r>
        <w:rPr>
          <w:rFonts w:hint="eastAsia" w:ascii="宋体" w:hAnsi="宋体" w:cs="宋体"/>
          <w:bCs/>
          <w:sz w:val="21"/>
          <w:szCs w:val="21"/>
          <w:highlight w:val="none"/>
          <w:lang w:val="en-US" w:eastAsia="zh-CN"/>
        </w:rPr>
        <w:t>13</w:t>
      </w:r>
      <w:r>
        <w:rPr>
          <w:rFonts w:hint="eastAsia" w:ascii="宋体" w:hAnsi="宋体" w:cs="宋体"/>
          <w:bCs/>
          <w:sz w:val="21"/>
          <w:szCs w:val="21"/>
          <w:highlight w:val="none"/>
        </w:rPr>
        <w:t>日上午9时30分止</w:t>
      </w:r>
      <w:r>
        <w:rPr>
          <w:rFonts w:hint="eastAsia" w:ascii="宋体" w:hAnsi="宋体" w:cs="宋体"/>
          <w:bCs/>
          <w:szCs w:val="21"/>
          <w:highlight w:val="none"/>
        </w:rPr>
        <w:t>。</w:t>
      </w:r>
    </w:p>
    <w:p w14:paraId="7301CAD8">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提交投标文件地点：</w:t>
      </w:r>
      <w:r>
        <w:rPr>
          <w:rFonts w:hint="eastAsia" w:ascii="宋体" w:hAnsi="宋体" w:cs="宋体"/>
          <w:kern w:val="0"/>
          <w:szCs w:val="21"/>
          <w:highlight w:val="none"/>
        </w:rPr>
        <w:t>佛山市南海区桂城海六路8号联达大厦21楼佛山市南海公有资产流转服务有限公司</w:t>
      </w:r>
      <w:r>
        <w:rPr>
          <w:rFonts w:hint="eastAsia" w:ascii="宋体" w:hAnsi="宋体" w:cs="宋体"/>
          <w:bCs/>
          <w:szCs w:val="21"/>
          <w:highlight w:val="none"/>
        </w:rPr>
        <w:t>。</w:t>
      </w:r>
    </w:p>
    <w:p w14:paraId="4ABBD68E">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投标截止及开标时间：2024年</w:t>
      </w:r>
      <w:r>
        <w:rPr>
          <w:rFonts w:hint="eastAsia" w:ascii="宋体" w:hAnsi="宋体" w:cs="宋体"/>
          <w:bCs/>
          <w:sz w:val="21"/>
          <w:szCs w:val="21"/>
          <w:highlight w:val="none"/>
          <w:lang w:val="en-US" w:eastAsia="zh-CN"/>
        </w:rPr>
        <w:t>11</w:t>
      </w:r>
      <w:r>
        <w:rPr>
          <w:rFonts w:hint="eastAsia" w:ascii="宋体" w:hAnsi="宋体" w:cs="宋体"/>
          <w:bCs/>
          <w:sz w:val="21"/>
          <w:szCs w:val="21"/>
          <w:highlight w:val="none"/>
        </w:rPr>
        <w:t>月</w:t>
      </w:r>
      <w:r>
        <w:rPr>
          <w:rFonts w:hint="eastAsia" w:ascii="宋体" w:hAnsi="宋体" w:cs="宋体"/>
          <w:bCs/>
          <w:sz w:val="21"/>
          <w:szCs w:val="21"/>
          <w:highlight w:val="none"/>
          <w:lang w:val="en-US" w:eastAsia="zh-CN"/>
        </w:rPr>
        <w:t>13</w:t>
      </w:r>
      <w:r>
        <w:rPr>
          <w:rFonts w:hint="eastAsia" w:ascii="宋体" w:hAnsi="宋体" w:cs="宋体"/>
          <w:bCs/>
          <w:sz w:val="21"/>
          <w:szCs w:val="21"/>
          <w:highlight w:val="none"/>
        </w:rPr>
        <w:t>日</w:t>
      </w:r>
      <w:r>
        <w:rPr>
          <w:rFonts w:hint="eastAsia" w:ascii="宋体" w:hAnsi="宋体" w:cs="宋体"/>
          <w:bCs/>
          <w:szCs w:val="21"/>
          <w:highlight w:val="none"/>
        </w:rPr>
        <w:t>上午9时30分。</w:t>
      </w:r>
    </w:p>
    <w:p w14:paraId="232D5DF0">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开标地点：</w:t>
      </w:r>
      <w:r>
        <w:rPr>
          <w:rFonts w:hint="eastAsia" w:ascii="宋体" w:hAnsi="宋体" w:cs="宋体"/>
          <w:kern w:val="0"/>
          <w:szCs w:val="21"/>
          <w:highlight w:val="none"/>
        </w:rPr>
        <w:t>佛山市南海区桂城海六路8号联达大厦21楼佛山市南海公有资产流转服务有限公司</w:t>
      </w:r>
      <w:r>
        <w:rPr>
          <w:rFonts w:hint="eastAsia" w:ascii="宋体" w:hAnsi="宋体" w:cs="宋体"/>
          <w:bCs/>
          <w:szCs w:val="21"/>
          <w:highlight w:val="none"/>
        </w:rPr>
        <w:t>。</w:t>
      </w:r>
    </w:p>
    <w:p w14:paraId="352DEA77">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投标保证金递交时间、其支付方式及保证金金额：</w:t>
      </w:r>
    </w:p>
    <w:p w14:paraId="43DA6FC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投标人须于公告之日起至</w:t>
      </w:r>
      <w:r>
        <w:rPr>
          <w:rFonts w:hint="eastAsia" w:ascii="宋体" w:hAnsi="宋体" w:cs="宋体"/>
          <w:bCs/>
          <w:szCs w:val="21"/>
          <w:highlight w:val="none"/>
        </w:rPr>
        <w:t>2024年</w:t>
      </w:r>
      <w:r>
        <w:rPr>
          <w:rFonts w:hint="eastAsia" w:ascii="宋体" w:hAnsi="宋体" w:cs="宋体"/>
          <w:bCs/>
          <w:szCs w:val="21"/>
          <w:highlight w:val="none"/>
          <w:lang w:val="en-US" w:eastAsia="zh-CN"/>
        </w:rPr>
        <w:t>11</w:t>
      </w:r>
      <w:r>
        <w:rPr>
          <w:rFonts w:hint="eastAsia" w:ascii="宋体" w:hAnsi="宋体" w:cs="宋体"/>
          <w:bCs/>
          <w:szCs w:val="21"/>
          <w:highlight w:val="none"/>
        </w:rPr>
        <w:t>月</w:t>
      </w:r>
      <w:r>
        <w:rPr>
          <w:rFonts w:hint="eastAsia" w:ascii="宋体" w:hAnsi="宋体" w:cs="宋体"/>
          <w:bCs/>
          <w:szCs w:val="21"/>
          <w:highlight w:val="none"/>
          <w:lang w:val="en-US" w:eastAsia="zh-CN"/>
        </w:rPr>
        <w:t>8</w:t>
      </w:r>
      <w:r>
        <w:rPr>
          <w:rFonts w:hint="eastAsia" w:ascii="宋体" w:hAnsi="宋体" w:cs="宋体"/>
          <w:bCs/>
          <w:szCs w:val="21"/>
          <w:highlight w:val="none"/>
        </w:rPr>
        <w:t>日</w:t>
      </w:r>
      <w:r>
        <w:rPr>
          <w:rFonts w:hint="eastAsia" w:ascii="宋体" w:hAnsi="宋体" w:cs="宋体"/>
          <w:kern w:val="0"/>
          <w:szCs w:val="21"/>
          <w:highlight w:val="none"/>
        </w:rPr>
        <w:t>下午17：00时前，将采购项目保证金由投标人名下的银行账户（采用银行柜台、网上银行转账两种方式之一的方式）缴纳到以下指定账户，以银行到账为准。保证金金额为￥20,000.00元（大写：人民币贰万元整）。</w:t>
      </w:r>
    </w:p>
    <w:p w14:paraId="4804B51C">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【特别说明：本项目无须报名，已经缴纳保证金的投标人须在规定时间内提交投标文件，</w:t>
      </w:r>
      <w:r>
        <w:rPr>
          <w:rFonts w:hint="eastAsia" w:ascii="宋体" w:hAnsi="宋体" w:cs="宋体"/>
          <w:szCs w:val="21"/>
          <w:highlight w:val="none"/>
        </w:rPr>
        <w:t>《企业采购保证金退付委托书》</w:t>
      </w:r>
      <w:r>
        <w:rPr>
          <w:rFonts w:hint="eastAsia" w:ascii="宋体" w:hAnsi="宋体" w:cs="宋体"/>
          <w:kern w:val="0"/>
          <w:szCs w:val="21"/>
          <w:highlight w:val="none"/>
        </w:rPr>
        <w:t>和营业执照复印件（需盖单位公章）须另外单独提交，其</w:t>
      </w:r>
      <w:r>
        <w:rPr>
          <w:rFonts w:hint="eastAsia" w:ascii="宋体" w:hAnsi="宋体" w:cs="宋体"/>
          <w:szCs w:val="21"/>
          <w:highlight w:val="none"/>
        </w:rPr>
        <w:t>为投标人办理投标保证金退付的必须资料</w:t>
      </w:r>
      <w:r>
        <w:rPr>
          <w:rFonts w:hint="eastAsia" w:ascii="宋体" w:hAnsi="宋体" w:cs="宋体"/>
          <w:kern w:val="0"/>
          <w:szCs w:val="21"/>
          <w:highlight w:val="none"/>
        </w:rPr>
        <w:t>，由佛山市南海公有资产流转服务有限公司按照相关文件要求规定办理退款（不计利息）。】</w:t>
      </w:r>
    </w:p>
    <w:p w14:paraId="2747B26E">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1）通过银行柜台转账时，必须在银行进账单或汇款凭证中准确填写收款人和交款人名称、账户，以及缴纳金额、交纳人证件号码信息；银行进账单或汇款凭证的备注/用途/附言等备注信息栏中需准确填写采购项目的项目名称简称。</w:t>
      </w:r>
    </w:p>
    <w:p w14:paraId="3172785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（2）通过网上银行转账时，必须在网上银行支付界面准确填写收款人和交款人名称、账户、缴纳金额，备注/用途/附言等备注信息栏中需准确填写采购项目的项目名称简称。</w:t>
      </w:r>
    </w:p>
    <w:p w14:paraId="20E23990">
      <w:pPr>
        <w:widowControl/>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（3）本项目名称简称：</w:t>
      </w:r>
      <w:r>
        <w:rPr>
          <w:rFonts w:hint="eastAsia" w:ascii="宋体" w:hAnsi="宋体" w:cs="宋体"/>
          <w:szCs w:val="21"/>
          <w:highlight w:val="none"/>
        </w:rPr>
        <w:t>产业集团有限公司注册发行中期票据</w:t>
      </w:r>
    </w:p>
    <w:p w14:paraId="49804895">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收款（人）单位名称：佛山市南海公有资产流转服务有限公司</w:t>
      </w:r>
    </w:p>
    <w:p w14:paraId="03B1FD87">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账号：44504001040012386</w:t>
      </w:r>
    </w:p>
    <w:p w14:paraId="43D2773B">
      <w:pPr>
        <w:widowControl/>
        <w:spacing w:line="360" w:lineRule="auto"/>
        <w:jc w:val="left"/>
        <w:rPr>
          <w:highlight w:val="none"/>
        </w:rPr>
      </w:pPr>
      <w:r>
        <w:rPr>
          <w:rFonts w:hint="eastAsia" w:ascii="宋体" w:hAnsi="宋体" w:cs="宋体"/>
          <w:kern w:val="0"/>
          <w:szCs w:val="21"/>
          <w:highlight w:val="none"/>
        </w:rPr>
        <w:t xml:space="preserve">     开户行：中国农业银行佛山南海灯湖支行</w:t>
      </w:r>
    </w:p>
    <w:p w14:paraId="45378A24">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本公告期限</w:t>
      </w:r>
      <w:r>
        <w:rPr>
          <w:rFonts w:hint="eastAsia" w:ascii="宋体" w:hAnsi="宋体" w:cs="宋体"/>
          <w:bCs/>
          <w:szCs w:val="21"/>
          <w:highlight w:val="none"/>
          <w:lang w:eastAsia="zh-CN"/>
        </w:rPr>
        <w:t>：</w:t>
      </w:r>
      <w:bookmarkStart w:id="440" w:name="_GoBack"/>
      <w:bookmarkEnd w:id="440"/>
      <w:r>
        <w:rPr>
          <w:rFonts w:hint="eastAsia" w:ascii="宋体" w:hAnsi="宋体" w:cs="宋体"/>
          <w:bCs/>
          <w:szCs w:val="21"/>
          <w:highlight w:val="none"/>
        </w:rPr>
        <w:t>自本公告发布之日起5个工作日。</w:t>
      </w:r>
    </w:p>
    <w:p w14:paraId="0735F88D">
      <w:pPr>
        <w:numPr>
          <w:ilvl w:val="0"/>
          <w:numId w:val="2"/>
        </w:numPr>
        <w:snapToGrid w:val="0"/>
        <w:spacing w:line="360" w:lineRule="auto"/>
        <w:ind w:left="638" w:hanging="638" w:hangingChars="304"/>
        <w:rPr>
          <w:rFonts w:ascii="宋体" w:hAnsi="宋体" w:cs="宋体"/>
          <w:bCs/>
          <w:szCs w:val="21"/>
          <w:highlight w:val="none"/>
        </w:rPr>
      </w:pPr>
      <w:r>
        <w:rPr>
          <w:rFonts w:hint="eastAsia" w:ascii="宋体" w:hAnsi="宋体" w:cs="宋体"/>
          <w:kern w:val="0"/>
          <w:szCs w:val="21"/>
          <w:highlight w:val="none"/>
        </w:rPr>
        <w:t>采购过程如出现异常情况，佛山市南海公有资产流转服务有限公司有权暂停或者中止该采购项目</w:t>
      </w:r>
      <w:r>
        <w:rPr>
          <w:rFonts w:hint="eastAsia" w:ascii="宋体" w:hAnsi="宋体" w:cs="宋体"/>
          <w:bCs/>
          <w:szCs w:val="21"/>
          <w:highlight w:val="none"/>
        </w:rPr>
        <w:t>。</w:t>
      </w:r>
    </w:p>
    <w:p w14:paraId="6EB36629">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联系事项</w:t>
      </w:r>
    </w:p>
    <w:p w14:paraId="0183DACB">
      <w:pPr>
        <w:pStyle w:val="27"/>
        <w:widowControl w:val="0"/>
        <w:numPr>
          <w:ilvl w:val="0"/>
          <w:numId w:val="4"/>
        </w:numPr>
        <w:tabs>
          <w:tab w:val="left" w:pos="1050"/>
        </w:tabs>
        <w:snapToGrid w:val="0"/>
        <w:spacing w:before="0" w:beforeAutospacing="0" w:after="0" w:afterAutospacing="0" w:line="360" w:lineRule="auto"/>
        <w:ind w:firstLine="215"/>
        <w:jc w:val="both"/>
        <w:rPr>
          <w:rFonts w:cs="宋体"/>
          <w:bCs/>
          <w:sz w:val="21"/>
          <w:szCs w:val="21"/>
          <w:highlight w:val="none"/>
        </w:rPr>
      </w:pPr>
      <w:r>
        <w:rPr>
          <w:rFonts w:hint="eastAsia" w:cs="宋体"/>
          <w:sz w:val="21"/>
          <w:szCs w:val="21"/>
          <w:highlight w:val="none"/>
        </w:rPr>
        <w:t>招标人：广东南海产业集团有限公司</w:t>
      </w:r>
    </w:p>
    <w:p w14:paraId="30BF98CA">
      <w:pPr>
        <w:adjustRightInd w:val="0"/>
        <w:snapToGrid w:val="0"/>
        <w:spacing w:line="360" w:lineRule="auto"/>
        <w:ind w:left="425" w:firstLine="630" w:firstLineChars="300"/>
        <w:rPr>
          <w:rFonts w:ascii="宋体" w:hAnsi="宋体" w:cs="宋体"/>
          <w:bCs/>
          <w:szCs w:val="21"/>
          <w:highlight w:val="none"/>
        </w:rPr>
      </w:pPr>
      <w:r>
        <w:rPr>
          <w:rFonts w:hint="eastAsia" w:ascii="宋体" w:hAnsi="宋体" w:cs="宋体"/>
          <w:szCs w:val="21"/>
          <w:highlight w:val="none"/>
        </w:rPr>
        <w:t>地址：</w:t>
      </w:r>
      <w:r>
        <w:rPr>
          <w:rFonts w:hint="eastAsia" w:ascii="宋体" w:hAnsi="宋体"/>
          <w:highlight w:val="none"/>
        </w:rPr>
        <w:t>佛山市南海区桂城街道南平西路13号承业大厦15楼</w:t>
      </w:r>
    </w:p>
    <w:p w14:paraId="2EDD7E52">
      <w:pPr>
        <w:adjustRightInd w:val="0"/>
        <w:snapToGrid w:val="0"/>
        <w:spacing w:line="360" w:lineRule="auto"/>
        <w:ind w:left="425"/>
        <w:rPr>
          <w:rFonts w:ascii="宋体" w:hAnsi="宋体" w:cs="宋体"/>
          <w:bCs/>
          <w:szCs w:val="21"/>
          <w:highlight w:val="none"/>
        </w:rPr>
      </w:pPr>
      <w:r>
        <w:rPr>
          <w:rFonts w:hint="eastAsia" w:ascii="宋体" w:hAnsi="宋体" w:cs="宋体"/>
          <w:bCs/>
          <w:szCs w:val="21"/>
          <w:highlight w:val="none"/>
        </w:rPr>
        <w:t xml:space="preserve">      联系人：张小姐                        联系电话：</w:t>
      </w:r>
      <w:r>
        <w:rPr>
          <w:rFonts w:hint="eastAsia" w:ascii="宋体" w:hAnsi="宋体" w:cs="宋体"/>
          <w:szCs w:val="21"/>
          <w:highlight w:val="none"/>
        </w:rPr>
        <w:t>0757-</w:t>
      </w:r>
      <w:r>
        <w:rPr>
          <w:rFonts w:ascii="宋体" w:hAnsi="宋体" w:cs="宋体"/>
          <w:szCs w:val="21"/>
          <w:highlight w:val="none"/>
        </w:rPr>
        <w:t>86399085</w:t>
      </w:r>
    </w:p>
    <w:p w14:paraId="0DC14AD2">
      <w:pPr>
        <w:adjustRightInd w:val="0"/>
        <w:snapToGrid w:val="0"/>
        <w:spacing w:line="360" w:lineRule="auto"/>
        <w:ind w:left="425"/>
        <w:rPr>
          <w:rFonts w:ascii="宋体" w:hAnsi="宋体" w:cs="宋体"/>
          <w:szCs w:val="21"/>
          <w:highlight w:val="none"/>
        </w:rPr>
      </w:pPr>
      <w:r>
        <w:rPr>
          <w:rFonts w:hint="eastAsia" w:ascii="宋体" w:hAnsi="宋体" w:cs="宋体"/>
          <w:bCs/>
          <w:szCs w:val="21"/>
          <w:highlight w:val="none"/>
        </w:rPr>
        <w:t xml:space="preserve">      邮编：</w:t>
      </w:r>
      <w:r>
        <w:rPr>
          <w:rFonts w:hint="eastAsia" w:ascii="宋体" w:hAnsi="宋体" w:cs="宋体"/>
          <w:szCs w:val="21"/>
          <w:highlight w:val="none"/>
        </w:rPr>
        <w:t xml:space="preserve">528000    </w:t>
      </w:r>
    </w:p>
    <w:p w14:paraId="4DAF80B7">
      <w:pPr>
        <w:numPr>
          <w:ilvl w:val="0"/>
          <w:numId w:val="4"/>
        </w:numPr>
        <w:tabs>
          <w:tab w:val="left" w:pos="1050"/>
        </w:tabs>
        <w:adjustRightInd w:val="0"/>
        <w:snapToGrid w:val="0"/>
        <w:spacing w:line="360" w:lineRule="auto"/>
        <w:ind w:firstLine="215"/>
        <w:rPr>
          <w:rFonts w:ascii="宋体" w:hAnsi="宋体" w:cs="宋体"/>
          <w:szCs w:val="21"/>
          <w:highlight w:val="none"/>
        </w:rPr>
      </w:pPr>
      <w:r>
        <w:rPr>
          <w:rFonts w:hint="eastAsia" w:ascii="宋体" w:hAnsi="宋体" w:cs="宋体"/>
          <w:szCs w:val="21"/>
          <w:highlight w:val="none"/>
        </w:rPr>
        <w:t xml:space="preserve">招标代理机构：广东中采招标有限公司    </w:t>
      </w:r>
    </w:p>
    <w:p w14:paraId="3B742DB6">
      <w:pPr>
        <w:tabs>
          <w:tab w:val="left" w:pos="1050"/>
        </w:tabs>
        <w:adjustRightInd w:val="0"/>
        <w:snapToGrid w:val="0"/>
        <w:spacing w:line="360" w:lineRule="auto"/>
        <w:ind w:left="640" w:firstLine="420" w:firstLineChars="200"/>
        <w:rPr>
          <w:rFonts w:ascii="宋体" w:hAnsi="宋体" w:cs="宋体"/>
          <w:szCs w:val="21"/>
          <w:highlight w:val="none"/>
        </w:rPr>
      </w:pPr>
      <w:r>
        <w:rPr>
          <w:rFonts w:hint="eastAsia" w:ascii="宋体" w:hAnsi="宋体" w:cs="宋体"/>
          <w:szCs w:val="21"/>
          <w:highlight w:val="none"/>
        </w:rPr>
        <w:t>地址：佛山市禅城区文华北路223号之一栋5层525、526、527单元</w:t>
      </w:r>
    </w:p>
    <w:p w14:paraId="5407FE6A">
      <w:pPr>
        <w:adjustRightInd w:val="0"/>
        <w:snapToGrid w:val="0"/>
        <w:spacing w:line="360" w:lineRule="auto"/>
        <w:ind w:left="1054" w:leftChars="202" w:hanging="630" w:hangingChars="300"/>
        <w:jc w:val="left"/>
        <w:rPr>
          <w:rFonts w:ascii="宋体" w:hAnsi="宋体" w:cs="宋体"/>
          <w:szCs w:val="21"/>
          <w:highlight w:val="none"/>
        </w:rPr>
      </w:pPr>
      <w:r>
        <w:rPr>
          <w:rFonts w:hint="eastAsia" w:ascii="宋体" w:hAnsi="宋体" w:cs="宋体"/>
          <w:szCs w:val="21"/>
          <w:highlight w:val="none"/>
        </w:rPr>
        <w:t xml:space="preserve">      联系人：韩小姐                   联系方式：0757-81993027/0757-81279048                   邮政编码：528000                 电子邮箱：</w:t>
      </w:r>
      <w:r>
        <w:rPr>
          <w:highlight w:val="none"/>
        </w:rPr>
        <w:fldChar w:fldCharType="begin"/>
      </w:r>
      <w:r>
        <w:rPr>
          <w:highlight w:val="none"/>
        </w:rPr>
        <w:instrText xml:space="preserve"> HYPERLINK "mailto:gdzczb@126.com" </w:instrText>
      </w:r>
      <w:r>
        <w:rPr>
          <w:highlight w:val="none"/>
        </w:rPr>
        <w:fldChar w:fldCharType="separate"/>
      </w:r>
      <w:r>
        <w:rPr>
          <w:rFonts w:hint="eastAsia" w:ascii="宋体" w:hAnsi="宋体" w:cs="宋体"/>
          <w:szCs w:val="21"/>
          <w:highlight w:val="none"/>
        </w:rPr>
        <w:t>gdzczb@126.com</w:t>
      </w:r>
      <w:r>
        <w:rPr>
          <w:rFonts w:hint="eastAsia" w:ascii="宋体" w:hAnsi="宋体" w:cs="宋体"/>
          <w:szCs w:val="21"/>
          <w:highlight w:val="none"/>
        </w:rPr>
        <w:fldChar w:fldCharType="end"/>
      </w:r>
    </w:p>
    <w:p w14:paraId="744CE494">
      <w:pPr>
        <w:snapToGrid w:val="0"/>
        <w:spacing w:line="360" w:lineRule="auto"/>
        <w:ind w:firstLine="435"/>
        <w:jc w:val="right"/>
        <w:rPr>
          <w:rFonts w:ascii="宋体" w:hAnsi="宋体" w:cs="宋体"/>
          <w:b/>
          <w:szCs w:val="21"/>
          <w:highlight w:val="none"/>
        </w:rPr>
      </w:pPr>
    </w:p>
    <w:p w14:paraId="00D66A43">
      <w:pPr>
        <w:snapToGrid w:val="0"/>
        <w:spacing w:line="360" w:lineRule="auto"/>
        <w:ind w:firstLine="435"/>
        <w:jc w:val="right"/>
        <w:outlineLvl w:val="0"/>
        <w:rPr>
          <w:rFonts w:ascii="宋体" w:hAnsi="宋体" w:cs="宋体"/>
          <w:b/>
          <w:szCs w:val="21"/>
          <w:highlight w:val="none"/>
        </w:rPr>
      </w:pPr>
      <w:bookmarkStart w:id="5" w:name="_Toc19556"/>
      <w:bookmarkStart w:id="6" w:name="_Toc29225"/>
      <w:r>
        <w:rPr>
          <w:rFonts w:hint="eastAsia" w:ascii="宋体" w:hAnsi="宋体" w:cs="宋体"/>
          <w:b/>
          <w:szCs w:val="21"/>
          <w:highlight w:val="none"/>
        </w:rPr>
        <w:t>广东中采招标有限公司</w:t>
      </w:r>
      <w:bookmarkEnd w:id="5"/>
      <w:bookmarkEnd w:id="6"/>
    </w:p>
    <w:p w14:paraId="14058C01">
      <w:pPr>
        <w:wordWrap w:val="0"/>
        <w:snapToGrid w:val="0"/>
        <w:spacing w:line="360" w:lineRule="auto"/>
        <w:ind w:firstLine="435"/>
        <w:jc w:val="right"/>
        <w:rPr>
          <w:rFonts w:ascii="宋体" w:hAnsi="宋体" w:cs="宋体"/>
          <w:b/>
          <w:szCs w:val="21"/>
          <w:highlight w:val="none"/>
        </w:rPr>
      </w:pPr>
      <w:r>
        <w:rPr>
          <w:rFonts w:hint="eastAsia" w:ascii="宋体" w:hAnsi="宋体" w:cs="宋体"/>
          <w:b/>
          <w:szCs w:val="21"/>
          <w:highlight w:val="none"/>
        </w:rPr>
        <w:t>二〇二四年</w:t>
      </w:r>
      <w:r>
        <w:rPr>
          <w:rFonts w:hint="eastAsia" w:ascii="宋体" w:hAnsi="宋体" w:cs="宋体"/>
          <w:b/>
          <w:szCs w:val="21"/>
          <w:highlight w:val="none"/>
          <w:lang w:val="en-US" w:eastAsia="zh-CN"/>
        </w:rPr>
        <w:t>十月</w:t>
      </w:r>
      <w:r>
        <w:rPr>
          <w:rFonts w:hint="eastAsia" w:ascii="宋体" w:hAnsi="宋体" w:cs="宋体"/>
          <w:b/>
          <w:szCs w:val="21"/>
          <w:highlight w:val="none"/>
          <w:lang w:eastAsia="zh-CN"/>
        </w:rPr>
        <w:t>二十三</w:t>
      </w:r>
      <w:r>
        <w:rPr>
          <w:rFonts w:hint="eastAsia" w:ascii="宋体" w:hAnsi="宋体" w:cs="宋体"/>
          <w:b/>
          <w:szCs w:val="21"/>
          <w:highlight w:val="none"/>
        </w:rPr>
        <w:t>日</w:t>
      </w:r>
    </w:p>
    <w:p w14:paraId="145D2DB2">
      <w:pPr>
        <w:snapToGrid w:val="0"/>
        <w:spacing w:line="360" w:lineRule="auto"/>
        <w:ind w:left="-420" w:leftChars="-200"/>
        <w:rPr>
          <w:rFonts w:ascii="宋体" w:hAnsi="宋体" w:cs="宋体"/>
          <w:bCs/>
          <w:szCs w:val="21"/>
          <w:highlight w:val="none"/>
        </w:rPr>
      </w:pPr>
    </w:p>
    <w:p w14:paraId="2F8BD7B4">
      <w:pPr>
        <w:snapToGrid w:val="0"/>
        <w:spacing w:line="360" w:lineRule="auto"/>
        <w:jc w:val="right"/>
        <w:rPr>
          <w:rFonts w:ascii="宋体" w:hAnsi="宋体" w:cs="宋体"/>
          <w:b/>
          <w:szCs w:val="21"/>
          <w:highlight w:val="none"/>
        </w:rPr>
        <w:sectPr>
          <w:footerReference r:id="rId9" w:type="first"/>
          <w:headerReference r:id="rId7" w:type="default"/>
          <w:footerReference r:id="rId8" w:type="default"/>
          <w:pgSz w:w="11906" w:h="16838"/>
          <w:pgMar w:top="1091" w:right="1466" w:bottom="1134" w:left="1260" w:header="623" w:footer="567" w:gutter="0"/>
          <w:pgNumType w:start="1"/>
          <w:cols w:space="720" w:num="1"/>
          <w:titlePg/>
          <w:docGrid w:type="lines" w:linePitch="312" w:charSpace="0"/>
        </w:sectPr>
      </w:pPr>
    </w:p>
    <w:p w14:paraId="5A32EC6E">
      <w:pPr>
        <w:adjustRightInd w:val="0"/>
        <w:snapToGrid w:val="0"/>
        <w:spacing w:before="156" w:beforeLines="50" w:after="156" w:afterLines="50" w:line="360" w:lineRule="auto"/>
        <w:jc w:val="center"/>
        <w:outlineLvl w:val="0"/>
        <w:rPr>
          <w:rFonts w:ascii="Times New Roman" w:hAnsi="Times New Roman"/>
          <w:b/>
          <w:bCs/>
          <w:sz w:val="28"/>
          <w:szCs w:val="28"/>
          <w:highlight w:val="none"/>
        </w:rPr>
      </w:pPr>
      <w:bookmarkStart w:id="7" w:name="_Toc996"/>
      <w:bookmarkStart w:id="8" w:name="_Toc19553"/>
      <w:r>
        <w:rPr>
          <w:rFonts w:hint="eastAsia" w:ascii="Times New Roman" w:hAnsi="Times New Roman"/>
          <w:b/>
          <w:bCs/>
          <w:sz w:val="28"/>
          <w:szCs w:val="28"/>
          <w:highlight w:val="none"/>
        </w:rPr>
        <w:t>第二章  投标资料表</w:t>
      </w:r>
      <w:bookmarkEnd w:id="7"/>
      <w:bookmarkEnd w:id="8"/>
    </w:p>
    <w:tbl>
      <w:tblPr>
        <w:tblStyle w:val="30"/>
        <w:tblW w:w="9093" w:type="dxa"/>
        <w:tblInd w:w="46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938"/>
      </w:tblGrid>
      <w:tr w14:paraId="259C9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1F45126D">
            <w:pPr>
              <w:jc w:val="center"/>
              <w:rPr>
                <w:rFonts w:ascii="宋体" w:hAnsi="宋体" w:cs="宋体"/>
                <w:szCs w:val="21"/>
                <w:highlight w:val="none"/>
              </w:rPr>
            </w:pPr>
            <w:r>
              <w:rPr>
                <w:rFonts w:hint="eastAsia" w:ascii="宋体" w:hAnsi="宋体" w:cs="宋体"/>
                <w:szCs w:val="21"/>
                <w:highlight w:val="none"/>
              </w:rPr>
              <w:t>条款项号</w:t>
            </w:r>
          </w:p>
        </w:tc>
        <w:tc>
          <w:tcPr>
            <w:tcW w:w="7938" w:type="dxa"/>
            <w:tcBorders>
              <w:tl2br w:val="nil"/>
              <w:tr2bl w:val="nil"/>
            </w:tcBorders>
            <w:vAlign w:val="center"/>
          </w:tcPr>
          <w:p w14:paraId="337F2CDB">
            <w:pPr>
              <w:jc w:val="center"/>
              <w:rPr>
                <w:rFonts w:ascii="宋体" w:hAnsi="宋体" w:cs="宋体"/>
                <w:b/>
                <w:szCs w:val="21"/>
                <w:highlight w:val="none"/>
              </w:rPr>
            </w:pPr>
            <w:r>
              <w:rPr>
                <w:rFonts w:hint="eastAsia" w:ascii="宋体" w:hAnsi="宋体" w:cs="宋体"/>
                <w:b/>
                <w:szCs w:val="21"/>
                <w:highlight w:val="none"/>
              </w:rPr>
              <w:t>内     容</w:t>
            </w:r>
          </w:p>
        </w:tc>
      </w:tr>
      <w:tr w14:paraId="7B526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tl2br w:val="nil"/>
              <w:tr2bl w:val="nil"/>
            </w:tcBorders>
            <w:vAlign w:val="center"/>
          </w:tcPr>
          <w:p w14:paraId="26BB3D98">
            <w:pPr>
              <w:jc w:val="center"/>
              <w:rPr>
                <w:rFonts w:ascii="宋体" w:hAnsi="宋体" w:cs="宋体"/>
                <w:b/>
                <w:szCs w:val="21"/>
                <w:highlight w:val="none"/>
              </w:rPr>
            </w:pPr>
            <w:r>
              <w:rPr>
                <w:rFonts w:hint="eastAsia" w:ascii="宋体" w:hAnsi="宋体" w:cs="宋体"/>
                <w:b/>
                <w:szCs w:val="21"/>
                <w:highlight w:val="none"/>
              </w:rPr>
              <w:t>一、说明</w:t>
            </w:r>
          </w:p>
        </w:tc>
      </w:tr>
      <w:tr w14:paraId="10AD0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55" w:type="dxa"/>
            <w:tcBorders>
              <w:tl2br w:val="nil"/>
              <w:tr2bl w:val="nil"/>
            </w:tcBorders>
            <w:vAlign w:val="center"/>
          </w:tcPr>
          <w:p w14:paraId="096752D3">
            <w:pPr>
              <w:jc w:val="center"/>
              <w:rPr>
                <w:rFonts w:ascii="宋体" w:hAnsi="宋体" w:cs="宋体"/>
                <w:szCs w:val="21"/>
                <w:highlight w:val="none"/>
              </w:rPr>
            </w:pPr>
            <w:r>
              <w:rPr>
                <w:rFonts w:hint="eastAsia" w:ascii="宋体" w:hAnsi="宋体" w:cs="宋体"/>
                <w:szCs w:val="21"/>
                <w:highlight w:val="none"/>
              </w:rPr>
              <w:t>1</w:t>
            </w:r>
          </w:p>
        </w:tc>
        <w:tc>
          <w:tcPr>
            <w:tcW w:w="7938" w:type="dxa"/>
            <w:tcBorders>
              <w:tl2br w:val="nil"/>
              <w:tr2bl w:val="nil"/>
            </w:tcBorders>
            <w:vAlign w:val="center"/>
          </w:tcPr>
          <w:p w14:paraId="6F4A481F">
            <w:pPr>
              <w:rPr>
                <w:rFonts w:ascii="宋体" w:hAnsi="宋体" w:cs="宋体"/>
                <w:szCs w:val="21"/>
                <w:highlight w:val="none"/>
              </w:rPr>
            </w:pPr>
            <w:r>
              <w:rPr>
                <w:rFonts w:hint="eastAsia" w:ascii="宋体" w:hAnsi="宋体" w:cs="宋体"/>
                <w:szCs w:val="21"/>
                <w:highlight w:val="none"/>
              </w:rPr>
              <w:t>招标人名称：</w:t>
            </w:r>
            <w:r>
              <w:rPr>
                <w:rFonts w:hint="eastAsia" w:ascii="宋体" w:hAnsi="宋体" w:cs="宋体"/>
                <w:kern w:val="28"/>
                <w:szCs w:val="21"/>
                <w:highlight w:val="none"/>
              </w:rPr>
              <w:t>广东南海产业集团有限公司</w:t>
            </w:r>
          </w:p>
        </w:tc>
      </w:tr>
      <w:tr w14:paraId="66C4D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155" w:type="dxa"/>
            <w:tcBorders>
              <w:tl2br w:val="nil"/>
              <w:tr2bl w:val="nil"/>
            </w:tcBorders>
            <w:vAlign w:val="center"/>
          </w:tcPr>
          <w:p w14:paraId="3C6BB00C">
            <w:pPr>
              <w:jc w:val="center"/>
              <w:rPr>
                <w:rFonts w:ascii="宋体" w:hAnsi="宋体" w:cs="宋体"/>
                <w:szCs w:val="21"/>
                <w:highlight w:val="none"/>
              </w:rPr>
            </w:pPr>
            <w:r>
              <w:rPr>
                <w:rFonts w:hint="eastAsia" w:ascii="宋体" w:hAnsi="宋体" w:cs="宋体"/>
                <w:szCs w:val="21"/>
                <w:highlight w:val="none"/>
              </w:rPr>
              <w:t>2</w:t>
            </w:r>
          </w:p>
        </w:tc>
        <w:tc>
          <w:tcPr>
            <w:tcW w:w="7938" w:type="dxa"/>
            <w:tcBorders>
              <w:tl2br w:val="nil"/>
              <w:tr2bl w:val="nil"/>
            </w:tcBorders>
            <w:vAlign w:val="center"/>
          </w:tcPr>
          <w:p w14:paraId="70DF88EB">
            <w:pPr>
              <w:spacing w:line="380" w:lineRule="exact"/>
              <w:rPr>
                <w:rFonts w:ascii="宋体" w:hAnsi="宋体" w:cs="宋体"/>
                <w:szCs w:val="21"/>
                <w:highlight w:val="none"/>
              </w:rPr>
            </w:pPr>
            <w:r>
              <w:rPr>
                <w:rFonts w:hint="eastAsia" w:ascii="宋体" w:hAnsi="宋体" w:cs="宋体"/>
                <w:szCs w:val="21"/>
                <w:highlight w:val="none"/>
              </w:rPr>
              <w:t>招标代理机构：广东中采招标有限公司</w:t>
            </w:r>
          </w:p>
          <w:p w14:paraId="3F3B3289">
            <w:pPr>
              <w:spacing w:line="380" w:lineRule="exact"/>
              <w:rPr>
                <w:rFonts w:ascii="宋体" w:hAnsi="宋体" w:cs="宋体"/>
                <w:szCs w:val="21"/>
                <w:highlight w:val="none"/>
              </w:rPr>
            </w:pPr>
            <w:r>
              <w:rPr>
                <w:rFonts w:hint="eastAsia" w:ascii="宋体" w:hAnsi="宋体" w:cs="宋体"/>
                <w:szCs w:val="21"/>
                <w:highlight w:val="none"/>
              </w:rPr>
              <w:t>地址：佛山市禅城区文华北路223号之一栋5层525、526、527单元</w:t>
            </w:r>
          </w:p>
          <w:p w14:paraId="1F3C8B46">
            <w:pPr>
              <w:adjustRightInd w:val="0"/>
              <w:snapToGrid w:val="0"/>
              <w:spacing w:line="380" w:lineRule="exact"/>
              <w:rPr>
                <w:rFonts w:ascii="宋体" w:hAnsi="宋体" w:cs="宋体"/>
                <w:szCs w:val="21"/>
                <w:highlight w:val="none"/>
              </w:rPr>
            </w:pPr>
            <w:r>
              <w:rPr>
                <w:rFonts w:hint="eastAsia" w:ascii="宋体" w:hAnsi="宋体" w:cs="宋体"/>
                <w:szCs w:val="21"/>
                <w:highlight w:val="none"/>
              </w:rPr>
              <w:t>电话：0757-81993027/0757-81279048。</w:t>
            </w:r>
          </w:p>
        </w:tc>
      </w:tr>
      <w:tr w14:paraId="12D53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tl2br w:val="nil"/>
              <w:tr2bl w:val="nil"/>
            </w:tcBorders>
            <w:vAlign w:val="center"/>
          </w:tcPr>
          <w:p w14:paraId="1572BFAC">
            <w:pPr>
              <w:jc w:val="center"/>
              <w:rPr>
                <w:rFonts w:ascii="宋体" w:hAnsi="宋体" w:cs="宋体"/>
                <w:szCs w:val="21"/>
                <w:highlight w:val="none"/>
              </w:rPr>
            </w:pPr>
            <w:r>
              <w:rPr>
                <w:rFonts w:hint="eastAsia" w:ascii="宋体" w:hAnsi="宋体" w:cs="宋体"/>
                <w:b/>
                <w:szCs w:val="21"/>
                <w:highlight w:val="none"/>
              </w:rPr>
              <w:t>二、招标文件</w:t>
            </w:r>
          </w:p>
        </w:tc>
      </w:tr>
      <w:tr w14:paraId="3032F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55" w:type="dxa"/>
            <w:tcBorders>
              <w:tl2br w:val="nil"/>
              <w:tr2bl w:val="nil"/>
            </w:tcBorders>
            <w:vAlign w:val="center"/>
          </w:tcPr>
          <w:p w14:paraId="5F2AF343">
            <w:pPr>
              <w:jc w:val="center"/>
              <w:rPr>
                <w:rFonts w:ascii="宋体" w:hAnsi="宋体" w:cs="宋体"/>
                <w:szCs w:val="21"/>
                <w:highlight w:val="none"/>
              </w:rPr>
            </w:pPr>
            <w:r>
              <w:rPr>
                <w:rFonts w:hint="eastAsia" w:ascii="宋体" w:hAnsi="宋体" w:cs="宋体"/>
                <w:szCs w:val="21"/>
                <w:highlight w:val="none"/>
              </w:rPr>
              <w:t>3</w:t>
            </w:r>
          </w:p>
        </w:tc>
        <w:tc>
          <w:tcPr>
            <w:tcW w:w="7938" w:type="dxa"/>
            <w:tcBorders>
              <w:tl2br w:val="nil"/>
              <w:tr2bl w:val="nil"/>
            </w:tcBorders>
            <w:vAlign w:val="center"/>
          </w:tcPr>
          <w:p w14:paraId="0F75DF25">
            <w:pPr>
              <w:adjustRightInd w:val="0"/>
              <w:snapToGrid w:val="0"/>
              <w:spacing w:line="380" w:lineRule="exact"/>
              <w:rPr>
                <w:rFonts w:ascii="宋体" w:hAnsi="宋体" w:cs="宋体"/>
                <w:szCs w:val="21"/>
                <w:highlight w:val="none"/>
              </w:rPr>
            </w:pPr>
            <w:r>
              <w:rPr>
                <w:rFonts w:hint="eastAsia" w:ascii="宋体" w:hAnsi="宋体" w:cs="宋体"/>
                <w:szCs w:val="21"/>
                <w:highlight w:val="none"/>
              </w:rPr>
              <w:t>现场考察：不组织。</w:t>
            </w:r>
          </w:p>
        </w:tc>
      </w:tr>
      <w:tr w14:paraId="63163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55" w:type="dxa"/>
            <w:tcBorders>
              <w:tl2br w:val="nil"/>
              <w:tr2bl w:val="nil"/>
            </w:tcBorders>
            <w:vAlign w:val="center"/>
          </w:tcPr>
          <w:p w14:paraId="44AC0E37">
            <w:pPr>
              <w:jc w:val="center"/>
              <w:rPr>
                <w:rFonts w:ascii="宋体" w:hAnsi="宋体" w:cs="宋体"/>
                <w:szCs w:val="21"/>
                <w:highlight w:val="none"/>
              </w:rPr>
            </w:pPr>
            <w:r>
              <w:rPr>
                <w:rFonts w:hint="eastAsia" w:ascii="宋体" w:hAnsi="宋体" w:cs="宋体"/>
                <w:szCs w:val="21"/>
                <w:highlight w:val="none"/>
              </w:rPr>
              <w:t>4</w:t>
            </w:r>
          </w:p>
        </w:tc>
        <w:tc>
          <w:tcPr>
            <w:tcW w:w="7938" w:type="dxa"/>
            <w:tcBorders>
              <w:tl2br w:val="nil"/>
              <w:tr2bl w:val="nil"/>
            </w:tcBorders>
            <w:vAlign w:val="center"/>
          </w:tcPr>
          <w:p w14:paraId="192FE6EE">
            <w:pPr>
              <w:rPr>
                <w:rFonts w:ascii="宋体" w:hAnsi="宋体" w:cs="宋体"/>
                <w:szCs w:val="21"/>
                <w:highlight w:val="none"/>
              </w:rPr>
            </w:pPr>
            <w:r>
              <w:rPr>
                <w:rFonts w:hint="eastAsia" w:ascii="宋体" w:hAnsi="宋体" w:cs="宋体"/>
                <w:szCs w:val="21"/>
                <w:highlight w:val="none"/>
              </w:rPr>
              <w:t>投标截止日期和时间：按招标文件第一章规定。</w:t>
            </w:r>
          </w:p>
        </w:tc>
      </w:tr>
      <w:tr w14:paraId="2B0ED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tl2br w:val="nil"/>
              <w:tr2bl w:val="nil"/>
            </w:tcBorders>
            <w:vAlign w:val="center"/>
          </w:tcPr>
          <w:p w14:paraId="07F78DBA">
            <w:pPr>
              <w:jc w:val="center"/>
              <w:rPr>
                <w:rFonts w:ascii="宋体" w:hAnsi="宋体" w:cs="宋体"/>
                <w:b/>
                <w:szCs w:val="21"/>
                <w:highlight w:val="none"/>
              </w:rPr>
            </w:pPr>
            <w:r>
              <w:rPr>
                <w:rFonts w:hint="eastAsia" w:ascii="宋体" w:hAnsi="宋体" w:cs="宋体"/>
                <w:b/>
                <w:szCs w:val="21"/>
                <w:highlight w:val="none"/>
              </w:rPr>
              <w:t>三、投标文件的编制</w:t>
            </w:r>
          </w:p>
        </w:tc>
      </w:tr>
      <w:tr w14:paraId="793A1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5" w:type="dxa"/>
            <w:tcBorders>
              <w:tl2br w:val="nil"/>
              <w:tr2bl w:val="nil"/>
            </w:tcBorders>
            <w:vAlign w:val="center"/>
          </w:tcPr>
          <w:p w14:paraId="47545DBE">
            <w:pPr>
              <w:jc w:val="center"/>
              <w:rPr>
                <w:rFonts w:ascii="宋体" w:hAnsi="宋体" w:cs="宋体"/>
                <w:szCs w:val="21"/>
                <w:highlight w:val="none"/>
              </w:rPr>
            </w:pPr>
            <w:r>
              <w:rPr>
                <w:rFonts w:hint="eastAsia" w:ascii="宋体" w:hAnsi="宋体" w:cs="宋体"/>
                <w:szCs w:val="21"/>
                <w:highlight w:val="none"/>
              </w:rPr>
              <w:t>5</w:t>
            </w:r>
          </w:p>
        </w:tc>
        <w:tc>
          <w:tcPr>
            <w:tcW w:w="7938" w:type="dxa"/>
            <w:tcBorders>
              <w:tl2br w:val="nil"/>
              <w:tr2bl w:val="nil"/>
            </w:tcBorders>
            <w:vAlign w:val="center"/>
          </w:tcPr>
          <w:p w14:paraId="31B1FDE0">
            <w:pPr>
              <w:rPr>
                <w:rFonts w:ascii="宋体" w:hAnsi="宋体" w:cs="宋体"/>
                <w:szCs w:val="21"/>
                <w:highlight w:val="none"/>
              </w:rPr>
            </w:pPr>
            <w:r>
              <w:rPr>
                <w:rFonts w:hint="eastAsia" w:ascii="宋体" w:hAnsi="宋体" w:cs="宋体"/>
                <w:szCs w:val="21"/>
                <w:highlight w:val="none"/>
              </w:rPr>
              <w:t>投标人所报的投标价在合同执行过程中是固定不变的，不得以任何理由予以变更。</w:t>
            </w:r>
          </w:p>
        </w:tc>
      </w:tr>
      <w:tr w14:paraId="5ECCC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33176632">
            <w:pPr>
              <w:jc w:val="center"/>
              <w:rPr>
                <w:rFonts w:ascii="宋体" w:hAnsi="宋体" w:cs="宋体"/>
                <w:szCs w:val="21"/>
                <w:highlight w:val="none"/>
              </w:rPr>
            </w:pPr>
            <w:r>
              <w:rPr>
                <w:rFonts w:hint="eastAsia" w:ascii="宋体" w:hAnsi="宋体" w:cs="宋体"/>
                <w:szCs w:val="21"/>
                <w:highlight w:val="none"/>
              </w:rPr>
              <w:t>6</w:t>
            </w:r>
          </w:p>
        </w:tc>
        <w:tc>
          <w:tcPr>
            <w:tcW w:w="7938" w:type="dxa"/>
            <w:tcBorders>
              <w:tl2br w:val="nil"/>
              <w:tr2bl w:val="nil"/>
            </w:tcBorders>
            <w:vAlign w:val="center"/>
          </w:tcPr>
          <w:p w14:paraId="1985F0EE">
            <w:pPr>
              <w:rPr>
                <w:rFonts w:ascii="宋体" w:hAnsi="宋体" w:cs="宋体"/>
                <w:szCs w:val="21"/>
                <w:highlight w:val="none"/>
              </w:rPr>
            </w:pPr>
            <w:r>
              <w:rPr>
                <w:rFonts w:hint="eastAsia" w:ascii="宋体" w:hAnsi="宋体" w:cs="宋体"/>
                <w:szCs w:val="21"/>
                <w:highlight w:val="none"/>
              </w:rPr>
              <w:t>不允许有备选方案，否则将被视为无效投标。</w:t>
            </w:r>
          </w:p>
        </w:tc>
      </w:tr>
      <w:tr w14:paraId="00F85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49B0FAB6">
            <w:pPr>
              <w:jc w:val="center"/>
              <w:rPr>
                <w:rFonts w:ascii="宋体" w:hAnsi="宋体" w:cs="宋体"/>
                <w:szCs w:val="21"/>
                <w:highlight w:val="none"/>
              </w:rPr>
            </w:pPr>
            <w:r>
              <w:rPr>
                <w:rFonts w:hint="eastAsia" w:ascii="宋体" w:hAnsi="宋体" w:cs="宋体"/>
                <w:szCs w:val="21"/>
                <w:highlight w:val="none"/>
              </w:rPr>
              <w:t>7</w:t>
            </w:r>
          </w:p>
        </w:tc>
        <w:tc>
          <w:tcPr>
            <w:tcW w:w="7938" w:type="dxa"/>
            <w:tcBorders>
              <w:tl2br w:val="nil"/>
              <w:tr2bl w:val="nil"/>
            </w:tcBorders>
            <w:vAlign w:val="center"/>
          </w:tcPr>
          <w:p w14:paraId="44AB2C44">
            <w:pPr>
              <w:rPr>
                <w:rFonts w:ascii="宋体" w:hAnsi="宋体" w:cs="宋体"/>
                <w:szCs w:val="21"/>
                <w:highlight w:val="none"/>
              </w:rPr>
            </w:pPr>
            <w:r>
              <w:rPr>
                <w:rFonts w:hint="eastAsia" w:ascii="宋体" w:hAnsi="宋体" w:cs="宋体"/>
                <w:szCs w:val="21"/>
                <w:highlight w:val="none"/>
              </w:rPr>
              <w:t>不允许附加条件报价，否则将被视为无效投标。</w:t>
            </w:r>
          </w:p>
        </w:tc>
      </w:tr>
      <w:tr w14:paraId="2508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242B6F43">
            <w:pPr>
              <w:jc w:val="center"/>
              <w:rPr>
                <w:rFonts w:ascii="宋体" w:hAnsi="宋体" w:cs="宋体"/>
                <w:szCs w:val="21"/>
                <w:highlight w:val="none"/>
              </w:rPr>
            </w:pPr>
            <w:r>
              <w:rPr>
                <w:rFonts w:hint="eastAsia" w:ascii="宋体" w:hAnsi="宋体" w:cs="宋体"/>
                <w:szCs w:val="21"/>
                <w:highlight w:val="none"/>
              </w:rPr>
              <w:t>8</w:t>
            </w:r>
          </w:p>
        </w:tc>
        <w:tc>
          <w:tcPr>
            <w:tcW w:w="7938" w:type="dxa"/>
            <w:tcBorders>
              <w:tl2br w:val="nil"/>
              <w:tr2bl w:val="nil"/>
            </w:tcBorders>
            <w:vAlign w:val="center"/>
          </w:tcPr>
          <w:p w14:paraId="3BDED4D3">
            <w:pPr>
              <w:numPr>
                <w:ilvl w:val="0"/>
                <w:numId w:val="5"/>
              </w:numPr>
              <w:rPr>
                <w:rFonts w:ascii="宋体" w:hAnsi="宋体" w:cs="宋体"/>
                <w:highlight w:val="none"/>
              </w:rPr>
            </w:pPr>
            <w:r>
              <w:rPr>
                <w:rFonts w:hint="eastAsia" w:ascii="宋体" w:hAnsi="宋体" w:cs="宋体"/>
                <w:highlight w:val="none"/>
              </w:rPr>
              <w:t>在规定时间内，投标人投标保证金必须采用</w:t>
            </w:r>
            <w:r>
              <w:rPr>
                <w:rFonts w:hint="eastAsia" w:ascii="宋体" w:hAnsi="宋体" w:cs="宋体"/>
                <w:kern w:val="0"/>
                <w:szCs w:val="21"/>
                <w:highlight w:val="none"/>
              </w:rPr>
              <w:t>银行柜台</w:t>
            </w:r>
            <w:r>
              <w:rPr>
                <w:rFonts w:hint="eastAsia" w:ascii="宋体" w:hAnsi="宋体" w:cs="宋体"/>
                <w:kern w:val="0"/>
                <w:szCs w:val="21"/>
                <w:highlight w:val="none"/>
                <w:lang w:eastAsia="zh-CN"/>
              </w:rPr>
              <w:t>或</w:t>
            </w:r>
            <w:r>
              <w:rPr>
                <w:rFonts w:hint="eastAsia" w:ascii="宋体" w:hAnsi="宋体" w:cs="宋体"/>
                <w:kern w:val="0"/>
                <w:szCs w:val="21"/>
                <w:highlight w:val="none"/>
              </w:rPr>
              <w:t>网上银行</w:t>
            </w:r>
            <w:r>
              <w:rPr>
                <w:rFonts w:hint="eastAsia" w:ascii="宋体" w:hAnsi="宋体" w:cs="宋体"/>
                <w:highlight w:val="none"/>
              </w:rPr>
              <w:t>转账方式，由投标人转入佛山市南海公有资产流转服务有限公司指定账户；</w:t>
            </w:r>
          </w:p>
          <w:p w14:paraId="7ABF7B4E">
            <w:pPr>
              <w:numPr>
                <w:ilvl w:val="0"/>
                <w:numId w:val="5"/>
              </w:numPr>
              <w:rPr>
                <w:highlight w:val="none"/>
              </w:rPr>
            </w:pPr>
            <w:r>
              <w:rPr>
                <w:rFonts w:hint="eastAsia" w:ascii="宋体" w:hAnsi="宋体" w:cs="宋体"/>
                <w:highlight w:val="none"/>
              </w:rPr>
              <w:t>投标人在开标会前，必须向招标代理机构提交《企业采购保证金退付委托书》和营业执照复印件（需加盖投标人公章），作为退付保证金材料。</w:t>
            </w:r>
          </w:p>
        </w:tc>
      </w:tr>
      <w:tr w14:paraId="6BF57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0B935FEC">
            <w:pPr>
              <w:jc w:val="center"/>
              <w:rPr>
                <w:rFonts w:ascii="宋体" w:hAnsi="宋体" w:cs="宋体"/>
                <w:szCs w:val="21"/>
                <w:highlight w:val="none"/>
              </w:rPr>
            </w:pPr>
            <w:r>
              <w:rPr>
                <w:rFonts w:hint="eastAsia" w:ascii="宋体" w:hAnsi="宋体" w:cs="宋体"/>
                <w:szCs w:val="21"/>
                <w:highlight w:val="none"/>
              </w:rPr>
              <w:t>9</w:t>
            </w:r>
          </w:p>
        </w:tc>
        <w:tc>
          <w:tcPr>
            <w:tcW w:w="7938" w:type="dxa"/>
            <w:tcBorders>
              <w:tl2br w:val="nil"/>
              <w:tr2bl w:val="nil"/>
            </w:tcBorders>
            <w:vAlign w:val="center"/>
          </w:tcPr>
          <w:p w14:paraId="5B162855">
            <w:pPr>
              <w:rPr>
                <w:rFonts w:ascii="宋体" w:hAnsi="宋体" w:cs="宋体"/>
                <w:szCs w:val="21"/>
                <w:highlight w:val="none"/>
              </w:rPr>
            </w:pPr>
            <w:r>
              <w:rPr>
                <w:rFonts w:hint="eastAsia" w:ascii="宋体" w:hAnsi="宋体" w:cs="宋体"/>
                <w:szCs w:val="21"/>
                <w:highlight w:val="none"/>
              </w:rPr>
              <w:t>投标有效期：90天。</w:t>
            </w:r>
          </w:p>
        </w:tc>
      </w:tr>
      <w:tr w14:paraId="481B2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4D6C6B65">
            <w:pPr>
              <w:jc w:val="center"/>
              <w:rPr>
                <w:rFonts w:ascii="宋体" w:hAnsi="宋体" w:cs="宋体"/>
                <w:szCs w:val="21"/>
                <w:highlight w:val="none"/>
              </w:rPr>
            </w:pPr>
            <w:r>
              <w:rPr>
                <w:rFonts w:hint="eastAsia" w:ascii="宋体" w:hAnsi="宋体" w:cs="宋体"/>
                <w:szCs w:val="21"/>
                <w:highlight w:val="none"/>
              </w:rPr>
              <w:t>10</w:t>
            </w:r>
          </w:p>
        </w:tc>
        <w:tc>
          <w:tcPr>
            <w:tcW w:w="7938" w:type="dxa"/>
            <w:tcBorders>
              <w:tl2br w:val="nil"/>
              <w:tr2bl w:val="nil"/>
            </w:tcBorders>
            <w:vAlign w:val="center"/>
          </w:tcPr>
          <w:p w14:paraId="0547E1E1">
            <w:pPr>
              <w:numPr>
                <w:ilvl w:val="0"/>
                <w:numId w:val="6"/>
              </w:numPr>
              <w:rPr>
                <w:rFonts w:ascii="宋体" w:hAnsi="宋体" w:cs="宋体"/>
                <w:highlight w:val="none"/>
              </w:rPr>
            </w:pPr>
            <w:r>
              <w:rPr>
                <w:rFonts w:hint="eastAsia" w:ascii="宋体" w:hAnsi="宋体" w:cs="宋体"/>
                <w:highlight w:val="none"/>
              </w:rPr>
              <w:t>投标文件份数：正本一份，副本五份，电子文件一份。</w:t>
            </w:r>
          </w:p>
          <w:p w14:paraId="3F5367AC">
            <w:pPr>
              <w:numPr>
                <w:ilvl w:val="0"/>
                <w:numId w:val="6"/>
              </w:numPr>
              <w:rPr>
                <w:highlight w:val="none"/>
              </w:rPr>
            </w:pPr>
            <w:r>
              <w:rPr>
                <w:rFonts w:hint="eastAsia" w:ascii="宋体" w:hAnsi="宋体" w:cs="宋体"/>
                <w:highlight w:val="none"/>
              </w:rPr>
              <w:t>投标文件格式规定签字或盖章处须由投标人的法定代表人或经其正式授权的代表亲笔签署本人姓名或印盖本人姓名章，</w:t>
            </w:r>
            <w:r>
              <w:rPr>
                <w:rFonts w:hint="eastAsia"/>
                <w:highlight w:val="none"/>
              </w:rPr>
              <w:t>涉及签字的，应使用正楷签字。</w:t>
            </w:r>
            <w:r>
              <w:rPr>
                <w:rFonts w:hint="eastAsia" w:ascii="宋体" w:hAnsi="宋体" w:cs="宋体"/>
                <w:highlight w:val="none"/>
              </w:rPr>
              <w:t>投标文件不得加盖合同专用章、投标人专用章、或其他电子制版章等各种形式的专用章。</w:t>
            </w:r>
          </w:p>
        </w:tc>
      </w:tr>
      <w:tr w14:paraId="511DD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tl2br w:val="nil"/>
              <w:tr2bl w:val="nil"/>
            </w:tcBorders>
            <w:vAlign w:val="center"/>
          </w:tcPr>
          <w:p w14:paraId="506BEE58">
            <w:pPr>
              <w:jc w:val="center"/>
              <w:rPr>
                <w:rFonts w:ascii="宋体" w:hAnsi="宋体" w:cs="宋体"/>
                <w:b/>
                <w:szCs w:val="21"/>
                <w:highlight w:val="none"/>
              </w:rPr>
            </w:pPr>
            <w:r>
              <w:rPr>
                <w:rFonts w:hint="eastAsia" w:ascii="宋体" w:hAnsi="宋体" w:cs="宋体"/>
                <w:b/>
                <w:szCs w:val="21"/>
                <w:highlight w:val="none"/>
              </w:rPr>
              <w:t>四、投标文件的递交</w:t>
            </w:r>
          </w:p>
        </w:tc>
      </w:tr>
      <w:tr w14:paraId="5F7AB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6AE3DC12">
            <w:pPr>
              <w:jc w:val="center"/>
              <w:rPr>
                <w:rFonts w:ascii="宋体" w:hAnsi="宋体" w:cs="宋体"/>
                <w:szCs w:val="21"/>
                <w:highlight w:val="none"/>
              </w:rPr>
            </w:pPr>
            <w:r>
              <w:rPr>
                <w:rFonts w:hint="eastAsia" w:ascii="宋体" w:hAnsi="宋体" w:cs="宋体"/>
                <w:szCs w:val="21"/>
                <w:highlight w:val="none"/>
              </w:rPr>
              <w:t>11</w:t>
            </w:r>
          </w:p>
        </w:tc>
        <w:tc>
          <w:tcPr>
            <w:tcW w:w="7938" w:type="dxa"/>
            <w:tcBorders>
              <w:tl2br w:val="nil"/>
              <w:tr2bl w:val="nil"/>
            </w:tcBorders>
            <w:vAlign w:val="center"/>
          </w:tcPr>
          <w:p w14:paraId="012CD284">
            <w:pPr>
              <w:ind w:left="105" w:hanging="105" w:hangingChars="50"/>
              <w:rPr>
                <w:rFonts w:ascii="宋体" w:hAnsi="宋体" w:cs="宋体"/>
                <w:szCs w:val="21"/>
                <w:highlight w:val="none"/>
              </w:rPr>
            </w:pPr>
            <w:r>
              <w:rPr>
                <w:rFonts w:hint="eastAsia" w:ascii="宋体" w:hAnsi="宋体" w:cs="宋体"/>
                <w:szCs w:val="21"/>
                <w:highlight w:val="none"/>
              </w:rPr>
              <w:t>投标文件递交地址：按招标文件第一章采购公告中的规定。</w:t>
            </w:r>
          </w:p>
        </w:tc>
      </w:tr>
      <w:tr w14:paraId="111AD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34D0FD8C">
            <w:pPr>
              <w:jc w:val="center"/>
              <w:rPr>
                <w:rFonts w:ascii="宋体" w:hAnsi="宋体" w:cs="宋体"/>
                <w:szCs w:val="21"/>
                <w:highlight w:val="none"/>
              </w:rPr>
            </w:pPr>
            <w:r>
              <w:rPr>
                <w:rFonts w:hint="eastAsia" w:ascii="宋体" w:hAnsi="宋体" w:cs="宋体"/>
                <w:szCs w:val="21"/>
                <w:highlight w:val="none"/>
              </w:rPr>
              <w:t>12</w:t>
            </w:r>
          </w:p>
        </w:tc>
        <w:tc>
          <w:tcPr>
            <w:tcW w:w="7938" w:type="dxa"/>
            <w:tcBorders>
              <w:tl2br w:val="nil"/>
              <w:tr2bl w:val="nil"/>
            </w:tcBorders>
            <w:vAlign w:val="center"/>
          </w:tcPr>
          <w:p w14:paraId="359832AC">
            <w:pPr>
              <w:rPr>
                <w:rFonts w:ascii="宋体" w:hAnsi="宋体" w:cs="宋体"/>
                <w:szCs w:val="21"/>
                <w:highlight w:val="none"/>
              </w:rPr>
            </w:pPr>
            <w:r>
              <w:rPr>
                <w:rFonts w:hint="eastAsia" w:ascii="宋体" w:hAnsi="宋体" w:cs="宋体"/>
                <w:szCs w:val="21"/>
                <w:highlight w:val="none"/>
              </w:rPr>
              <w:t>开标日期、时间和地点：按招标文件第一章采购公告中的规定。</w:t>
            </w:r>
          </w:p>
        </w:tc>
      </w:tr>
      <w:tr w14:paraId="1B528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tl2br w:val="nil"/>
              <w:tr2bl w:val="nil"/>
            </w:tcBorders>
            <w:vAlign w:val="center"/>
          </w:tcPr>
          <w:p w14:paraId="5357C5BB">
            <w:pPr>
              <w:jc w:val="center"/>
              <w:rPr>
                <w:rFonts w:ascii="宋体" w:hAnsi="宋体" w:cs="宋体"/>
                <w:szCs w:val="21"/>
                <w:highlight w:val="none"/>
              </w:rPr>
            </w:pPr>
            <w:r>
              <w:rPr>
                <w:rFonts w:hint="eastAsia" w:ascii="宋体" w:hAnsi="宋体" w:cs="宋体"/>
                <w:b/>
                <w:szCs w:val="21"/>
                <w:highlight w:val="none"/>
              </w:rPr>
              <w:t>五、开标与评标</w:t>
            </w:r>
          </w:p>
        </w:tc>
      </w:tr>
      <w:tr w14:paraId="78281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5D1D24E2">
            <w:pPr>
              <w:jc w:val="center"/>
              <w:rPr>
                <w:rFonts w:ascii="宋体" w:hAnsi="宋体" w:cs="宋体"/>
                <w:szCs w:val="21"/>
                <w:highlight w:val="none"/>
              </w:rPr>
            </w:pPr>
            <w:r>
              <w:rPr>
                <w:rFonts w:hint="eastAsia" w:ascii="宋体" w:hAnsi="宋体" w:cs="宋体"/>
                <w:szCs w:val="21"/>
                <w:highlight w:val="none"/>
              </w:rPr>
              <w:t>13</w:t>
            </w:r>
          </w:p>
        </w:tc>
        <w:tc>
          <w:tcPr>
            <w:tcW w:w="7938" w:type="dxa"/>
            <w:tcBorders>
              <w:tl2br w:val="nil"/>
              <w:tr2bl w:val="nil"/>
            </w:tcBorders>
            <w:vAlign w:val="center"/>
          </w:tcPr>
          <w:p w14:paraId="0A970FE5">
            <w:pPr>
              <w:rPr>
                <w:rFonts w:ascii="宋体" w:hAnsi="宋体" w:cs="宋体"/>
                <w:szCs w:val="21"/>
                <w:highlight w:val="none"/>
              </w:rPr>
            </w:pPr>
            <w:r>
              <w:rPr>
                <w:rFonts w:hint="eastAsia" w:ascii="宋体" w:hAnsi="宋体" w:cs="宋体"/>
                <w:kern w:val="0"/>
                <w:szCs w:val="21"/>
                <w:highlight w:val="none"/>
                <w:lang w:val="zh-CN"/>
              </w:rPr>
              <w:t>评标委员会由5名单数组成，均</w:t>
            </w:r>
            <w:r>
              <w:rPr>
                <w:rFonts w:hint="eastAsia" w:ascii="宋体" w:hAnsi="宋体" w:cs="宋体"/>
                <w:bCs/>
                <w:kern w:val="0"/>
                <w:szCs w:val="21"/>
                <w:highlight w:val="none"/>
              </w:rPr>
              <w:t>从</w:t>
            </w:r>
            <w:r>
              <w:rPr>
                <w:rFonts w:hint="eastAsia" w:ascii="宋体" w:hAnsi="宋体" w:cs="宋体"/>
                <w:kern w:val="0"/>
                <w:szCs w:val="21"/>
                <w:highlight w:val="none"/>
                <w:lang w:val="zh-CN"/>
              </w:rPr>
              <w:t>广东省综合评标评审专家库</w:t>
            </w:r>
            <w:r>
              <w:rPr>
                <w:rFonts w:hint="eastAsia" w:ascii="宋体" w:hAnsi="宋体"/>
                <w:bCs/>
                <w:szCs w:val="21"/>
                <w:highlight w:val="none"/>
              </w:rPr>
              <w:t>（有关金融、法律、财务等方面）</w:t>
            </w:r>
            <w:r>
              <w:rPr>
                <w:rFonts w:hint="eastAsia" w:ascii="宋体" w:hAnsi="宋体" w:cs="宋体"/>
                <w:kern w:val="0"/>
                <w:szCs w:val="21"/>
                <w:highlight w:val="none"/>
                <w:lang w:val="zh-CN"/>
              </w:rPr>
              <w:t>随机抽取的专家组成。</w:t>
            </w:r>
          </w:p>
        </w:tc>
      </w:tr>
      <w:tr w14:paraId="33B8B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18326EB1">
            <w:pPr>
              <w:jc w:val="center"/>
              <w:rPr>
                <w:rFonts w:ascii="宋体" w:hAnsi="宋体" w:cs="宋体"/>
                <w:szCs w:val="21"/>
                <w:highlight w:val="none"/>
              </w:rPr>
            </w:pPr>
            <w:r>
              <w:rPr>
                <w:rFonts w:hint="eastAsia" w:ascii="宋体" w:hAnsi="宋体" w:cs="宋体"/>
                <w:szCs w:val="21"/>
                <w:highlight w:val="none"/>
              </w:rPr>
              <w:t>14</w:t>
            </w:r>
          </w:p>
        </w:tc>
        <w:tc>
          <w:tcPr>
            <w:tcW w:w="7938" w:type="dxa"/>
            <w:tcBorders>
              <w:tl2br w:val="nil"/>
              <w:tr2bl w:val="nil"/>
            </w:tcBorders>
            <w:vAlign w:val="center"/>
          </w:tcPr>
          <w:p w14:paraId="64069870">
            <w:pPr>
              <w:rPr>
                <w:rFonts w:ascii="宋体" w:hAnsi="宋体" w:cs="宋体"/>
                <w:bCs/>
                <w:szCs w:val="21"/>
                <w:highlight w:val="none"/>
              </w:rPr>
            </w:pPr>
            <w:r>
              <w:rPr>
                <w:rFonts w:hint="eastAsia" w:ascii="宋体" w:hAnsi="宋体" w:cs="宋体"/>
                <w:bCs/>
                <w:szCs w:val="21"/>
                <w:highlight w:val="none"/>
              </w:rPr>
              <w:t>评标方法：采用综合评分法。</w:t>
            </w:r>
          </w:p>
        </w:tc>
      </w:tr>
      <w:tr w14:paraId="6BBCB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28D42876">
            <w:pPr>
              <w:jc w:val="center"/>
              <w:rPr>
                <w:rFonts w:ascii="宋体" w:hAnsi="宋体" w:cs="宋体"/>
                <w:szCs w:val="21"/>
                <w:highlight w:val="none"/>
              </w:rPr>
            </w:pPr>
            <w:r>
              <w:rPr>
                <w:rFonts w:hint="eastAsia" w:ascii="宋体" w:hAnsi="宋体" w:cs="宋体"/>
                <w:szCs w:val="21"/>
                <w:highlight w:val="none"/>
              </w:rPr>
              <w:t>15</w:t>
            </w:r>
          </w:p>
        </w:tc>
        <w:tc>
          <w:tcPr>
            <w:tcW w:w="7938" w:type="dxa"/>
            <w:tcBorders>
              <w:tl2br w:val="nil"/>
              <w:tr2bl w:val="nil"/>
            </w:tcBorders>
            <w:vAlign w:val="center"/>
          </w:tcPr>
          <w:p w14:paraId="6138FDCC">
            <w:pPr>
              <w:rPr>
                <w:rFonts w:ascii="宋体" w:hAnsi="宋体" w:cs="宋体"/>
                <w:bCs/>
                <w:szCs w:val="21"/>
                <w:highlight w:val="none"/>
              </w:rPr>
            </w:pPr>
            <w:r>
              <w:rPr>
                <w:rFonts w:hint="eastAsia" w:ascii="宋体" w:hAnsi="宋体" w:cs="宋体"/>
                <w:bCs/>
                <w:szCs w:val="21"/>
                <w:highlight w:val="none"/>
              </w:rPr>
              <w:t>定标原则：评标委员会依据最终得分从高至低进行排序，并推荐综合得分排名前6名的投标人为本项目的第一中标候选人，综合得分排名第7的投标人为第二中标候选人，综合得分排名第8的投标人为第三中标候选人，以此类推，并确定第一中标候选人为中标人。有效投标人不足3名时，本项目招标失败。有效投标人3-6名时，均为第一中标候选人。</w:t>
            </w:r>
          </w:p>
          <w:p w14:paraId="4253F15C">
            <w:pPr>
              <w:rPr>
                <w:rFonts w:ascii="宋体" w:hAnsi="宋体" w:cs="宋体"/>
                <w:bCs/>
                <w:szCs w:val="21"/>
                <w:highlight w:val="none"/>
              </w:rPr>
            </w:pPr>
            <w:r>
              <w:rPr>
                <w:rFonts w:hint="eastAsia" w:ascii="宋体" w:hAnsi="宋体" w:cs="宋体"/>
                <w:bCs/>
                <w:szCs w:val="21"/>
                <w:highlight w:val="none"/>
              </w:rPr>
              <w:t>计算最终得分时将保留至小数点后2位，最终得分相同且影响中标候选人排序的，则按费率报价，由低到高确认中标候选人。若费率报价得分相同的，推荐评分标准中“合作支持”得分较高者为中标候选人。</w:t>
            </w:r>
          </w:p>
          <w:p w14:paraId="131DA5C5">
            <w:pPr>
              <w:rPr>
                <w:rFonts w:ascii="宋体" w:hAnsi="宋体" w:cs="宋体"/>
                <w:bCs/>
                <w:szCs w:val="21"/>
                <w:highlight w:val="none"/>
              </w:rPr>
            </w:pPr>
            <w:r>
              <w:rPr>
                <w:rFonts w:hint="eastAsia" w:ascii="宋体" w:hAnsi="宋体" w:cs="宋体"/>
                <w:bCs/>
                <w:szCs w:val="21"/>
                <w:highlight w:val="none"/>
              </w:rPr>
              <w:t>当中标人出现放弃或被取消中标资格、合同中约定的终止合同情况，则招标人可依序确定下一名中标候选人为中标人，依此类推，招标人亦可重新进行招标。</w:t>
            </w:r>
          </w:p>
        </w:tc>
      </w:tr>
      <w:tr w14:paraId="4FF5A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tl2br w:val="nil"/>
              <w:tr2bl w:val="nil"/>
            </w:tcBorders>
            <w:vAlign w:val="center"/>
          </w:tcPr>
          <w:p w14:paraId="24F5115F">
            <w:pPr>
              <w:jc w:val="center"/>
              <w:rPr>
                <w:rFonts w:ascii="宋体" w:hAnsi="宋体" w:cs="宋体"/>
                <w:szCs w:val="21"/>
                <w:highlight w:val="none"/>
              </w:rPr>
            </w:pPr>
            <w:r>
              <w:rPr>
                <w:rFonts w:hint="eastAsia" w:ascii="宋体" w:hAnsi="宋体" w:cs="宋体"/>
                <w:b/>
                <w:szCs w:val="21"/>
                <w:highlight w:val="none"/>
              </w:rPr>
              <w:t>六、授予合同</w:t>
            </w:r>
          </w:p>
        </w:tc>
      </w:tr>
      <w:tr w14:paraId="46B7C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62E71607">
            <w:pPr>
              <w:jc w:val="center"/>
              <w:rPr>
                <w:rFonts w:ascii="宋体" w:hAnsi="宋体" w:cs="宋体"/>
                <w:szCs w:val="21"/>
                <w:highlight w:val="none"/>
              </w:rPr>
            </w:pPr>
            <w:r>
              <w:rPr>
                <w:rFonts w:hint="eastAsia" w:ascii="宋体" w:hAnsi="宋体" w:cs="宋体"/>
                <w:szCs w:val="21"/>
                <w:highlight w:val="none"/>
              </w:rPr>
              <w:t>16</w:t>
            </w:r>
          </w:p>
        </w:tc>
        <w:tc>
          <w:tcPr>
            <w:tcW w:w="7938" w:type="dxa"/>
            <w:tcBorders>
              <w:tl2br w:val="nil"/>
              <w:tr2bl w:val="nil"/>
            </w:tcBorders>
            <w:vAlign w:val="center"/>
          </w:tcPr>
          <w:p w14:paraId="2F7B6DCB">
            <w:pPr>
              <w:spacing w:line="300" w:lineRule="auto"/>
              <w:rPr>
                <w:rFonts w:ascii="宋体" w:hAnsi="宋体" w:cs="宋体"/>
                <w:szCs w:val="21"/>
                <w:highlight w:val="none"/>
              </w:rPr>
            </w:pPr>
            <w:r>
              <w:rPr>
                <w:rFonts w:hint="eastAsia" w:ascii="宋体" w:hAnsi="宋体" w:cs="宋体"/>
                <w:szCs w:val="21"/>
                <w:highlight w:val="none"/>
              </w:rPr>
              <w:t>招标人</w:t>
            </w:r>
            <w:r>
              <w:rPr>
                <w:rFonts w:hint="eastAsia" w:ascii="宋体" w:hAnsi="宋体" w:cs="宋体"/>
                <w:szCs w:val="21"/>
                <w:highlight w:val="none"/>
                <w:lang w:eastAsia="zh-TW"/>
              </w:rPr>
              <w:t>与中标人</w:t>
            </w:r>
            <w:r>
              <w:rPr>
                <w:rFonts w:hint="eastAsia" w:ascii="宋体" w:hAnsi="宋体" w:cs="宋体"/>
                <w:szCs w:val="21"/>
                <w:highlight w:val="none"/>
              </w:rPr>
              <w:t>按法律规定的时间</w:t>
            </w:r>
            <w:r>
              <w:rPr>
                <w:rFonts w:hint="eastAsia" w:ascii="宋体" w:hAnsi="宋体" w:cs="宋体"/>
                <w:szCs w:val="21"/>
                <w:highlight w:val="none"/>
                <w:lang w:eastAsia="zh-TW"/>
              </w:rPr>
              <w:t>签订书面合同</w:t>
            </w:r>
            <w:r>
              <w:rPr>
                <w:rFonts w:hint="eastAsia" w:ascii="宋体" w:hAnsi="宋体" w:cs="宋体"/>
                <w:szCs w:val="21"/>
                <w:highlight w:val="none"/>
              </w:rPr>
              <w:t>。</w:t>
            </w:r>
          </w:p>
        </w:tc>
      </w:tr>
      <w:tr w14:paraId="73329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53183C2A">
            <w:pPr>
              <w:adjustRightInd w:val="0"/>
              <w:snapToGrid w:val="0"/>
              <w:spacing w:line="380" w:lineRule="exact"/>
              <w:jc w:val="center"/>
              <w:rPr>
                <w:rFonts w:ascii="宋体" w:hAnsi="宋体" w:cs="宋体"/>
                <w:szCs w:val="21"/>
                <w:highlight w:val="none"/>
              </w:rPr>
            </w:pPr>
            <w:r>
              <w:rPr>
                <w:rFonts w:hint="eastAsia" w:ascii="宋体" w:hAnsi="宋体" w:cs="宋体"/>
                <w:szCs w:val="21"/>
                <w:highlight w:val="none"/>
              </w:rPr>
              <w:t>17</w:t>
            </w:r>
          </w:p>
        </w:tc>
        <w:tc>
          <w:tcPr>
            <w:tcW w:w="7938" w:type="dxa"/>
            <w:tcBorders>
              <w:tl2br w:val="nil"/>
              <w:tr2bl w:val="nil"/>
            </w:tcBorders>
            <w:vAlign w:val="center"/>
          </w:tcPr>
          <w:p w14:paraId="3AF7D997">
            <w:pPr>
              <w:adjustRightInd w:val="0"/>
              <w:snapToGrid w:val="0"/>
              <w:spacing w:line="380" w:lineRule="exact"/>
              <w:rPr>
                <w:rFonts w:ascii="宋体" w:hAnsi="宋体" w:cs="宋体"/>
                <w:szCs w:val="21"/>
                <w:highlight w:val="none"/>
              </w:rPr>
            </w:pPr>
            <w:r>
              <w:rPr>
                <w:rFonts w:hint="eastAsia" w:ascii="宋体" w:hAnsi="宋体" w:cs="宋体"/>
                <w:szCs w:val="21"/>
                <w:highlight w:val="none"/>
              </w:rPr>
              <w:t>履约保证金：无。</w:t>
            </w:r>
          </w:p>
        </w:tc>
      </w:tr>
      <w:tr w14:paraId="485BD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155" w:type="dxa"/>
            <w:tcBorders>
              <w:tl2br w:val="nil"/>
              <w:tr2bl w:val="nil"/>
            </w:tcBorders>
            <w:vAlign w:val="center"/>
          </w:tcPr>
          <w:p w14:paraId="7555A81A">
            <w:pPr>
              <w:adjustRightInd w:val="0"/>
              <w:snapToGrid w:val="0"/>
              <w:spacing w:line="380" w:lineRule="exact"/>
              <w:jc w:val="center"/>
              <w:rPr>
                <w:rFonts w:ascii="宋体" w:hAnsi="宋体" w:cs="宋体"/>
                <w:szCs w:val="21"/>
                <w:highlight w:val="none"/>
              </w:rPr>
            </w:pPr>
            <w:r>
              <w:rPr>
                <w:rFonts w:hint="eastAsia" w:ascii="宋体" w:hAnsi="宋体" w:cs="宋体"/>
                <w:szCs w:val="21"/>
                <w:highlight w:val="none"/>
              </w:rPr>
              <w:t>18</w:t>
            </w:r>
          </w:p>
        </w:tc>
        <w:tc>
          <w:tcPr>
            <w:tcW w:w="7938" w:type="dxa"/>
            <w:tcBorders>
              <w:tl2br w:val="nil"/>
              <w:tr2bl w:val="nil"/>
            </w:tcBorders>
          </w:tcPr>
          <w:p w14:paraId="778DA77F">
            <w:pPr>
              <w:numPr>
                <w:ilvl w:val="0"/>
                <w:numId w:val="7"/>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中标人须向招标代理机构按如下标准和规定缴纳招标代理服务费：¥16,000.00元（人民币壹万陆仟元整），由</w:t>
            </w:r>
            <w:r>
              <w:rPr>
                <w:rFonts w:hint="eastAsia" w:ascii="宋体" w:hAnsi="宋体" w:cs="宋体"/>
                <w:bCs/>
                <w:szCs w:val="21"/>
                <w:highlight w:val="none"/>
              </w:rPr>
              <w:t>本项目的第一中标候选人平摊支付。</w:t>
            </w:r>
          </w:p>
          <w:p w14:paraId="619227F9">
            <w:pPr>
              <w:numPr>
                <w:ilvl w:val="0"/>
                <w:numId w:val="7"/>
              </w:numPr>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招标代理服务费的缴纳形式：向招标代理机构直接缴纳招标代理服务费。可用支票、汇票、电汇、现金等付款方式。 </w:t>
            </w:r>
          </w:p>
          <w:p w14:paraId="6343A820">
            <w:pPr>
              <w:numPr>
                <w:ilvl w:val="0"/>
                <w:numId w:val="7"/>
              </w:numPr>
              <w:adjustRightInd w:val="0"/>
              <w:snapToGrid w:val="0"/>
              <w:spacing w:line="360" w:lineRule="auto"/>
              <w:rPr>
                <w:rFonts w:ascii="宋体" w:hAnsi="宋体" w:cs="宋体"/>
                <w:szCs w:val="21"/>
                <w:highlight w:val="none"/>
              </w:rPr>
            </w:pPr>
            <w:r>
              <w:rPr>
                <w:rFonts w:hint="eastAsia" w:ascii="宋体" w:hAnsi="宋体" w:cs="宋体"/>
                <w:szCs w:val="21"/>
                <w:highlight w:val="none"/>
              </w:rPr>
              <w:t>投标人应签署第七章所附格式的招标代理服务费承诺书，作为投标文件的一部分。</w:t>
            </w:r>
          </w:p>
          <w:p w14:paraId="79C5D4BA">
            <w:pPr>
              <w:numPr>
                <w:ilvl w:val="0"/>
                <w:numId w:val="7"/>
              </w:numPr>
              <w:adjustRightInd w:val="0"/>
              <w:snapToGrid w:val="0"/>
              <w:spacing w:line="360" w:lineRule="auto"/>
              <w:rPr>
                <w:rFonts w:ascii="宋体" w:hAnsi="宋体" w:cs="宋体"/>
                <w:szCs w:val="21"/>
                <w:highlight w:val="none"/>
              </w:rPr>
            </w:pPr>
            <w:r>
              <w:rPr>
                <w:rFonts w:hint="eastAsia" w:ascii="宋体" w:hAnsi="宋体" w:cs="宋体"/>
                <w:bCs/>
                <w:szCs w:val="21"/>
                <w:highlight w:val="none"/>
              </w:rPr>
              <w:t>中标人须</w:t>
            </w:r>
            <w:r>
              <w:rPr>
                <w:rFonts w:hint="eastAsia" w:ascii="宋体" w:hAnsi="宋体" w:cs="宋体"/>
                <w:b/>
                <w:bCs/>
                <w:szCs w:val="21"/>
                <w:highlight w:val="none"/>
              </w:rPr>
              <w:t>凭领取人的身份证复印件并加盖公章及</w:t>
            </w:r>
            <w:r>
              <w:rPr>
                <w:rFonts w:hint="eastAsia"/>
                <w:b/>
                <w:bCs/>
                <w:highlight w:val="none"/>
              </w:rPr>
              <w:t>《法定代表人（负责人）授权委托书》</w:t>
            </w:r>
            <w:r>
              <w:rPr>
                <w:rFonts w:hint="eastAsia" w:ascii="宋体" w:hAnsi="宋体" w:cs="宋体"/>
                <w:bCs/>
                <w:szCs w:val="21"/>
                <w:highlight w:val="none"/>
              </w:rPr>
              <w:t>领取中标通知书。</w:t>
            </w:r>
          </w:p>
        </w:tc>
      </w:tr>
      <w:tr w14:paraId="09E64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l2br w:val="nil"/>
              <w:tr2bl w:val="nil"/>
            </w:tcBorders>
            <w:vAlign w:val="center"/>
          </w:tcPr>
          <w:p w14:paraId="25C5D95D">
            <w:pPr>
              <w:adjustRightInd w:val="0"/>
              <w:snapToGrid w:val="0"/>
              <w:spacing w:line="380" w:lineRule="exact"/>
              <w:jc w:val="center"/>
              <w:rPr>
                <w:rFonts w:ascii="宋体" w:hAnsi="宋体" w:cs="宋体"/>
                <w:szCs w:val="21"/>
                <w:highlight w:val="none"/>
              </w:rPr>
            </w:pPr>
            <w:r>
              <w:rPr>
                <w:rFonts w:hint="eastAsia" w:ascii="宋体" w:hAnsi="宋体" w:cs="宋体"/>
                <w:bCs/>
                <w:szCs w:val="21"/>
                <w:highlight w:val="none"/>
              </w:rPr>
              <w:t>19</w:t>
            </w:r>
          </w:p>
        </w:tc>
        <w:tc>
          <w:tcPr>
            <w:tcW w:w="7938" w:type="dxa"/>
            <w:tcBorders>
              <w:tl2br w:val="nil"/>
              <w:tr2bl w:val="nil"/>
            </w:tcBorders>
            <w:vAlign w:val="center"/>
          </w:tcPr>
          <w:p w14:paraId="24798852">
            <w:pPr>
              <w:numPr>
                <w:ilvl w:val="0"/>
                <w:numId w:val="8"/>
              </w:numPr>
              <w:wordWrap w:val="0"/>
              <w:adjustRightInd w:val="0"/>
              <w:snapToGrid w:val="0"/>
              <w:spacing w:line="360" w:lineRule="auto"/>
              <w:ind w:left="363" w:hanging="363"/>
              <w:rPr>
                <w:rFonts w:ascii="宋体" w:hAnsi="宋体" w:cs="宋体"/>
                <w:highlight w:val="none"/>
              </w:rPr>
            </w:pPr>
            <w:r>
              <w:rPr>
                <w:rFonts w:hint="eastAsia" w:ascii="宋体" w:hAnsi="宋体" w:cs="宋体"/>
                <w:highlight w:val="none"/>
              </w:rPr>
              <w:t>本项目相关公告在以下媒体发布：佛山市公共资源交易中心南海分中心(http://www.nanhai.gov.cn/fsnhq/bmdh/sydw/ggzyjyzx/jyxx/)、中国招标投标公共服务平台（http://www.cebpubservice.com/）及招标代理机构网站（http://www.gdzczb.com/）上公布之日即视为有效送达，不再另行通知。</w:t>
            </w:r>
          </w:p>
          <w:p w14:paraId="513B1D9E">
            <w:pPr>
              <w:numPr>
                <w:ilvl w:val="0"/>
                <w:numId w:val="8"/>
              </w:numPr>
              <w:wordWrap w:val="0"/>
              <w:adjustRightInd w:val="0"/>
              <w:snapToGrid w:val="0"/>
              <w:spacing w:line="360" w:lineRule="auto"/>
              <w:ind w:left="363" w:hanging="363"/>
              <w:rPr>
                <w:rFonts w:ascii="宋体" w:hAnsi="宋体" w:cs="宋体"/>
                <w:highlight w:val="none"/>
              </w:rPr>
            </w:pPr>
            <w:r>
              <w:rPr>
                <w:rFonts w:hint="eastAsia" w:ascii="宋体" w:hAnsi="宋体" w:cs="宋体"/>
                <w:highlight w:val="none"/>
              </w:rPr>
              <w:t>上述媒体公告内容和时间不一致时，以佛山市公共资源交易中心南海分中心发布的为准。</w:t>
            </w:r>
          </w:p>
        </w:tc>
      </w:tr>
    </w:tbl>
    <w:p w14:paraId="66DF2D86">
      <w:pPr>
        <w:adjustRightInd w:val="0"/>
        <w:snapToGrid w:val="0"/>
        <w:spacing w:before="156" w:beforeLines="50" w:after="156" w:afterLines="50" w:line="360" w:lineRule="auto"/>
        <w:jc w:val="center"/>
        <w:outlineLvl w:val="0"/>
        <w:rPr>
          <w:rFonts w:ascii="Times New Roman" w:hAnsi="Times New Roman"/>
          <w:b/>
          <w:bCs/>
          <w:sz w:val="28"/>
          <w:szCs w:val="28"/>
          <w:highlight w:val="none"/>
        </w:rPr>
      </w:pPr>
      <w:r>
        <w:rPr>
          <w:rFonts w:hint="eastAsia" w:ascii="宋体" w:hAnsi="宋体" w:cs="宋体"/>
          <w:szCs w:val="21"/>
          <w:highlight w:val="none"/>
        </w:rPr>
        <w:br w:type="page"/>
      </w:r>
      <w:bookmarkStart w:id="9" w:name="_Toc31360"/>
      <w:bookmarkStart w:id="10" w:name="_Toc15739"/>
      <w:r>
        <w:rPr>
          <w:rFonts w:hint="eastAsia" w:ascii="Times New Roman" w:hAnsi="Times New Roman"/>
          <w:b/>
          <w:bCs/>
          <w:sz w:val="28"/>
          <w:szCs w:val="28"/>
          <w:highlight w:val="none"/>
        </w:rPr>
        <w:t>第三章  用户需求书</w:t>
      </w:r>
      <w:bookmarkEnd w:id="9"/>
      <w:bookmarkEnd w:id="10"/>
    </w:p>
    <w:p w14:paraId="4CB1F7C7">
      <w:pPr>
        <w:snapToGrid w:val="0"/>
        <w:spacing w:line="360" w:lineRule="auto"/>
        <w:rPr>
          <w:rFonts w:ascii="宋体" w:hAnsi="宋体" w:cs="宋体"/>
          <w:b/>
          <w:bCs/>
          <w:szCs w:val="21"/>
          <w:highlight w:val="none"/>
        </w:rPr>
      </w:pPr>
      <w:r>
        <w:rPr>
          <w:rFonts w:hint="eastAsia" w:ascii="宋体" w:hAnsi="宋体" w:cs="宋体"/>
          <w:b/>
          <w:bCs/>
          <w:szCs w:val="21"/>
          <w:highlight w:val="none"/>
        </w:rPr>
        <w:t>说明：</w:t>
      </w:r>
    </w:p>
    <w:p w14:paraId="7273A267">
      <w:pPr>
        <w:numPr>
          <w:ilvl w:val="0"/>
          <w:numId w:val="9"/>
        </w:numPr>
        <w:spacing w:line="360" w:lineRule="auto"/>
        <w:rPr>
          <w:rFonts w:ascii="宋体" w:hAnsi="宋体" w:cs="宋体"/>
          <w:b/>
          <w:bCs/>
          <w:szCs w:val="21"/>
          <w:highlight w:val="none"/>
        </w:rPr>
      </w:pPr>
      <w:r>
        <w:rPr>
          <w:rFonts w:hint="eastAsia" w:ascii="宋体" w:hAnsi="宋体" w:cs="宋体"/>
          <w:b/>
          <w:bCs/>
          <w:szCs w:val="21"/>
          <w:highlight w:val="none"/>
        </w:rPr>
        <w:t>用户需求书中打“★”号条款（如有）及</w:t>
      </w:r>
      <w:r>
        <w:rPr>
          <w:rFonts w:hint="eastAsia" w:ascii="宋体" w:hAnsi="宋体" w:cs="宋体"/>
          <w:b/>
          <w:bCs/>
          <w:sz w:val="24"/>
          <w:highlight w:val="none"/>
          <w:u w:val="double"/>
        </w:rPr>
        <w:t>商务要求</w:t>
      </w:r>
      <w:r>
        <w:rPr>
          <w:rFonts w:hint="eastAsia" w:ascii="宋体" w:hAnsi="宋体" w:cs="宋体"/>
          <w:b/>
          <w:bCs/>
          <w:szCs w:val="21"/>
          <w:highlight w:val="none"/>
        </w:rPr>
        <w:t>均为实质性条款，投标人如有任何一条负偏离则导致投标无效。</w:t>
      </w:r>
    </w:p>
    <w:p w14:paraId="5E944B78">
      <w:pPr>
        <w:numPr>
          <w:ilvl w:val="0"/>
          <w:numId w:val="9"/>
        </w:numPr>
        <w:spacing w:line="360" w:lineRule="auto"/>
        <w:rPr>
          <w:rFonts w:ascii="宋体" w:hAnsi="宋体" w:cs="宋体"/>
          <w:b/>
          <w:bCs/>
          <w:szCs w:val="21"/>
          <w:highlight w:val="none"/>
        </w:rPr>
      </w:pPr>
      <w:r>
        <w:rPr>
          <w:rFonts w:hint="eastAsia" w:ascii="宋体" w:hAnsi="宋体" w:cs="宋体"/>
          <w:b/>
          <w:bCs/>
          <w:szCs w:val="21"/>
          <w:highlight w:val="none"/>
        </w:rPr>
        <w:t>项目内容</w:t>
      </w:r>
    </w:p>
    <w:tbl>
      <w:tblPr>
        <w:tblStyle w:val="30"/>
        <w:tblW w:w="8638" w:type="dxa"/>
        <w:tblInd w:w="4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10"/>
        <w:gridCol w:w="1090"/>
        <w:gridCol w:w="3138"/>
      </w:tblGrid>
      <w:tr w14:paraId="2C7BC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4410" w:type="dxa"/>
            <w:shd w:val="clear" w:color="auto" w:fill="EEECE1"/>
            <w:vAlign w:val="center"/>
          </w:tcPr>
          <w:p w14:paraId="707276D5">
            <w:pPr>
              <w:spacing w:line="360" w:lineRule="auto"/>
              <w:jc w:val="center"/>
              <w:rPr>
                <w:rFonts w:ascii="宋体" w:hAnsi="宋体" w:cs="宋体"/>
                <w:b/>
                <w:szCs w:val="21"/>
                <w:highlight w:val="none"/>
              </w:rPr>
            </w:pPr>
            <w:r>
              <w:rPr>
                <w:rFonts w:hint="eastAsia" w:ascii="宋体" w:hAnsi="宋体" w:cs="宋体"/>
                <w:b/>
                <w:szCs w:val="21"/>
                <w:highlight w:val="none"/>
              </w:rPr>
              <w:t>采购内容</w:t>
            </w:r>
          </w:p>
        </w:tc>
        <w:tc>
          <w:tcPr>
            <w:tcW w:w="1090" w:type="dxa"/>
            <w:shd w:val="clear" w:color="auto" w:fill="EEECE1"/>
            <w:vAlign w:val="center"/>
          </w:tcPr>
          <w:p w14:paraId="400E589B">
            <w:pPr>
              <w:spacing w:line="360" w:lineRule="auto"/>
              <w:jc w:val="center"/>
              <w:rPr>
                <w:rFonts w:ascii="宋体" w:hAnsi="宋体" w:cs="宋体"/>
                <w:b/>
                <w:szCs w:val="21"/>
                <w:highlight w:val="none"/>
              </w:rPr>
            </w:pPr>
            <w:r>
              <w:rPr>
                <w:rFonts w:hint="eastAsia" w:ascii="宋体" w:hAnsi="宋体" w:cs="宋体"/>
                <w:b/>
                <w:szCs w:val="21"/>
                <w:highlight w:val="none"/>
              </w:rPr>
              <w:t>数量</w:t>
            </w:r>
          </w:p>
        </w:tc>
        <w:tc>
          <w:tcPr>
            <w:tcW w:w="3138" w:type="dxa"/>
            <w:shd w:val="clear" w:color="auto" w:fill="EEECE1"/>
            <w:vAlign w:val="center"/>
          </w:tcPr>
          <w:p w14:paraId="6F0C74D7">
            <w:pPr>
              <w:spacing w:line="360" w:lineRule="auto"/>
              <w:jc w:val="center"/>
              <w:rPr>
                <w:rFonts w:ascii="宋体" w:hAnsi="宋体" w:cs="宋体"/>
                <w:b/>
                <w:szCs w:val="21"/>
                <w:highlight w:val="none"/>
              </w:rPr>
            </w:pPr>
            <w:r>
              <w:rPr>
                <w:rFonts w:hint="eastAsia" w:ascii="宋体" w:hAnsi="宋体" w:cs="宋体"/>
                <w:b/>
                <w:szCs w:val="21"/>
                <w:highlight w:val="none"/>
              </w:rPr>
              <w:t>服务期</w:t>
            </w:r>
          </w:p>
        </w:tc>
      </w:tr>
      <w:tr w14:paraId="7BF29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5" w:hRule="atLeast"/>
        </w:trPr>
        <w:tc>
          <w:tcPr>
            <w:tcW w:w="4410" w:type="dxa"/>
            <w:vAlign w:val="center"/>
          </w:tcPr>
          <w:p w14:paraId="4473066C">
            <w:pPr>
              <w:spacing w:line="360" w:lineRule="auto"/>
              <w:jc w:val="center"/>
              <w:rPr>
                <w:rFonts w:ascii="宋体" w:hAnsi="宋体" w:cs="宋体"/>
                <w:szCs w:val="21"/>
                <w:highlight w:val="none"/>
              </w:rPr>
            </w:pPr>
            <w:r>
              <w:rPr>
                <w:rFonts w:hint="eastAsia" w:ascii="宋体" w:hAnsi="宋体" w:cs="宋体"/>
                <w:szCs w:val="21"/>
                <w:highlight w:val="none"/>
              </w:rPr>
              <w:t>广东南海产业集团有限公司注册发行中期票据选取主承销商项目</w:t>
            </w:r>
          </w:p>
        </w:tc>
        <w:tc>
          <w:tcPr>
            <w:tcW w:w="1090" w:type="dxa"/>
            <w:vAlign w:val="center"/>
          </w:tcPr>
          <w:p w14:paraId="012BC8B1">
            <w:pPr>
              <w:spacing w:line="360" w:lineRule="auto"/>
              <w:jc w:val="center"/>
              <w:rPr>
                <w:rFonts w:ascii="宋体" w:hAnsi="宋体" w:cs="宋体"/>
                <w:szCs w:val="21"/>
                <w:highlight w:val="none"/>
              </w:rPr>
            </w:pPr>
            <w:r>
              <w:rPr>
                <w:rFonts w:hint="eastAsia" w:ascii="宋体" w:hAnsi="宋体" w:cs="宋体"/>
                <w:szCs w:val="21"/>
                <w:highlight w:val="none"/>
              </w:rPr>
              <w:t>一项</w:t>
            </w:r>
          </w:p>
        </w:tc>
        <w:tc>
          <w:tcPr>
            <w:tcW w:w="3138" w:type="dxa"/>
            <w:vAlign w:val="center"/>
          </w:tcPr>
          <w:p w14:paraId="17329343">
            <w:pPr>
              <w:pStyle w:val="60"/>
              <w:spacing w:line="440" w:lineRule="exact"/>
              <w:ind w:firstLine="120"/>
              <w:rPr>
                <w:rFonts w:ascii="宋体" w:hAnsi="宋体" w:cs="宋体"/>
                <w:snapToGrid/>
                <w:spacing w:val="0"/>
                <w:kern w:val="2"/>
                <w:sz w:val="21"/>
                <w:szCs w:val="21"/>
                <w:highlight w:val="none"/>
              </w:rPr>
            </w:pPr>
            <w:r>
              <w:rPr>
                <w:rFonts w:hint="eastAsia" w:ascii="宋体" w:hAnsi="宋体" w:cs="宋体"/>
                <w:snapToGrid/>
                <w:spacing w:val="0"/>
                <w:kern w:val="2"/>
                <w:sz w:val="21"/>
                <w:szCs w:val="21"/>
                <w:highlight w:val="none"/>
              </w:rPr>
              <w:t>直至中期票据全部偿付为止</w:t>
            </w:r>
            <w:r>
              <w:rPr>
                <w:rStyle w:val="38"/>
                <w:rFonts w:hint="eastAsia"/>
                <w:snapToGrid/>
                <w:spacing w:val="0"/>
                <w:kern w:val="2"/>
                <w:highlight w:val="none"/>
              </w:rPr>
              <w:t xml:space="preserve"> </w:t>
            </w:r>
          </w:p>
        </w:tc>
      </w:tr>
    </w:tbl>
    <w:p w14:paraId="300CF5B9">
      <w:pPr>
        <w:adjustRightInd w:val="0"/>
        <w:snapToGrid w:val="0"/>
        <w:spacing w:line="360" w:lineRule="auto"/>
        <w:ind w:left="420"/>
        <w:jc w:val="center"/>
        <w:rPr>
          <w:rFonts w:ascii="宋体" w:hAnsi="宋体" w:cs="宋体"/>
          <w:b/>
          <w:kern w:val="0"/>
          <w:szCs w:val="21"/>
          <w:highlight w:val="none"/>
        </w:rPr>
      </w:pPr>
    </w:p>
    <w:p w14:paraId="66CB762E">
      <w:pPr>
        <w:adjustRightInd w:val="0"/>
        <w:snapToGrid w:val="0"/>
        <w:spacing w:line="360" w:lineRule="auto"/>
        <w:ind w:left="420"/>
        <w:jc w:val="center"/>
        <w:rPr>
          <w:rFonts w:ascii="宋体" w:hAnsi="宋体" w:cs="宋体"/>
          <w:b/>
          <w:kern w:val="0"/>
          <w:szCs w:val="21"/>
          <w:highlight w:val="none"/>
        </w:rPr>
      </w:pPr>
      <w:r>
        <w:rPr>
          <w:rFonts w:hint="eastAsia" w:ascii="宋体" w:hAnsi="宋体" w:cs="宋体"/>
          <w:b/>
          <w:kern w:val="0"/>
          <w:szCs w:val="21"/>
          <w:highlight w:val="none"/>
        </w:rPr>
        <w:t>第一部分 技术（服务）要求</w:t>
      </w:r>
    </w:p>
    <w:p w14:paraId="37BFFAB4">
      <w:pPr>
        <w:numPr>
          <w:ilvl w:val="0"/>
          <w:numId w:val="1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项目概况</w:t>
      </w:r>
    </w:p>
    <w:p w14:paraId="5E6B46A8">
      <w:pPr>
        <w:numPr>
          <w:ilvl w:val="0"/>
          <w:numId w:val="11"/>
        </w:num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采购项目名称：广东南海产业集团有限公司注册发行中期票据选取主承销商项目</w:t>
      </w:r>
    </w:p>
    <w:p w14:paraId="1D440832">
      <w:pPr>
        <w:numPr>
          <w:ilvl w:val="0"/>
          <w:numId w:val="11"/>
        </w:num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注册和发行的规模：本次中期票据的注册发行额度为不超过25亿元（含），并根据招标人的资金使用安排，在注册额度内确定各期发行规模。</w:t>
      </w:r>
    </w:p>
    <w:p w14:paraId="5AB658E2">
      <w:pPr>
        <w:numPr>
          <w:ilvl w:val="0"/>
          <w:numId w:val="11"/>
        </w:num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发行期限：不超过5年（含）。</w:t>
      </w:r>
    </w:p>
    <w:p w14:paraId="61161191">
      <w:pPr>
        <w:numPr>
          <w:ilvl w:val="0"/>
          <w:numId w:val="11"/>
        </w:num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发行时点：获得注册通知书后，在有效期内安排发行。</w:t>
      </w:r>
    </w:p>
    <w:p w14:paraId="26C06749">
      <w:pPr>
        <w:numPr>
          <w:ilvl w:val="0"/>
          <w:numId w:val="11"/>
        </w:num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承销方式：余额包销。</w:t>
      </w:r>
    </w:p>
    <w:p w14:paraId="6D080E76">
      <w:pPr>
        <w:numPr>
          <w:ilvl w:val="0"/>
          <w:numId w:val="1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服务内容</w:t>
      </w:r>
    </w:p>
    <w:p w14:paraId="46494972">
      <w:pPr>
        <w:numPr>
          <w:ilvl w:val="0"/>
          <w:numId w:val="12"/>
        </w:numPr>
        <w:spacing w:after="60" w:line="360" w:lineRule="auto"/>
        <w:rPr>
          <w:rFonts w:ascii="宋体" w:hAnsi="宋体"/>
          <w:b/>
          <w:szCs w:val="21"/>
          <w:highlight w:val="none"/>
        </w:rPr>
      </w:pPr>
      <w:r>
        <w:rPr>
          <w:rFonts w:hint="eastAsia" w:ascii="宋体" w:hAnsi="宋体"/>
          <w:b/>
          <w:szCs w:val="21"/>
          <w:highlight w:val="none"/>
        </w:rPr>
        <w:t>招标项目内容</w:t>
      </w:r>
    </w:p>
    <w:p w14:paraId="47F5593F">
      <w:pPr>
        <w:spacing w:after="60" w:line="360" w:lineRule="auto"/>
        <w:ind w:firstLine="420" w:firstLineChars="200"/>
        <w:rPr>
          <w:rFonts w:ascii="宋体" w:hAnsi="宋体"/>
          <w:b/>
          <w:szCs w:val="21"/>
          <w:highlight w:val="none"/>
        </w:rPr>
      </w:pPr>
      <w:r>
        <w:rPr>
          <w:rFonts w:hint="eastAsia" w:ascii="宋体" w:hAnsi="宋体"/>
          <w:szCs w:val="21"/>
          <w:highlight w:val="none"/>
        </w:rPr>
        <w:t>本项目服务内容包括：注册发行咨询服务，申报材料编制及中期票据申报服务，中期票据发行、挂牌及托管服务，存续期服务。具体内容如下：</w:t>
      </w:r>
    </w:p>
    <w:p w14:paraId="5D70F8A7">
      <w:pPr>
        <w:numPr>
          <w:ilvl w:val="0"/>
          <w:numId w:val="13"/>
        </w:numPr>
        <w:spacing w:after="60" w:line="360" w:lineRule="auto"/>
        <w:rPr>
          <w:rFonts w:ascii="宋体" w:hAnsi="宋体"/>
          <w:b/>
          <w:szCs w:val="21"/>
          <w:highlight w:val="none"/>
        </w:rPr>
      </w:pPr>
      <w:r>
        <w:rPr>
          <w:rFonts w:hint="eastAsia" w:ascii="宋体" w:hAnsi="宋体"/>
          <w:b/>
          <w:szCs w:val="21"/>
          <w:highlight w:val="none"/>
        </w:rPr>
        <w:t>融资咨询服务</w:t>
      </w:r>
    </w:p>
    <w:p w14:paraId="196C435C">
      <w:pPr>
        <w:numPr>
          <w:ilvl w:val="0"/>
          <w:numId w:val="14"/>
        </w:numPr>
        <w:spacing w:after="60" w:line="360" w:lineRule="auto"/>
        <w:rPr>
          <w:rFonts w:ascii="宋体" w:hAnsi="宋体"/>
          <w:szCs w:val="21"/>
          <w:highlight w:val="none"/>
        </w:rPr>
      </w:pPr>
      <w:r>
        <w:rPr>
          <w:rFonts w:hint="eastAsia" w:ascii="宋体" w:hAnsi="宋体"/>
          <w:szCs w:val="21"/>
          <w:highlight w:val="none"/>
        </w:rPr>
        <w:t>为招标人提供融资咨询服务；</w:t>
      </w:r>
    </w:p>
    <w:p w14:paraId="0AD9BF14">
      <w:pPr>
        <w:numPr>
          <w:ilvl w:val="0"/>
          <w:numId w:val="14"/>
        </w:numPr>
        <w:spacing w:after="60" w:line="360" w:lineRule="auto"/>
        <w:rPr>
          <w:rFonts w:ascii="宋体" w:hAnsi="宋体"/>
          <w:szCs w:val="21"/>
          <w:highlight w:val="none"/>
        </w:rPr>
      </w:pPr>
      <w:r>
        <w:rPr>
          <w:rFonts w:hint="eastAsia" w:ascii="宋体" w:hAnsi="宋体"/>
          <w:szCs w:val="21"/>
          <w:highlight w:val="none"/>
        </w:rPr>
        <w:t>核查招标人运营状况，调查招标人是否符合发行中期票据要求，包括招标人运营资质、历史沿革、治理结构、业务情况和财务状况等；</w:t>
      </w:r>
    </w:p>
    <w:p w14:paraId="7B7CFE1B">
      <w:pPr>
        <w:numPr>
          <w:ilvl w:val="0"/>
          <w:numId w:val="14"/>
        </w:numPr>
        <w:spacing w:after="60" w:line="360" w:lineRule="auto"/>
        <w:rPr>
          <w:rFonts w:ascii="宋体" w:hAnsi="宋体"/>
          <w:szCs w:val="21"/>
          <w:highlight w:val="none"/>
        </w:rPr>
      </w:pPr>
      <w:r>
        <w:rPr>
          <w:rFonts w:hint="eastAsia" w:ascii="宋体" w:hAnsi="宋体"/>
          <w:szCs w:val="21"/>
          <w:highlight w:val="none"/>
        </w:rPr>
        <w:t>对招标人发行中期票据的可行性提供建议。</w:t>
      </w:r>
    </w:p>
    <w:p w14:paraId="57915CEA">
      <w:pPr>
        <w:numPr>
          <w:ilvl w:val="0"/>
          <w:numId w:val="13"/>
        </w:numPr>
        <w:spacing w:after="60" w:line="360" w:lineRule="auto"/>
        <w:rPr>
          <w:rFonts w:ascii="宋体" w:hAnsi="宋体"/>
          <w:b/>
          <w:szCs w:val="21"/>
          <w:highlight w:val="none"/>
        </w:rPr>
      </w:pPr>
      <w:r>
        <w:rPr>
          <w:rFonts w:hint="eastAsia" w:ascii="宋体" w:hAnsi="宋体"/>
          <w:b/>
          <w:szCs w:val="21"/>
          <w:highlight w:val="none"/>
        </w:rPr>
        <w:t>申报材料编制及中期票据申报服务</w:t>
      </w:r>
    </w:p>
    <w:p w14:paraId="1FDC0B93">
      <w:pPr>
        <w:numPr>
          <w:ilvl w:val="0"/>
          <w:numId w:val="15"/>
        </w:numPr>
        <w:spacing w:after="60" w:line="360" w:lineRule="auto"/>
        <w:rPr>
          <w:rFonts w:ascii="宋体" w:hAnsi="宋体"/>
          <w:szCs w:val="21"/>
          <w:highlight w:val="none"/>
        </w:rPr>
      </w:pPr>
      <w:r>
        <w:rPr>
          <w:rFonts w:hint="eastAsia" w:ascii="宋体" w:hAnsi="宋体"/>
          <w:szCs w:val="21"/>
          <w:highlight w:val="none"/>
        </w:rPr>
        <w:t>负责协助招标人编写募集说明书及其他有关监管部门要求的必要文件；</w:t>
      </w:r>
    </w:p>
    <w:p w14:paraId="0A256681">
      <w:pPr>
        <w:numPr>
          <w:ilvl w:val="0"/>
          <w:numId w:val="15"/>
        </w:numPr>
        <w:spacing w:after="60" w:line="360" w:lineRule="auto"/>
        <w:rPr>
          <w:rFonts w:ascii="宋体" w:hAnsi="宋体"/>
          <w:szCs w:val="21"/>
          <w:highlight w:val="none"/>
        </w:rPr>
      </w:pPr>
      <w:r>
        <w:rPr>
          <w:rFonts w:hint="eastAsia" w:ascii="宋体" w:hAnsi="宋体"/>
          <w:szCs w:val="21"/>
          <w:highlight w:val="none"/>
        </w:rPr>
        <w:t>负责统筹发行中期票据申报工作，包括拟定工作时间表，协调审计机构、律师事务所、信用评级公司等中介机构的工作进度等；</w:t>
      </w:r>
    </w:p>
    <w:p w14:paraId="62BD6B9A">
      <w:pPr>
        <w:numPr>
          <w:ilvl w:val="0"/>
          <w:numId w:val="15"/>
        </w:numPr>
        <w:spacing w:after="60" w:line="360" w:lineRule="auto"/>
        <w:rPr>
          <w:rFonts w:ascii="宋体" w:hAnsi="宋体"/>
          <w:szCs w:val="21"/>
          <w:highlight w:val="none"/>
        </w:rPr>
      </w:pPr>
      <w:r>
        <w:rPr>
          <w:rFonts w:hint="eastAsia" w:ascii="宋体" w:hAnsi="宋体"/>
          <w:szCs w:val="21"/>
          <w:highlight w:val="none"/>
        </w:rPr>
        <w:t>协助招标人设计中期票据发行方案，包括：发行规模、发行期限、发行方式、发行范围及对象、承销方式和还本付息方式及风险应对方案等，并对中期票据募集资金投资项目的合规性进行审核；</w:t>
      </w:r>
    </w:p>
    <w:p w14:paraId="19A26C02">
      <w:pPr>
        <w:numPr>
          <w:ilvl w:val="0"/>
          <w:numId w:val="15"/>
        </w:numPr>
        <w:spacing w:after="60" w:line="360" w:lineRule="auto"/>
        <w:rPr>
          <w:rFonts w:ascii="宋体" w:hAnsi="宋体"/>
          <w:szCs w:val="21"/>
          <w:highlight w:val="none"/>
        </w:rPr>
      </w:pPr>
      <w:r>
        <w:rPr>
          <w:rFonts w:hint="eastAsia" w:ascii="宋体" w:hAnsi="宋体"/>
          <w:szCs w:val="21"/>
          <w:highlight w:val="none"/>
        </w:rPr>
        <w:t>组织承销团并对承销团成员的资质进行审核；</w:t>
      </w:r>
    </w:p>
    <w:p w14:paraId="4AA362A1">
      <w:pPr>
        <w:numPr>
          <w:ilvl w:val="0"/>
          <w:numId w:val="15"/>
        </w:numPr>
        <w:spacing w:after="60" w:line="360" w:lineRule="auto"/>
        <w:rPr>
          <w:rFonts w:ascii="宋体" w:hAnsi="宋体"/>
          <w:szCs w:val="21"/>
          <w:highlight w:val="none"/>
        </w:rPr>
      </w:pPr>
      <w:r>
        <w:rPr>
          <w:rFonts w:hint="eastAsia" w:ascii="宋体" w:hAnsi="宋体"/>
          <w:szCs w:val="21"/>
          <w:highlight w:val="none"/>
        </w:rPr>
        <w:t>协助招标人向有关各级主管机关会签工作；</w:t>
      </w:r>
    </w:p>
    <w:p w14:paraId="326483A1">
      <w:pPr>
        <w:numPr>
          <w:ilvl w:val="0"/>
          <w:numId w:val="15"/>
        </w:numPr>
        <w:spacing w:after="60" w:line="360" w:lineRule="auto"/>
        <w:rPr>
          <w:rFonts w:ascii="宋体" w:hAnsi="宋体"/>
          <w:szCs w:val="21"/>
          <w:highlight w:val="none"/>
        </w:rPr>
      </w:pPr>
      <w:r>
        <w:rPr>
          <w:rFonts w:hint="eastAsia" w:ascii="宋体" w:hAnsi="宋体"/>
          <w:szCs w:val="21"/>
          <w:highlight w:val="none"/>
        </w:rPr>
        <w:t>协助招标人向有关中国银行间市场交易商协会申报注册及其他相关申报工作；</w:t>
      </w:r>
    </w:p>
    <w:p w14:paraId="30F83644">
      <w:pPr>
        <w:numPr>
          <w:ilvl w:val="0"/>
          <w:numId w:val="15"/>
        </w:numPr>
        <w:spacing w:after="60" w:line="360" w:lineRule="auto"/>
        <w:rPr>
          <w:rFonts w:ascii="宋体" w:hAnsi="宋体"/>
          <w:szCs w:val="21"/>
          <w:highlight w:val="none"/>
        </w:rPr>
      </w:pPr>
      <w:r>
        <w:rPr>
          <w:rFonts w:hint="eastAsia" w:ascii="宋体" w:hAnsi="宋体"/>
          <w:szCs w:val="21"/>
          <w:highlight w:val="none"/>
        </w:rPr>
        <w:t>协调招标人和中介机构对中国银行间市场交易商协会反馈意见进行答复及组织相关回复资料。</w:t>
      </w:r>
    </w:p>
    <w:p w14:paraId="7C671F45">
      <w:pPr>
        <w:numPr>
          <w:ilvl w:val="0"/>
          <w:numId w:val="13"/>
        </w:numPr>
        <w:spacing w:after="60" w:line="360" w:lineRule="auto"/>
        <w:rPr>
          <w:rFonts w:ascii="宋体" w:hAnsi="宋体"/>
          <w:b/>
          <w:szCs w:val="21"/>
          <w:highlight w:val="none"/>
        </w:rPr>
      </w:pPr>
      <w:r>
        <w:rPr>
          <w:rFonts w:hint="eastAsia" w:ascii="宋体" w:hAnsi="宋体"/>
          <w:b/>
          <w:szCs w:val="21"/>
          <w:highlight w:val="none"/>
        </w:rPr>
        <w:t>中期票据发行、挂牌及托管服务</w:t>
      </w:r>
    </w:p>
    <w:p w14:paraId="30447DA3">
      <w:pPr>
        <w:numPr>
          <w:ilvl w:val="0"/>
          <w:numId w:val="16"/>
        </w:numPr>
        <w:spacing w:after="60" w:line="360" w:lineRule="auto"/>
        <w:rPr>
          <w:rFonts w:ascii="宋体" w:hAnsi="宋体"/>
          <w:szCs w:val="21"/>
          <w:highlight w:val="none"/>
        </w:rPr>
      </w:pPr>
      <w:r>
        <w:rPr>
          <w:rFonts w:hint="eastAsia" w:ascii="宋体" w:hAnsi="宋体"/>
          <w:szCs w:val="21"/>
          <w:highlight w:val="none"/>
        </w:rPr>
        <w:t>中期票据项目获得有关主管机关批文，协助招标人安排合适的时间择机发行；</w:t>
      </w:r>
    </w:p>
    <w:p w14:paraId="6CB7B796">
      <w:pPr>
        <w:numPr>
          <w:ilvl w:val="0"/>
          <w:numId w:val="16"/>
        </w:numPr>
        <w:spacing w:after="60" w:line="360" w:lineRule="auto"/>
        <w:rPr>
          <w:rFonts w:ascii="宋体" w:hAnsi="宋体"/>
          <w:szCs w:val="21"/>
          <w:highlight w:val="none"/>
        </w:rPr>
      </w:pPr>
      <w:r>
        <w:rPr>
          <w:rFonts w:hint="eastAsia" w:ascii="宋体" w:hAnsi="宋体"/>
          <w:szCs w:val="21"/>
          <w:highlight w:val="none"/>
        </w:rPr>
        <w:t>负责中期票据发行后的挂牌登记、托管工作；</w:t>
      </w:r>
    </w:p>
    <w:p w14:paraId="1DA75EA4">
      <w:pPr>
        <w:numPr>
          <w:ilvl w:val="0"/>
          <w:numId w:val="16"/>
        </w:numPr>
        <w:spacing w:after="60" w:line="360" w:lineRule="auto"/>
        <w:rPr>
          <w:rFonts w:ascii="宋体" w:hAnsi="宋体"/>
          <w:szCs w:val="21"/>
          <w:highlight w:val="none"/>
        </w:rPr>
      </w:pPr>
      <w:r>
        <w:rPr>
          <w:rFonts w:hint="eastAsia" w:ascii="宋体" w:hAnsi="宋体"/>
          <w:szCs w:val="21"/>
          <w:highlight w:val="none"/>
        </w:rPr>
        <w:t>根据承销协议的约定履行中期票据余额包销义务；</w:t>
      </w:r>
    </w:p>
    <w:p w14:paraId="4822C195">
      <w:pPr>
        <w:numPr>
          <w:ilvl w:val="0"/>
          <w:numId w:val="16"/>
        </w:numPr>
        <w:spacing w:after="60" w:line="360" w:lineRule="auto"/>
        <w:rPr>
          <w:rFonts w:ascii="宋体" w:hAnsi="宋体"/>
          <w:szCs w:val="21"/>
          <w:highlight w:val="none"/>
        </w:rPr>
      </w:pPr>
      <w:r>
        <w:rPr>
          <w:rFonts w:hint="eastAsia" w:ascii="宋体" w:hAnsi="宋体"/>
          <w:szCs w:val="21"/>
          <w:highlight w:val="none"/>
        </w:rPr>
        <w:t>负责组织承销团按规定的中期票据发行总额和发行期限发售中期票据。</w:t>
      </w:r>
    </w:p>
    <w:p w14:paraId="5D69994C">
      <w:pPr>
        <w:numPr>
          <w:ilvl w:val="0"/>
          <w:numId w:val="13"/>
        </w:numPr>
        <w:spacing w:after="60" w:line="360" w:lineRule="auto"/>
        <w:rPr>
          <w:rFonts w:ascii="宋体" w:hAnsi="宋体"/>
          <w:b/>
          <w:szCs w:val="21"/>
          <w:highlight w:val="none"/>
        </w:rPr>
      </w:pPr>
      <w:r>
        <w:rPr>
          <w:rFonts w:hint="eastAsia" w:ascii="宋体" w:hAnsi="宋体"/>
          <w:b/>
          <w:szCs w:val="21"/>
          <w:highlight w:val="none"/>
        </w:rPr>
        <w:t>存续期服务</w:t>
      </w:r>
    </w:p>
    <w:p w14:paraId="33B95015">
      <w:pPr>
        <w:numPr>
          <w:ilvl w:val="0"/>
          <w:numId w:val="17"/>
        </w:numPr>
        <w:spacing w:after="60" w:line="360" w:lineRule="auto"/>
        <w:rPr>
          <w:rFonts w:ascii="宋体" w:hAnsi="宋体"/>
          <w:szCs w:val="21"/>
          <w:highlight w:val="none"/>
        </w:rPr>
      </w:pPr>
      <w:r>
        <w:rPr>
          <w:rFonts w:hint="eastAsia" w:ascii="宋体" w:hAnsi="宋体"/>
          <w:szCs w:val="21"/>
          <w:highlight w:val="none"/>
        </w:rPr>
        <w:t>提醒、督促招标人按时筹措资金、还本付息并按规定对有关情况及时进行信息披露；</w:t>
      </w:r>
    </w:p>
    <w:p w14:paraId="46F24108">
      <w:pPr>
        <w:numPr>
          <w:ilvl w:val="0"/>
          <w:numId w:val="17"/>
        </w:numPr>
        <w:spacing w:after="60" w:line="360" w:lineRule="auto"/>
        <w:rPr>
          <w:rFonts w:ascii="宋体" w:hAnsi="宋体"/>
          <w:szCs w:val="21"/>
          <w:highlight w:val="none"/>
        </w:rPr>
      </w:pPr>
      <w:r>
        <w:rPr>
          <w:rFonts w:hint="eastAsia" w:ascii="宋体" w:hAnsi="宋体"/>
          <w:szCs w:val="21"/>
          <w:highlight w:val="none"/>
        </w:rPr>
        <w:t>在存续期内协助招标人定期报告的披露以及就影响当期中期票据的外部因素、不可抗力及招标人自身因素引起的重大变化或重大事项，根据募集说明书的约定及时进行信息披露。</w:t>
      </w:r>
    </w:p>
    <w:p w14:paraId="17873C10">
      <w:pPr>
        <w:numPr>
          <w:ilvl w:val="0"/>
          <w:numId w:val="17"/>
        </w:numPr>
        <w:spacing w:after="60" w:line="360" w:lineRule="auto"/>
        <w:rPr>
          <w:rFonts w:ascii="宋体" w:hAnsi="宋体"/>
          <w:szCs w:val="21"/>
          <w:highlight w:val="none"/>
        </w:rPr>
      </w:pPr>
      <w:bookmarkStart w:id="11" w:name="_Toc312312306"/>
      <w:r>
        <w:rPr>
          <w:rFonts w:hint="eastAsia" w:ascii="宋体" w:hAnsi="宋体"/>
          <w:szCs w:val="21"/>
          <w:highlight w:val="none"/>
        </w:rPr>
        <w:t>按照中国银行间市场交易商协会的要求，完成与本项目中期票据发行有关且应由主承销商负责的其他工作。</w:t>
      </w:r>
    </w:p>
    <w:p w14:paraId="3A93170F">
      <w:pPr>
        <w:numPr>
          <w:ilvl w:val="0"/>
          <w:numId w:val="12"/>
        </w:numPr>
        <w:spacing w:after="60" w:line="360" w:lineRule="auto"/>
        <w:rPr>
          <w:rFonts w:ascii="宋体" w:hAnsi="宋体"/>
          <w:b/>
          <w:szCs w:val="21"/>
          <w:highlight w:val="none"/>
        </w:rPr>
      </w:pPr>
      <w:r>
        <w:rPr>
          <w:rFonts w:hint="eastAsia" w:ascii="宋体" w:hAnsi="宋体"/>
          <w:b/>
          <w:szCs w:val="21"/>
          <w:highlight w:val="none"/>
        </w:rPr>
        <w:t>服务要求</w:t>
      </w:r>
      <w:bookmarkEnd w:id="11"/>
    </w:p>
    <w:p w14:paraId="7EC3E058">
      <w:pPr>
        <w:numPr>
          <w:ilvl w:val="0"/>
          <w:numId w:val="18"/>
        </w:numPr>
        <w:spacing w:after="60" w:line="360" w:lineRule="auto"/>
        <w:rPr>
          <w:rFonts w:ascii="宋体" w:hAnsi="宋体"/>
          <w:bCs/>
          <w:szCs w:val="21"/>
          <w:highlight w:val="none"/>
        </w:rPr>
      </w:pPr>
      <w:r>
        <w:rPr>
          <w:rFonts w:hint="eastAsia" w:ascii="宋体" w:hAnsi="宋体"/>
          <w:bCs/>
          <w:szCs w:val="21"/>
          <w:highlight w:val="none"/>
        </w:rPr>
        <w:t>中标人应具有专业中期票据发行团队，并组建人员充足，分工合理，综合素质高，有丰富的同类项目的经验的工作小组为本次中期票据注册发行提供服务。为本招标项目设置项目工作组，</w:t>
      </w:r>
      <w:bookmarkStart w:id="12" w:name="OLE_LINK6"/>
      <w:r>
        <w:rPr>
          <w:rFonts w:hint="eastAsia" w:ascii="宋体" w:hAnsi="宋体"/>
          <w:bCs/>
          <w:szCs w:val="21"/>
          <w:highlight w:val="none"/>
        </w:rPr>
        <w:t>成员不少于8人（含）</w:t>
      </w:r>
      <w:bookmarkEnd w:id="12"/>
      <w:r>
        <w:rPr>
          <w:rFonts w:hint="eastAsia" w:ascii="宋体" w:hAnsi="宋体"/>
          <w:bCs/>
          <w:szCs w:val="21"/>
          <w:highlight w:val="none"/>
        </w:rPr>
        <w:t>，</w:t>
      </w:r>
      <w:bookmarkStart w:id="13" w:name="OLE_LINK7"/>
      <w:r>
        <w:rPr>
          <w:rFonts w:hint="eastAsia" w:ascii="宋体" w:hAnsi="宋体"/>
          <w:bCs/>
          <w:szCs w:val="21"/>
          <w:highlight w:val="none"/>
        </w:rPr>
        <w:t>并能根据招标人的要求派人到现场办公</w:t>
      </w:r>
      <w:bookmarkEnd w:id="13"/>
      <w:r>
        <w:rPr>
          <w:rFonts w:hint="eastAsia" w:ascii="宋体" w:hAnsi="宋体"/>
          <w:bCs/>
          <w:szCs w:val="21"/>
          <w:highlight w:val="none"/>
        </w:rPr>
        <w:t>；投标文件中所承诺的人员应确保到位，以保障高效、优质地完成中期票据发行工作；项目工作组成员在提供服务期间不得随意更换，但在以下情况下例外：</w:t>
      </w:r>
    </w:p>
    <w:p w14:paraId="3413FB09">
      <w:pPr>
        <w:numPr>
          <w:ilvl w:val="0"/>
          <w:numId w:val="19"/>
        </w:numPr>
        <w:spacing w:after="60" w:line="360" w:lineRule="auto"/>
        <w:rPr>
          <w:rFonts w:ascii="宋体" w:hAnsi="宋体"/>
          <w:szCs w:val="21"/>
          <w:highlight w:val="none"/>
        </w:rPr>
      </w:pPr>
      <w:r>
        <w:rPr>
          <w:rFonts w:hint="eastAsia" w:ascii="宋体" w:hAnsi="宋体"/>
          <w:szCs w:val="21"/>
          <w:highlight w:val="none"/>
        </w:rPr>
        <w:t>招标人要求更换；</w:t>
      </w:r>
    </w:p>
    <w:p w14:paraId="2398866E">
      <w:pPr>
        <w:numPr>
          <w:ilvl w:val="0"/>
          <w:numId w:val="19"/>
        </w:numPr>
        <w:spacing w:after="60" w:line="360" w:lineRule="auto"/>
        <w:rPr>
          <w:rFonts w:ascii="宋体" w:hAnsi="宋体"/>
          <w:szCs w:val="21"/>
          <w:highlight w:val="none"/>
        </w:rPr>
      </w:pPr>
      <w:r>
        <w:rPr>
          <w:rFonts w:hint="eastAsia" w:ascii="宋体" w:hAnsi="宋体"/>
          <w:szCs w:val="21"/>
          <w:highlight w:val="none"/>
        </w:rPr>
        <w:t>征得招标人书面同意更换人员。</w:t>
      </w:r>
    </w:p>
    <w:p w14:paraId="33E47566">
      <w:pPr>
        <w:numPr>
          <w:ilvl w:val="0"/>
          <w:numId w:val="18"/>
        </w:numPr>
        <w:spacing w:after="60" w:line="360" w:lineRule="auto"/>
        <w:rPr>
          <w:rFonts w:ascii="宋体" w:hAnsi="宋体"/>
          <w:bCs/>
          <w:szCs w:val="21"/>
          <w:highlight w:val="none"/>
        </w:rPr>
      </w:pPr>
      <w:r>
        <w:rPr>
          <w:rFonts w:hint="eastAsia" w:ascii="宋体" w:hAnsi="宋体"/>
          <w:bCs/>
          <w:szCs w:val="21"/>
          <w:highlight w:val="none"/>
        </w:rPr>
        <w:t>中标人应根据招标人的要求，制定合理的中期票据发行工作计划，并就中期票据的发行时间、发行期限、本息兑付安排以及资金用途等内容提供合理化建议。</w:t>
      </w:r>
    </w:p>
    <w:p w14:paraId="0FA9A2A9">
      <w:pPr>
        <w:numPr>
          <w:ilvl w:val="0"/>
          <w:numId w:val="18"/>
        </w:numPr>
        <w:spacing w:after="60" w:line="360" w:lineRule="auto"/>
        <w:rPr>
          <w:rFonts w:ascii="宋体" w:hAnsi="宋体"/>
          <w:bCs/>
          <w:szCs w:val="21"/>
          <w:highlight w:val="none"/>
        </w:rPr>
      </w:pPr>
      <w:r>
        <w:rPr>
          <w:rFonts w:hint="eastAsia" w:ascii="宋体" w:hAnsi="宋体"/>
          <w:bCs/>
          <w:szCs w:val="21"/>
          <w:highlight w:val="none"/>
        </w:rPr>
        <w:t>在中期票据申报、发行过程中，中标人</w:t>
      </w:r>
      <w:r>
        <w:rPr>
          <w:rFonts w:hint="eastAsia" w:ascii="宋体" w:hAnsi="宋体"/>
          <w:bCs/>
          <w:szCs w:val="21"/>
          <w:highlight w:val="none"/>
          <w:lang w:val="en-US" w:eastAsia="zh-CN"/>
        </w:rPr>
        <w:t>负责</w:t>
      </w:r>
      <w:r>
        <w:rPr>
          <w:rFonts w:hint="eastAsia" w:ascii="宋体" w:hAnsi="宋体"/>
          <w:bCs/>
          <w:szCs w:val="21"/>
          <w:highlight w:val="none"/>
        </w:rPr>
        <w:t>协调相关中介机构的工作进度。</w:t>
      </w:r>
    </w:p>
    <w:p w14:paraId="385E7816">
      <w:pPr>
        <w:numPr>
          <w:ilvl w:val="0"/>
          <w:numId w:val="18"/>
        </w:numPr>
        <w:spacing w:after="60" w:line="360" w:lineRule="auto"/>
        <w:rPr>
          <w:rFonts w:ascii="宋体" w:hAnsi="宋体"/>
          <w:bCs/>
          <w:szCs w:val="21"/>
          <w:highlight w:val="none"/>
        </w:rPr>
      </w:pPr>
      <w:r>
        <w:rPr>
          <w:rFonts w:hint="eastAsia" w:ascii="宋体" w:hAnsi="宋体"/>
          <w:bCs/>
          <w:szCs w:val="21"/>
          <w:highlight w:val="none"/>
        </w:rPr>
        <w:t>经有关主管部门批准后，中标人负责中期票据发行和挂牌工作，并根据承销协议的约定开展中期票据承销工作，履行中期票据余额包销义务。</w:t>
      </w:r>
    </w:p>
    <w:p w14:paraId="2E5C9861">
      <w:pPr>
        <w:numPr>
          <w:ilvl w:val="0"/>
          <w:numId w:val="18"/>
        </w:numPr>
        <w:spacing w:after="60" w:line="360" w:lineRule="auto"/>
        <w:rPr>
          <w:rFonts w:ascii="宋体" w:hAnsi="宋体"/>
          <w:bCs/>
          <w:szCs w:val="21"/>
          <w:highlight w:val="none"/>
        </w:rPr>
      </w:pPr>
      <w:r>
        <w:rPr>
          <w:rFonts w:hint="eastAsia" w:ascii="宋体" w:hAnsi="宋体"/>
          <w:bCs/>
          <w:szCs w:val="21"/>
          <w:highlight w:val="none"/>
        </w:rPr>
        <w:t>中标人应按法律及中期票据主管部门相关自律规范文件的规定，建立后续管理工作机制和相关制度，设立专门机构或岗位持续对招标人开展跟踪、监测、调查等后续管理工作。</w:t>
      </w:r>
    </w:p>
    <w:p w14:paraId="31DEC64B">
      <w:pPr>
        <w:numPr>
          <w:ilvl w:val="0"/>
          <w:numId w:val="18"/>
        </w:numPr>
        <w:spacing w:after="60" w:line="360" w:lineRule="auto"/>
        <w:rPr>
          <w:rFonts w:ascii="宋体" w:hAnsi="宋体"/>
          <w:bCs/>
          <w:szCs w:val="21"/>
          <w:highlight w:val="none"/>
        </w:rPr>
      </w:pPr>
      <w:r>
        <w:rPr>
          <w:rFonts w:hint="eastAsia" w:ascii="宋体" w:hAnsi="宋体"/>
          <w:bCs/>
          <w:szCs w:val="21"/>
          <w:highlight w:val="none"/>
        </w:rPr>
        <w:t>在中期票据存续期内，中标人对招标人募集资金使用、还本付息等情况予以监控，及时披露招标人重大变化，保障投资人利益。</w:t>
      </w:r>
    </w:p>
    <w:p w14:paraId="0B7C9116">
      <w:pPr>
        <w:numPr>
          <w:ilvl w:val="0"/>
          <w:numId w:val="18"/>
        </w:numPr>
        <w:spacing w:after="60" w:line="360" w:lineRule="auto"/>
        <w:rPr>
          <w:rFonts w:ascii="宋体" w:hAnsi="宋体"/>
          <w:bCs/>
          <w:szCs w:val="21"/>
          <w:highlight w:val="none"/>
        </w:rPr>
      </w:pPr>
      <w:r>
        <w:rPr>
          <w:rFonts w:hint="eastAsia" w:ascii="宋体" w:hAnsi="宋体"/>
          <w:bCs/>
          <w:szCs w:val="21"/>
          <w:highlight w:val="none"/>
        </w:rPr>
        <w:t>履行保密义务，中标人</w:t>
      </w:r>
      <w:r>
        <w:rPr>
          <w:rFonts w:hint="eastAsia" w:ascii="宋体" w:hAnsi="宋体"/>
          <w:bCs/>
          <w:szCs w:val="21"/>
          <w:highlight w:val="none"/>
          <w:lang w:val="en-US" w:eastAsia="zh-CN"/>
        </w:rPr>
        <w:t>应</w:t>
      </w:r>
      <w:r>
        <w:rPr>
          <w:rFonts w:hint="eastAsia" w:ascii="宋体" w:hAnsi="宋体"/>
          <w:bCs/>
          <w:szCs w:val="21"/>
          <w:highlight w:val="none"/>
        </w:rPr>
        <w:t>对招标人提供的资料进行保密，不私自对外泄露。</w:t>
      </w:r>
    </w:p>
    <w:p w14:paraId="69BE2F29">
      <w:pPr>
        <w:numPr>
          <w:ilvl w:val="0"/>
          <w:numId w:val="18"/>
        </w:numPr>
        <w:spacing w:after="60" w:line="360" w:lineRule="auto"/>
        <w:rPr>
          <w:rFonts w:ascii="宋体" w:hAnsi="宋体"/>
          <w:bCs/>
          <w:szCs w:val="21"/>
          <w:highlight w:val="none"/>
        </w:rPr>
      </w:pPr>
      <w:r>
        <w:rPr>
          <w:rFonts w:hint="eastAsia" w:ascii="宋体" w:hAnsi="宋体"/>
          <w:bCs/>
          <w:szCs w:val="21"/>
          <w:highlight w:val="none"/>
        </w:rPr>
        <w:t>中标人</w:t>
      </w:r>
      <w:r>
        <w:rPr>
          <w:rFonts w:hint="eastAsia" w:ascii="宋体" w:hAnsi="宋体"/>
          <w:bCs/>
          <w:szCs w:val="21"/>
          <w:highlight w:val="none"/>
          <w:lang w:val="en-US" w:eastAsia="zh-CN"/>
        </w:rPr>
        <w:t>应</w:t>
      </w:r>
      <w:r>
        <w:rPr>
          <w:rFonts w:hint="eastAsia" w:ascii="宋体" w:hAnsi="宋体"/>
          <w:bCs/>
          <w:szCs w:val="21"/>
          <w:highlight w:val="none"/>
        </w:rPr>
        <w:t>承担提供服务期间的所有风险和责任。</w:t>
      </w:r>
    </w:p>
    <w:p w14:paraId="149915CB">
      <w:pPr>
        <w:numPr>
          <w:ilvl w:val="0"/>
          <w:numId w:val="18"/>
        </w:numPr>
        <w:spacing w:after="60" w:line="360" w:lineRule="auto"/>
        <w:rPr>
          <w:rFonts w:ascii="宋体" w:hAnsi="宋体"/>
          <w:bCs/>
          <w:szCs w:val="21"/>
          <w:highlight w:val="none"/>
        </w:rPr>
      </w:pPr>
      <w:r>
        <w:rPr>
          <w:rFonts w:hint="eastAsia" w:ascii="宋体" w:hAnsi="宋体"/>
          <w:bCs/>
          <w:szCs w:val="21"/>
          <w:highlight w:val="none"/>
        </w:rPr>
        <w:t>除下列情况外，中标人应当对执行业务过程中知悉的招标人信息予以保密：</w:t>
      </w:r>
    </w:p>
    <w:p w14:paraId="1CC0FC79">
      <w:pPr>
        <w:numPr>
          <w:ilvl w:val="0"/>
          <w:numId w:val="20"/>
        </w:numPr>
        <w:spacing w:after="60" w:line="360" w:lineRule="auto"/>
        <w:rPr>
          <w:rFonts w:ascii="宋体" w:hAnsi="宋体"/>
          <w:szCs w:val="21"/>
          <w:highlight w:val="none"/>
        </w:rPr>
      </w:pPr>
      <w:r>
        <w:rPr>
          <w:rFonts w:hint="eastAsia" w:ascii="宋体" w:hAnsi="宋体"/>
          <w:szCs w:val="21"/>
          <w:highlight w:val="none"/>
        </w:rPr>
        <w:t>法律法规允许披露，并取得招标人的授权；</w:t>
      </w:r>
    </w:p>
    <w:p w14:paraId="22D337D3">
      <w:pPr>
        <w:numPr>
          <w:ilvl w:val="0"/>
          <w:numId w:val="20"/>
        </w:numPr>
        <w:spacing w:after="60" w:line="360" w:lineRule="auto"/>
        <w:rPr>
          <w:rFonts w:ascii="宋体" w:hAnsi="宋体"/>
          <w:szCs w:val="21"/>
          <w:highlight w:val="none"/>
        </w:rPr>
      </w:pPr>
      <w:r>
        <w:rPr>
          <w:rFonts w:hint="eastAsia" w:ascii="宋体" w:hAnsi="宋体"/>
          <w:szCs w:val="21"/>
          <w:highlight w:val="none"/>
        </w:rPr>
        <w:t>根据法律法规的要求，为法律诉讼、仲裁准备文件或提供证据，以及向监管机构报告发现的违法行为；</w:t>
      </w:r>
    </w:p>
    <w:p w14:paraId="673116F0">
      <w:pPr>
        <w:numPr>
          <w:ilvl w:val="0"/>
          <w:numId w:val="20"/>
        </w:numPr>
        <w:spacing w:after="60" w:line="360" w:lineRule="auto"/>
        <w:rPr>
          <w:rFonts w:ascii="宋体" w:hAnsi="宋体"/>
          <w:szCs w:val="21"/>
          <w:highlight w:val="none"/>
        </w:rPr>
      </w:pPr>
      <w:r>
        <w:rPr>
          <w:rFonts w:hint="eastAsia" w:ascii="宋体" w:hAnsi="宋体"/>
          <w:szCs w:val="21"/>
          <w:highlight w:val="none"/>
        </w:rPr>
        <w:t>在法律法规允许的情况下，在法律诉讼、仲裁中维护自己的合法权益；</w:t>
      </w:r>
    </w:p>
    <w:p w14:paraId="0F74D2E6">
      <w:pPr>
        <w:numPr>
          <w:ilvl w:val="0"/>
          <w:numId w:val="20"/>
        </w:numPr>
        <w:spacing w:after="60" w:line="360" w:lineRule="auto"/>
        <w:rPr>
          <w:rFonts w:ascii="宋体" w:hAnsi="宋体"/>
          <w:szCs w:val="21"/>
          <w:highlight w:val="none"/>
        </w:rPr>
      </w:pPr>
      <w:r>
        <w:rPr>
          <w:rFonts w:hint="eastAsia" w:ascii="宋体" w:hAnsi="宋体"/>
          <w:szCs w:val="21"/>
          <w:highlight w:val="none"/>
        </w:rPr>
        <w:t>法律法规、执业准则和职业道德规范规定的其他情形。</w:t>
      </w:r>
    </w:p>
    <w:p w14:paraId="6F0FDAF9">
      <w:pPr>
        <w:numPr>
          <w:ilvl w:val="0"/>
          <w:numId w:val="12"/>
        </w:numPr>
        <w:spacing w:after="60" w:line="360" w:lineRule="auto"/>
        <w:rPr>
          <w:rFonts w:ascii="宋体" w:hAnsi="宋体"/>
          <w:b/>
          <w:szCs w:val="21"/>
          <w:highlight w:val="none"/>
        </w:rPr>
      </w:pPr>
      <w:r>
        <w:rPr>
          <w:rFonts w:hint="eastAsia" w:ascii="宋体" w:hAnsi="宋体"/>
          <w:b/>
          <w:szCs w:val="21"/>
          <w:highlight w:val="none"/>
        </w:rPr>
        <w:t>特别约定</w:t>
      </w:r>
    </w:p>
    <w:p w14:paraId="10D062D3">
      <w:pPr>
        <w:numPr>
          <w:ilvl w:val="0"/>
          <w:numId w:val="21"/>
        </w:numPr>
        <w:spacing w:after="60" w:line="360" w:lineRule="auto"/>
        <w:rPr>
          <w:rFonts w:ascii="宋体" w:hAnsi="宋体"/>
          <w:bCs/>
          <w:szCs w:val="21"/>
          <w:highlight w:val="none"/>
        </w:rPr>
      </w:pPr>
      <w:r>
        <w:rPr>
          <w:rFonts w:hint="eastAsia" w:ascii="宋体" w:hAnsi="宋体"/>
          <w:bCs/>
          <w:szCs w:val="21"/>
          <w:highlight w:val="none"/>
        </w:rPr>
        <w:t>中标人就中期票据的发行向招标人承担余额包销责任，即在发行期限结束时，</w:t>
      </w:r>
      <w:r>
        <w:rPr>
          <w:rFonts w:hint="eastAsia" w:ascii="宋体" w:hAnsi="宋体"/>
          <w:bCs/>
          <w:szCs w:val="21"/>
          <w:highlight w:val="none"/>
          <w:lang w:val="en-US" w:eastAsia="zh-CN"/>
        </w:rPr>
        <w:t>中标人</w:t>
      </w:r>
      <w:r>
        <w:rPr>
          <w:rFonts w:hint="eastAsia" w:ascii="宋体" w:hAnsi="宋体"/>
          <w:bCs/>
          <w:szCs w:val="21"/>
          <w:highlight w:val="none"/>
        </w:rPr>
        <w:t>按照各自的承销</w:t>
      </w:r>
      <w:r>
        <w:rPr>
          <w:rFonts w:hint="eastAsia" w:ascii="宋体" w:hAnsi="宋体"/>
          <w:bCs/>
          <w:szCs w:val="21"/>
          <w:highlight w:val="none"/>
          <w:lang w:val="en-US" w:eastAsia="zh-CN"/>
        </w:rPr>
        <w:t>份额</w:t>
      </w:r>
      <w:r>
        <w:rPr>
          <w:rFonts w:hint="eastAsia" w:ascii="宋体" w:hAnsi="宋体"/>
          <w:bCs/>
          <w:szCs w:val="21"/>
          <w:highlight w:val="none"/>
        </w:rPr>
        <w:t>承销无条件买下未售出的全部剩余中期票据。</w:t>
      </w:r>
    </w:p>
    <w:p w14:paraId="4BEEE51F">
      <w:pPr>
        <w:numPr>
          <w:ilvl w:val="0"/>
          <w:numId w:val="21"/>
        </w:numPr>
        <w:spacing w:after="60" w:line="360" w:lineRule="auto"/>
        <w:rPr>
          <w:rFonts w:ascii="宋体" w:hAnsi="宋体"/>
          <w:bCs/>
          <w:szCs w:val="21"/>
          <w:highlight w:val="none"/>
        </w:rPr>
      </w:pPr>
      <w:r>
        <w:rPr>
          <w:rFonts w:hint="eastAsia" w:ascii="宋体" w:hAnsi="宋体"/>
          <w:bCs/>
          <w:szCs w:val="21"/>
          <w:highlight w:val="none"/>
        </w:rPr>
        <w:t>中标人</w:t>
      </w:r>
      <w:r>
        <w:rPr>
          <w:rFonts w:hint="eastAsia" w:ascii="宋体" w:hAnsi="宋体"/>
          <w:bCs/>
          <w:szCs w:val="21"/>
          <w:highlight w:val="none"/>
          <w:lang w:val="en-US" w:eastAsia="zh-CN"/>
        </w:rPr>
        <w:t>买下</w:t>
      </w:r>
      <w:r>
        <w:rPr>
          <w:rFonts w:hint="eastAsia" w:ascii="宋体" w:hAnsi="宋体"/>
          <w:bCs/>
          <w:szCs w:val="21"/>
          <w:highlight w:val="none"/>
        </w:rPr>
        <w:t>尚未售出的招标人中期票据的时间不得影响约定将募集资金划拨至招标人收款账户上的时间。</w:t>
      </w:r>
    </w:p>
    <w:p w14:paraId="59FA6C95">
      <w:pPr>
        <w:numPr>
          <w:ilvl w:val="0"/>
          <w:numId w:val="21"/>
        </w:numPr>
        <w:spacing w:after="60" w:line="360" w:lineRule="auto"/>
        <w:rPr>
          <w:rFonts w:ascii="宋体" w:hAnsi="宋体"/>
          <w:bCs/>
          <w:szCs w:val="21"/>
          <w:highlight w:val="none"/>
        </w:rPr>
      </w:pPr>
      <w:r>
        <w:rPr>
          <w:rFonts w:hint="eastAsia" w:ascii="宋体" w:hAnsi="宋体"/>
          <w:bCs/>
          <w:szCs w:val="21"/>
          <w:highlight w:val="none"/>
        </w:rPr>
        <w:t>中标人在与招标人充分协商的基础上</w:t>
      </w:r>
      <w:r>
        <w:rPr>
          <w:rFonts w:hint="eastAsia" w:ascii="宋体" w:hAnsi="宋体"/>
          <w:bCs/>
          <w:szCs w:val="21"/>
          <w:highlight w:val="none"/>
          <w:lang w:eastAsia="zh-CN"/>
        </w:rPr>
        <w:t>，</w:t>
      </w:r>
      <w:r>
        <w:rPr>
          <w:rFonts w:hint="eastAsia" w:ascii="宋体" w:hAnsi="宋体"/>
          <w:bCs/>
          <w:szCs w:val="21"/>
          <w:highlight w:val="none"/>
        </w:rPr>
        <w:t>负责组织并落实承销团进行招标人中期票据的发行、承销，不超额、不逾期发行中期票据，并有责任监督承销团各成员的承销活动。</w:t>
      </w:r>
    </w:p>
    <w:p w14:paraId="7EF344BC">
      <w:pPr>
        <w:numPr>
          <w:ilvl w:val="0"/>
          <w:numId w:val="21"/>
        </w:numPr>
        <w:spacing w:after="60" w:line="360" w:lineRule="auto"/>
        <w:rPr>
          <w:rFonts w:ascii="宋体" w:hAnsi="宋体"/>
          <w:bCs/>
          <w:szCs w:val="21"/>
          <w:highlight w:val="none"/>
        </w:rPr>
      </w:pPr>
      <w:r>
        <w:rPr>
          <w:rFonts w:hint="eastAsia" w:ascii="宋体" w:hAnsi="宋体"/>
          <w:bCs/>
          <w:szCs w:val="21"/>
          <w:highlight w:val="none"/>
        </w:rPr>
        <w:t>在中标人向招标人划付了全部募集款项，并且中标人已向招标人提供了</w:t>
      </w:r>
      <w:r>
        <w:rPr>
          <w:rFonts w:hint="eastAsia" w:ascii="宋体" w:hAnsi="宋体"/>
          <w:bCs/>
          <w:szCs w:val="21"/>
          <w:highlight w:val="none"/>
          <w:lang w:val="en-US" w:eastAsia="zh-CN"/>
        </w:rPr>
        <w:t>相应的</w:t>
      </w:r>
      <w:r>
        <w:rPr>
          <w:rFonts w:hint="eastAsia" w:ascii="宋体" w:hAnsi="宋体"/>
          <w:bCs/>
          <w:szCs w:val="21"/>
          <w:highlight w:val="none"/>
        </w:rPr>
        <w:t>承销费用发票，配合完成有关中期票据在相关登记托管机构办理相应手续工作之后，中标人作为主承销商的承销义务和责任即告终止，但中标人的其他义务和责任并不因此而终止。</w:t>
      </w:r>
    </w:p>
    <w:p w14:paraId="1F267710">
      <w:pPr>
        <w:pStyle w:val="2"/>
        <w:rPr>
          <w:highlight w:val="none"/>
        </w:rPr>
      </w:pPr>
    </w:p>
    <w:p w14:paraId="351642B7">
      <w:pPr>
        <w:pStyle w:val="3"/>
        <w:spacing w:after="78" w:line="360" w:lineRule="auto"/>
        <w:jc w:val="center"/>
        <w:rPr>
          <w:rFonts w:ascii="宋体" w:hAnsi="宋体"/>
          <w:sz w:val="21"/>
          <w:szCs w:val="21"/>
          <w:highlight w:val="none"/>
        </w:rPr>
      </w:pPr>
      <w:bookmarkStart w:id="14" w:name="_Toc17895674"/>
      <w:bookmarkStart w:id="15" w:name="_Toc16774661"/>
      <w:bookmarkStart w:id="16" w:name="_Toc383206794"/>
      <w:bookmarkStart w:id="17" w:name="_Toc119"/>
      <w:bookmarkStart w:id="18" w:name="_Toc295597611"/>
      <w:bookmarkStart w:id="19" w:name="_Toc295597955"/>
      <w:bookmarkStart w:id="20" w:name="_Toc17895921"/>
      <w:bookmarkStart w:id="21" w:name="_Toc8237"/>
      <w:bookmarkStart w:id="22" w:name="_Toc280860131"/>
      <w:bookmarkStart w:id="23" w:name="_Toc280730367"/>
      <w:r>
        <w:rPr>
          <w:rFonts w:hint="eastAsia" w:ascii="宋体" w:hAnsi="宋体"/>
          <w:sz w:val="21"/>
          <w:szCs w:val="21"/>
          <w:highlight w:val="none"/>
        </w:rPr>
        <w:t>商务要求</w:t>
      </w:r>
      <w:bookmarkEnd w:id="14"/>
      <w:bookmarkEnd w:id="15"/>
      <w:bookmarkEnd w:id="16"/>
      <w:bookmarkEnd w:id="17"/>
      <w:bookmarkEnd w:id="18"/>
      <w:bookmarkEnd w:id="19"/>
      <w:bookmarkEnd w:id="20"/>
      <w:bookmarkEnd w:id="21"/>
    </w:p>
    <w:bookmarkEnd w:id="22"/>
    <w:bookmarkEnd w:id="23"/>
    <w:p w14:paraId="0AC0D722">
      <w:pPr>
        <w:numPr>
          <w:ilvl w:val="0"/>
          <w:numId w:val="22"/>
        </w:numPr>
        <w:spacing w:after="60" w:line="360" w:lineRule="auto"/>
        <w:ind w:left="425" w:hanging="425"/>
        <w:rPr>
          <w:rFonts w:ascii="宋体" w:hAnsi="宋体"/>
          <w:b/>
          <w:bCs/>
          <w:szCs w:val="21"/>
          <w:highlight w:val="none"/>
        </w:rPr>
      </w:pPr>
      <w:bookmarkStart w:id="24" w:name="_Toc312312309"/>
      <w:r>
        <w:rPr>
          <w:rFonts w:hint="eastAsia" w:ascii="宋体" w:hAnsi="宋体"/>
          <w:b/>
          <w:bCs/>
          <w:szCs w:val="21"/>
          <w:highlight w:val="none"/>
        </w:rPr>
        <w:t>报价要求</w:t>
      </w:r>
      <w:bookmarkEnd w:id="24"/>
    </w:p>
    <w:p w14:paraId="4E05B0E0">
      <w:pPr>
        <w:numPr>
          <w:ilvl w:val="0"/>
          <w:numId w:val="23"/>
        </w:numPr>
        <w:spacing w:before="78" w:beforeLines="25" w:line="360" w:lineRule="auto"/>
        <w:rPr>
          <w:rFonts w:ascii="宋体" w:hAnsi="宋体" w:cs="宋体"/>
          <w:szCs w:val="21"/>
          <w:highlight w:val="none"/>
        </w:rPr>
      </w:pPr>
      <w:r>
        <w:rPr>
          <w:rFonts w:hint="eastAsia" w:ascii="宋体" w:hAnsi="宋体" w:cs="宋体"/>
          <w:szCs w:val="21"/>
          <w:highlight w:val="none"/>
        </w:rPr>
        <w:t>除非在合同条款中另有规定，本项目服务费率在合同实施期间不因其它因素的变动而调整。中标人的承销费率作为招标人中期票据发行结束后计算承销费用的依据。</w:t>
      </w:r>
    </w:p>
    <w:p w14:paraId="4E3ED942">
      <w:pPr>
        <w:numPr>
          <w:ilvl w:val="0"/>
          <w:numId w:val="23"/>
        </w:numPr>
        <w:spacing w:before="78" w:beforeLines="25" w:line="360" w:lineRule="auto"/>
        <w:rPr>
          <w:rFonts w:ascii="宋体" w:hAnsi="宋体" w:cs="宋体"/>
          <w:szCs w:val="21"/>
          <w:highlight w:val="none"/>
        </w:rPr>
      </w:pPr>
      <w:r>
        <w:rPr>
          <w:rFonts w:hint="eastAsia" w:ascii="宋体" w:hAnsi="宋体" w:cs="宋体"/>
          <w:szCs w:val="21"/>
          <w:highlight w:val="none"/>
        </w:rPr>
        <w:t>投标人应在合理范围内报价，本项目投标报价的最高限价是0.40‰/年。投标报价不能高于最高限价，否则视为无效投标。投标报价低于0.10‰/年的，需在投标文件中附上投标报价说明，未提供投标报价说明的，原则上视为不响应招标文件，将视为无效投标。本项目投标报价以承销费率进行报价，投标人按照开标一览表格式填报。</w:t>
      </w:r>
    </w:p>
    <w:p w14:paraId="5D62F18B">
      <w:pPr>
        <w:numPr>
          <w:ilvl w:val="0"/>
          <w:numId w:val="23"/>
        </w:numPr>
        <w:spacing w:before="78" w:beforeLines="25" w:line="360" w:lineRule="auto"/>
        <w:rPr>
          <w:rFonts w:ascii="宋体" w:hAnsi="宋体" w:cs="宋体"/>
          <w:szCs w:val="21"/>
          <w:highlight w:val="none"/>
        </w:rPr>
      </w:pPr>
      <w:r>
        <w:rPr>
          <w:rFonts w:hint="eastAsia" w:ascii="宋体" w:hAnsi="宋体" w:cs="宋体"/>
          <w:szCs w:val="21"/>
          <w:highlight w:val="none"/>
        </w:rPr>
        <w:t>所报价格已包括提供服务过程中可预见和不可预见的费用和合理利润，包括但不限于：服务实施过程中应缴纳的税费、管理费、保险费（含意外保险）、工作人员差旅和食宿费、财务、耗材、办公等一切与该项目管理有关的费用，招标人不再支付任何费用。承销费用将根据实际发行时募资到位数额及承销份额进行计算支付，牵头主承销商以及联席主承销商的承销费以各自的承销份额×中标费率计算出来的金额进行收取。</w:t>
      </w:r>
    </w:p>
    <w:p w14:paraId="4F657B27">
      <w:pPr>
        <w:numPr>
          <w:ilvl w:val="0"/>
          <w:numId w:val="23"/>
        </w:numPr>
        <w:spacing w:before="78" w:beforeLines="25" w:line="360" w:lineRule="auto"/>
        <w:rPr>
          <w:rFonts w:ascii="宋体" w:hAnsi="宋体" w:cs="宋体"/>
          <w:szCs w:val="21"/>
          <w:highlight w:val="none"/>
        </w:rPr>
      </w:pPr>
      <w:r>
        <w:rPr>
          <w:rFonts w:hint="eastAsia" w:ascii="宋体" w:hAnsi="宋体" w:cs="宋体"/>
          <w:szCs w:val="21"/>
          <w:highlight w:val="none"/>
        </w:rPr>
        <w:t>中标费率为所有中标人报价的算术平均值</w:t>
      </w:r>
      <w:r>
        <w:rPr>
          <w:rFonts w:hint="eastAsia" w:ascii="宋体" w:hAnsi="宋体" w:cs="宋体"/>
          <w:bCs/>
          <w:szCs w:val="21"/>
          <w:highlight w:val="none"/>
        </w:rPr>
        <w:t>（四舍五入后，</w:t>
      </w:r>
      <w:r>
        <w:rPr>
          <w:rFonts w:hint="eastAsia" w:ascii="宋体" w:hAnsi="宋体" w:cs="宋体"/>
          <w:szCs w:val="21"/>
          <w:highlight w:val="none"/>
        </w:rPr>
        <w:t>小数点后保留两位有效数</w:t>
      </w:r>
      <w:r>
        <w:rPr>
          <w:rFonts w:hint="eastAsia" w:ascii="宋体" w:hAnsi="宋体" w:cs="宋体"/>
          <w:bCs/>
          <w:szCs w:val="21"/>
          <w:highlight w:val="none"/>
        </w:rPr>
        <w:t>）</w:t>
      </w:r>
      <w:r>
        <w:rPr>
          <w:rFonts w:hint="eastAsia" w:ascii="宋体" w:hAnsi="宋体" w:cs="宋体"/>
          <w:szCs w:val="21"/>
          <w:highlight w:val="none"/>
        </w:rPr>
        <w:t>。</w:t>
      </w:r>
    </w:p>
    <w:p w14:paraId="4996ABA6">
      <w:pPr>
        <w:numPr>
          <w:ilvl w:val="0"/>
          <w:numId w:val="22"/>
        </w:numPr>
        <w:spacing w:after="60" w:line="360" w:lineRule="auto"/>
        <w:ind w:left="425" w:hanging="425"/>
        <w:rPr>
          <w:rFonts w:ascii="宋体" w:hAnsi="宋体"/>
          <w:b/>
          <w:bCs/>
          <w:szCs w:val="21"/>
          <w:highlight w:val="none"/>
        </w:rPr>
      </w:pPr>
      <w:bookmarkStart w:id="25" w:name="_Toc312312310"/>
      <w:r>
        <w:rPr>
          <w:rFonts w:hint="eastAsia" w:ascii="宋体" w:hAnsi="宋体"/>
          <w:b/>
          <w:bCs/>
          <w:szCs w:val="21"/>
          <w:highlight w:val="none"/>
        </w:rPr>
        <w:t>服务地点：</w:t>
      </w:r>
      <w:bookmarkEnd w:id="25"/>
      <w:r>
        <w:rPr>
          <w:rFonts w:hint="eastAsia" w:ascii="宋体" w:hAnsi="宋体"/>
          <w:szCs w:val="21"/>
          <w:highlight w:val="none"/>
        </w:rPr>
        <w:t>本项目的服务地点为佛山市南海区</w:t>
      </w:r>
      <w:r>
        <w:rPr>
          <w:rFonts w:hint="eastAsia" w:ascii="宋体" w:hAnsi="宋体" w:cs="宋体"/>
          <w:szCs w:val="21"/>
          <w:highlight w:val="none"/>
        </w:rPr>
        <w:t>为主，必要时可能需赴监管部门现场处理相关工作</w:t>
      </w:r>
      <w:r>
        <w:rPr>
          <w:rFonts w:hint="eastAsia" w:ascii="宋体" w:hAnsi="宋体"/>
          <w:szCs w:val="21"/>
          <w:highlight w:val="none"/>
        </w:rPr>
        <w:t>。</w:t>
      </w:r>
    </w:p>
    <w:p w14:paraId="0B6C2623">
      <w:pPr>
        <w:numPr>
          <w:ilvl w:val="0"/>
          <w:numId w:val="22"/>
        </w:numPr>
        <w:spacing w:after="60" w:line="360" w:lineRule="auto"/>
        <w:ind w:left="425" w:hanging="425"/>
        <w:rPr>
          <w:rFonts w:ascii="宋体" w:hAnsi="宋体"/>
          <w:b/>
          <w:bCs/>
          <w:szCs w:val="21"/>
          <w:highlight w:val="none"/>
        </w:rPr>
      </w:pPr>
      <w:bookmarkStart w:id="26" w:name="_Toc312312311"/>
      <w:r>
        <w:rPr>
          <w:rFonts w:hint="eastAsia" w:ascii="宋体" w:hAnsi="宋体"/>
          <w:b/>
          <w:bCs/>
          <w:szCs w:val="21"/>
          <w:highlight w:val="none"/>
        </w:rPr>
        <w:t>服务期：</w:t>
      </w:r>
      <w:bookmarkEnd w:id="26"/>
      <w:r>
        <w:rPr>
          <w:rFonts w:hint="eastAsia" w:ascii="宋体" w:hAnsi="宋体" w:cs="宋体"/>
          <w:szCs w:val="21"/>
          <w:highlight w:val="none"/>
        </w:rPr>
        <w:t>直至中期票据全部偿付为止</w:t>
      </w:r>
      <w:r>
        <w:rPr>
          <w:rFonts w:hint="eastAsia" w:ascii="宋体" w:hAnsi="宋体"/>
          <w:szCs w:val="21"/>
          <w:highlight w:val="none"/>
        </w:rPr>
        <w:t>。</w:t>
      </w:r>
    </w:p>
    <w:p w14:paraId="00A52301">
      <w:pPr>
        <w:numPr>
          <w:ilvl w:val="0"/>
          <w:numId w:val="22"/>
        </w:numPr>
        <w:spacing w:after="60" w:line="360" w:lineRule="auto"/>
        <w:ind w:left="425" w:hanging="425"/>
        <w:rPr>
          <w:rFonts w:ascii="宋体" w:hAnsi="宋体"/>
          <w:b/>
          <w:bCs/>
          <w:szCs w:val="21"/>
          <w:highlight w:val="none"/>
        </w:rPr>
      </w:pPr>
      <w:r>
        <w:rPr>
          <w:rFonts w:hint="eastAsia" w:ascii="宋体" w:hAnsi="宋体"/>
          <w:b/>
          <w:bCs/>
          <w:szCs w:val="21"/>
          <w:highlight w:val="none"/>
        </w:rPr>
        <w:t>中标人须知</w:t>
      </w:r>
    </w:p>
    <w:p w14:paraId="306CD527">
      <w:pPr>
        <w:numPr>
          <w:ilvl w:val="0"/>
          <w:numId w:val="24"/>
        </w:numPr>
        <w:spacing w:before="78" w:beforeLines="25" w:line="360" w:lineRule="auto"/>
        <w:rPr>
          <w:rFonts w:ascii="宋体" w:hAnsi="宋体" w:cs="宋体"/>
          <w:szCs w:val="21"/>
          <w:highlight w:val="none"/>
        </w:rPr>
      </w:pPr>
      <w:r>
        <w:rPr>
          <w:rFonts w:hint="eastAsia" w:ascii="宋体" w:hAnsi="宋体" w:cs="宋体"/>
          <w:szCs w:val="21"/>
          <w:highlight w:val="none"/>
        </w:rPr>
        <w:t>如果被选定的中标人不能按照招标文件的要求及投标文件的承诺签订中标合同，或经核定中标人的投标文件与事实不符，从而影响公平、公正及影响中标合同执行时，招标人有权取消该中标人的中标资格。</w:t>
      </w:r>
    </w:p>
    <w:p w14:paraId="00CE1766">
      <w:pPr>
        <w:numPr>
          <w:ilvl w:val="0"/>
          <w:numId w:val="24"/>
        </w:numPr>
        <w:spacing w:before="78" w:beforeLines="25" w:line="360" w:lineRule="auto"/>
        <w:rPr>
          <w:rFonts w:ascii="宋体" w:hAnsi="宋体" w:cs="宋体"/>
          <w:szCs w:val="21"/>
          <w:highlight w:val="none"/>
        </w:rPr>
      </w:pPr>
      <w:r>
        <w:rPr>
          <w:rFonts w:hint="eastAsia" w:ascii="宋体" w:hAnsi="宋体" w:cs="宋体"/>
          <w:szCs w:val="21"/>
          <w:highlight w:val="none"/>
        </w:rPr>
        <w:t>综合得分排名前六名的中标人取得本次注册发行中期票据的承销服务资格。</w:t>
      </w:r>
    </w:p>
    <w:p w14:paraId="04A912E0">
      <w:pPr>
        <w:spacing w:after="60" w:line="360" w:lineRule="auto"/>
        <w:ind w:firstLine="420" w:firstLineChars="200"/>
        <w:rPr>
          <w:rFonts w:ascii="宋体" w:hAnsi="宋体"/>
          <w:szCs w:val="21"/>
          <w:highlight w:val="none"/>
        </w:rPr>
      </w:pPr>
      <w:r>
        <w:rPr>
          <w:rFonts w:hint="eastAsia" w:ascii="宋体" w:hAnsi="宋体"/>
          <w:szCs w:val="21"/>
          <w:highlight w:val="none"/>
        </w:rPr>
        <w:t>（1）注册阶段：综合得分排名第一的中标人作为牵头主承销商，综合得分排名第二的中标人作为联席主承销商，共同负责中期票据申报材料编制，并完成注册。</w:t>
      </w:r>
    </w:p>
    <w:p w14:paraId="3A1689D6">
      <w:pPr>
        <w:spacing w:after="60" w:line="360" w:lineRule="auto"/>
        <w:ind w:firstLine="420" w:firstLineChars="200"/>
        <w:rPr>
          <w:rFonts w:ascii="宋体" w:hAnsi="宋体"/>
          <w:szCs w:val="21"/>
          <w:highlight w:val="none"/>
        </w:rPr>
      </w:pPr>
      <w:r>
        <w:rPr>
          <w:rFonts w:hint="eastAsia" w:ascii="宋体" w:hAnsi="宋体"/>
          <w:szCs w:val="21"/>
          <w:highlight w:val="none"/>
        </w:rPr>
        <w:t>（2）首期发行：综合得分排名第一的作为牵头主承销商参与首期发行及牵头组织申报材料，其余中标人作为联席主承销商参与首期发行，</w:t>
      </w:r>
      <w:bookmarkStart w:id="27" w:name="OLE_LINK1"/>
      <w:r>
        <w:rPr>
          <w:rFonts w:hint="eastAsia" w:ascii="宋体" w:hAnsi="宋体"/>
          <w:szCs w:val="21"/>
          <w:highlight w:val="none"/>
        </w:rPr>
        <w:t>具体承销份额的分配由招标人确定</w:t>
      </w:r>
      <w:bookmarkEnd w:id="27"/>
      <w:r>
        <w:rPr>
          <w:rFonts w:hint="eastAsia" w:ascii="宋体" w:hAnsi="宋体"/>
          <w:szCs w:val="21"/>
          <w:highlight w:val="none"/>
        </w:rPr>
        <w:t>。</w:t>
      </w:r>
    </w:p>
    <w:p w14:paraId="433800DF">
      <w:pPr>
        <w:spacing w:after="60" w:line="360" w:lineRule="auto"/>
        <w:ind w:firstLine="420" w:firstLineChars="200"/>
        <w:rPr>
          <w:rFonts w:ascii="宋体" w:hAnsi="宋体"/>
          <w:szCs w:val="21"/>
          <w:highlight w:val="none"/>
        </w:rPr>
      </w:pPr>
      <w:r>
        <w:rPr>
          <w:rFonts w:hint="eastAsia" w:ascii="宋体" w:hAnsi="宋体"/>
          <w:szCs w:val="21"/>
          <w:highlight w:val="none"/>
        </w:rPr>
        <w:t>（3）后续每期发行：</w:t>
      </w:r>
      <w:bookmarkStart w:id="28" w:name="OLE_LINK3"/>
      <w:bookmarkStart w:id="29" w:name="OLE_LINK8"/>
      <w:r>
        <w:rPr>
          <w:rFonts w:hint="eastAsia" w:ascii="宋体" w:hAnsi="宋体"/>
          <w:szCs w:val="21"/>
          <w:highlight w:val="none"/>
        </w:rPr>
        <w:t>牵头主承销商角色的选定、</w:t>
      </w:r>
      <w:bookmarkStart w:id="30" w:name="OLE_LINK5"/>
      <w:r>
        <w:rPr>
          <w:rFonts w:hint="eastAsia" w:ascii="宋体" w:hAnsi="宋体"/>
          <w:szCs w:val="21"/>
          <w:highlight w:val="none"/>
        </w:rPr>
        <w:t>具体承销份额</w:t>
      </w:r>
      <w:bookmarkEnd w:id="30"/>
      <w:r>
        <w:rPr>
          <w:rFonts w:hint="eastAsia" w:ascii="宋体" w:hAnsi="宋体"/>
          <w:szCs w:val="21"/>
          <w:highlight w:val="none"/>
        </w:rPr>
        <w:t>的分配</w:t>
      </w:r>
      <w:bookmarkEnd w:id="28"/>
      <w:r>
        <w:rPr>
          <w:rFonts w:hint="eastAsia" w:ascii="宋体" w:hAnsi="宋体"/>
          <w:szCs w:val="21"/>
          <w:highlight w:val="none"/>
        </w:rPr>
        <w:t>等由招标人确定</w:t>
      </w:r>
      <w:bookmarkEnd w:id="29"/>
      <w:r>
        <w:rPr>
          <w:rFonts w:hint="eastAsia" w:ascii="宋体" w:hAnsi="宋体"/>
          <w:szCs w:val="21"/>
          <w:highlight w:val="none"/>
        </w:rPr>
        <w:t>。</w:t>
      </w:r>
    </w:p>
    <w:p w14:paraId="43200DA3">
      <w:pPr>
        <w:numPr>
          <w:ilvl w:val="0"/>
          <w:numId w:val="24"/>
        </w:numPr>
        <w:spacing w:before="78" w:beforeLines="25" w:line="360" w:lineRule="auto"/>
        <w:rPr>
          <w:rFonts w:ascii="宋体" w:hAnsi="宋体" w:cs="宋体"/>
          <w:szCs w:val="21"/>
          <w:highlight w:val="none"/>
        </w:rPr>
      </w:pPr>
      <w:r>
        <w:rPr>
          <w:rFonts w:hint="eastAsia" w:ascii="宋体" w:hAnsi="宋体" w:cs="宋体"/>
          <w:szCs w:val="21"/>
          <w:highlight w:val="none"/>
        </w:rPr>
        <w:t>如在某期债券实际发行中，若某一中标人因其自身原因导致不具备法律法规规定的承销条件的，招标人有权依序确定下一名中标候选人为中标人</w:t>
      </w:r>
      <w:r>
        <w:rPr>
          <w:rFonts w:hint="eastAsia"/>
          <w:highlight w:val="none"/>
        </w:rPr>
        <w:t>，</w:t>
      </w:r>
      <w:r>
        <w:rPr>
          <w:rFonts w:hint="eastAsia" w:ascii="宋体" w:hAnsi="宋体" w:cs="宋体"/>
          <w:szCs w:val="21"/>
          <w:highlight w:val="none"/>
        </w:rPr>
        <w:t>牵头主承销商角色的选定、具体承销份额的分配等由招标人重新确定。</w:t>
      </w:r>
    </w:p>
    <w:p w14:paraId="62A6C0A5">
      <w:pPr>
        <w:numPr>
          <w:ilvl w:val="0"/>
          <w:numId w:val="22"/>
        </w:numPr>
        <w:spacing w:after="60" w:line="360" w:lineRule="auto"/>
        <w:ind w:left="425" w:hanging="425"/>
        <w:rPr>
          <w:rFonts w:ascii="宋体" w:hAnsi="宋体"/>
          <w:szCs w:val="21"/>
          <w:highlight w:val="none"/>
        </w:rPr>
      </w:pPr>
      <w:r>
        <w:rPr>
          <w:rFonts w:hint="eastAsia" w:ascii="宋体" w:hAnsi="宋体"/>
          <w:b/>
          <w:bCs/>
          <w:szCs w:val="21"/>
          <w:highlight w:val="none"/>
        </w:rPr>
        <w:t>承销费的结算方式</w:t>
      </w:r>
    </w:p>
    <w:p w14:paraId="3CB4729E">
      <w:pPr>
        <w:numPr>
          <w:ilvl w:val="0"/>
          <w:numId w:val="25"/>
        </w:numPr>
        <w:spacing w:before="78" w:beforeLines="25" w:line="360" w:lineRule="auto"/>
        <w:rPr>
          <w:rFonts w:hint="eastAsia" w:ascii="宋体" w:hAnsi="宋体" w:cs="宋体"/>
          <w:szCs w:val="21"/>
          <w:highlight w:val="none"/>
        </w:rPr>
      </w:pPr>
      <w:r>
        <w:rPr>
          <w:rFonts w:hint="eastAsia" w:ascii="宋体" w:hAnsi="宋体" w:cs="宋体"/>
          <w:szCs w:val="21"/>
          <w:highlight w:val="none"/>
        </w:rPr>
        <w:t>承销费根据当期中期票据余额及中标的承销年费率、各承销商的承销比例按周年(自当期中期票据发行缴款完毕日起一年为一周年)支付，直至当期的中期票据偿付完毕</w:t>
      </w:r>
      <w:r>
        <w:rPr>
          <w:rFonts w:hint="eastAsia" w:ascii="宋体" w:hAnsi="宋体" w:cs="宋体"/>
          <w:szCs w:val="21"/>
          <w:highlight w:val="none"/>
          <w:lang w:eastAsia="zh-CN"/>
        </w:rPr>
        <w:t>。</w:t>
      </w:r>
    </w:p>
    <w:p w14:paraId="45BC2C50">
      <w:pPr>
        <w:numPr>
          <w:ilvl w:val="0"/>
          <w:numId w:val="25"/>
        </w:numPr>
        <w:spacing w:before="78" w:beforeLines="25" w:line="360" w:lineRule="auto"/>
        <w:rPr>
          <w:rFonts w:hint="eastAsia" w:ascii="宋体" w:hAnsi="宋体" w:cs="宋体"/>
          <w:szCs w:val="21"/>
          <w:highlight w:val="none"/>
        </w:rPr>
      </w:pPr>
      <w:r>
        <w:rPr>
          <w:rFonts w:hint="eastAsia" w:ascii="宋体" w:hAnsi="宋体" w:cs="宋体"/>
          <w:szCs w:val="21"/>
          <w:highlight w:val="none"/>
        </w:rPr>
        <w:t>每期发债的承销费，首年承销费由簿记管理人在缴款日从募集资金中扣收，剩余承销费按年由招标人在当期债务融资工具存续期间的缴款日在当年的对应日(到期还本付息日除外)后十个工作日内支付。</w:t>
      </w:r>
    </w:p>
    <w:p w14:paraId="0E9CCFD6">
      <w:pPr>
        <w:numPr>
          <w:ilvl w:val="0"/>
          <w:numId w:val="22"/>
        </w:numPr>
        <w:spacing w:after="60" w:line="360" w:lineRule="auto"/>
        <w:ind w:left="425" w:hanging="425"/>
        <w:rPr>
          <w:rFonts w:ascii="宋体" w:hAnsi="宋体"/>
          <w:b/>
          <w:bCs/>
          <w:szCs w:val="21"/>
          <w:highlight w:val="none"/>
        </w:rPr>
      </w:pPr>
      <w:bookmarkStart w:id="31" w:name="_Toc333842215"/>
      <w:bookmarkStart w:id="32" w:name="_Toc380499810"/>
      <w:bookmarkStart w:id="33" w:name="_Toc17895923"/>
      <w:bookmarkStart w:id="34" w:name="_Toc16774663"/>
      <w:bookmarkStart w:id="35" w:name="_Toc383206798"/>
      <w:bookmarkStart w:id="36" w:name="_Toc382907079"/>
      <w:bookmarkStart w:id="37" w:name="_Toc17895676"/>
      <w:r>
        <w:rPr>
          <w:rFonts w:hint="eastAsia" w:ascii="宋体" w:hAnsi="宋体"/>
          <w:b/>
          <w:bCs/>
          <w:szCs w:val="21"/>
          <w:highlight w:val="none"/>
        </w:rPr>
        <w:t>知识产权产权归属</w:t>
      </w:r>
      <w:bookmarkEnd w:id="31"/>
      <w:bookmarkEnd w:id="32"/>
      <w:bookmarkEnd w:id="33"/>
      <w:bookmarkEnd w:id="34"/>
      <w:bookmarkEnd w:id="35"/>
      <w:bookmarkEnd w:id="36"/>
      <w:bookmarkEnd w:id="37"/>
    </w:p>
    <w:p w14:paraId="51A3C145">
      <w:pPr>
        <w:spacing w:after="60" w:line="360" w:lineRule="auto"/>
        <w:ind w:firstLine="420" w:firstLineChars="200"/>
        <w:rPr>
          <w:rFonts w:ascii="宋体" w:hAnsi="宋体"/>
          <w:szCs w:val="21"/>
          <w:highlight w:val="none"/>
        </w:rPr>
      </w:pPr>
      <w:r>
        <w:rPr>
          <w:rFonts w:hint="eastAsia" w:ascii="宋体" w:hAnsi="宋体"/>
          <w:szCs w:val="21"/>
          <w:highlight w:val="none"/>
        </w:rPr>
        <w:t>与本项目相关的成果、资料的知识产权归招标人所有。</w:t>
      </w:r>
    </w:p>
    <w:p w14:paraId="5A192FEE">
      <w:pPr>
        <w:numPr>
          <w:ilvl w:val="0"/>
          <w:numId w:val="22"/>
        </w:numPr>
        <w:spacing w:after="60" w:line="360" w:lineRule="auto"/>
        <w:ind w:left="425" w:hanging="425"/>
        <w:rPr>
          <w:rFonts w:ascii="宋体" w:hAnsi="宋体"/>
          <w:b/>
          <w:bCs/>
          <w:szCs w:val="21"/>
          <w:highlight w:val="none"/>
        </w:rPr>
      </w:pPr>
      <w:bookmarkStart w:id="38" w:name="_Toc382907080"/>
      <w:bookmarkStart w:id="39" w:name="_Toc16774664"/>
      <w:bookmarkStart w:id="40" w:name="_Toc17895677"/>
      <w:bookmarkStart w:id="41" w:name="_Toc17895924"/>
      <w:bookmarkStart w:id="42" w:name="_Toc380499811"/>
      <w:bookmarkStart w:id="43" w:name="_Toc333842216"/>
      <w:bookmarkStart w:id="44" w:name="_Toc383206799"/>
      <w:r>
        <w:rPr>
          <w:rFonts w:hint="eastAsia" w:ascii="宋体" w:hAnsi="宋体"/>
          <w:b/>
          <w:bCs/>
          <w:szCs w:val="21"/>
          <w:highlight w:val="none"/>
        </w:rPr>
        <w:t>保密</w:t>
      </w:r>
      <w:bookmarkEnd w:id="38"/>
      <w:bookmarkEnd w:id="39"/>
      <w:bookmarkEnd w:id="40"/>
      <w:bookmarkEnd w:id="41"/>
      <w:bookmarkEnd w:id="42"/>
      <w:bookmarkEnd w:id="43"/>
      <w:bookmarkEnd w:id="44"/>
    </w:p>
    <w:p w14:paraId="564194BD">
      <w:pPr>
        <w:tabs>
          <w:tab w:val="left" w:pos="900"/>
        </w:tabs>
        <w:spacing w:after="60" w:line="360" w:lineRule="auto"/>
        <w:ind w:firstLine="420" w:firstLineChars="200"/>
        <w:rPr>
          <w:rFonts w:ascii="宋体" w:hAnsi="宋体"/>
          <w:szCs w:val="21"/>
          <w:highlight w:val="none"/>
        </w:rPr>
      </w:pPr>
      <w:r>
        <w:rPr>
          <w:rFonts w:hint="eastAsia" w:ascii="宋体" w:hAnsi="宋体"/>
          <w:szCs w:val="21"/>
          <w:highlight w:val="none"/>
        </w:rPr>
        <w:t>本项目实施期间所有相关的成果、资料，未经对方同意，均不得复制、不得泄露、不得擅自修改、传送或向第三人转让或用于本合同外的项目；均以违法违约处理。中标人负有对成果资料保密的责任。</w:t>
      </w:r>
    </w:p>
    <w:p w14:paraId="71069513">
      <w:pPr>
        <w:numPr>
          <w:ilvl w:val="0"/>
          <w:numId w:val="22"/>
        </w:numPr>
        <w:spacing w:after="60" w:line="360" w:lineRule="auto"/>
        <w:ind w:left="425" w:hanging="425"/>
        <w:rPr>
          <w:rFonts w:ascii="宋体" w:hAnsi="宋体"/>
          <w:b/>
          <w:bCs/>
          <w:szCs w:val="21"/>
          <w:highlight w:val="none"/>
        </w:rPr>
      </w:pPr>
      <w:r>
        <w:rPr>
          <w:rFonts w:hint="eastAsia" w:ascii="宋体" w:hAnsi="宋体"/>
          <w:b/>
          <w:bCs/>
          <w:szCs w:val="21"/>
          <w:highlight w:val="none"/>
        </w:rPr>
        <w:t>承销比例及承销费的分配</w:t>
      </w:r>
    </w:p>
    <w:p w14:paraId="13A91C8A">
      <w:pPr>
        <w:tabs>
          <w:tab w:val="left" w:pos="900"/>
        </w:tabs>
        <w:spacing w:after="60" w:line="360" w:lineRule="auto"/>
        <w:ind w:firstLine="420" w:firstLineChars="200"/>
        <w:rPr>
          <w:rFonts w:hint="eastAsia" w:ascii="宋体" w:hAnsi="宋体"/>
          <w:szCs w:val="21"/>
          <w:highlight w:val="none"/>
        </w:rPr>
      </w:pPr>
      <w:r>
        <w:rPr>
          <w:rFonts w:hint="eastAsia" w:ascii="宋体" w:hAnsi="宋体"/>
          <w:szCs w:val="21"/>
          <w:highlight w:val="none"/>
        </w:rPr>
        <w:t>承销费按各主承销商的承销比例进行分配，承销比例以当期中票发行时的承销协议约定为准。（具体承销份额的分配由招标人确定）</w:t>
      </w:r>
    </w:p>
    <w:p w14:paraId="34149A20">
      <w:pPr>
        <w:numPr>
          <w:ilvl w:val="0"/>
          <w:numId w:val="22"/>
        </w:numPr>
        <w:spacing w:after="60" w:line="360" w:lineRule="auto"/>
        <w:ind w:left="425" w:hanging="425"/>
        <w:rPr>
          <w:rFonts w:hint="eastAsia" w:ascii="宋体" w:hAnsi="宋体" w:eastAsia="宋体"/>
          <w:b/>
          <w:bCs/>
          <w:szCs w:val="21"/>
          <w:highlight w:val="none"/>
          <w:lang w:eastAsia="zh-CN"/>
        </w:rPr>
      </w:pPr>
      <w:r>
        <w:rPr>
          <w:rFonts w:hint="eastAsia" w:ascii="宋体" w:hAnsi="宋体"/>
          <w:b/>
          <w:bCs/>
          <w:szCs w:val="21"/>
          <w:highlight w:val="none"/>
          <w:lang w:eastAsia="zh-CN"/>
        </w:rPr>
        <w:t>其他要求</w:t>
      </w:r>
    </w:p>
    <w:p w14:paraId="33228FB5">
      <w:pPr>
        <w:tabs>
          <w:tab w:val="left" w:pos="900"/>
        </w:tabs>
        <w:spacing w:after="60"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与本项目相关的任何争议，各方应遵循平等互利的原则，通过友好协商的方式予以解决；若协商无法达成共识，可依法向招标人所在地具有管辖权的人民法院提起民事诉讼。</w:t>
      </w:r>
    </w:p>
    <w:p w14:paraId="7E536221">
      <w:pPr>
        <w:pStyle w:val="42"/>
        <w:rPr>
          <w:rFonts w:ascii="宋体" w:hAnsi="宋体" w:cs="宋体"/>
          <w:sz w:val="21"/>
          <w:szCs w:val="21"/>
          <w:highlight w:val="none"/>
          <w:lang w:val="zh-CN"/>
        </w:rPr>
      </w:pPr>
    </w:p>
    <w:p w14:paraId="25131D12">
      <w:pPr>
        <w:adjustRightInd w:val="0"/>
        <w:snapToGrid w:val="0"/>
        <w:spacing w:before="156" w:beforeLines="50" w:after="156" w:afterLines="50" w:line="360" w:lineRule="auto"/>
        <w:jc w:val="center"/>
        <w:outlineLvl w:val="0"/>
        <w:rPr>
          <w:rFonts w:ascii="宋体" w:hAnsi="宋体" w:cs="宋体"/>
          <w:b/>
          <w:bCs/>
          <w:szCs w:val="21"/>
          <w:highlight w:val="none"/>
        </w:rPr>
      </w:pPr>
      <w:bookmarkStart w:id="45" w:name="_Toc24320"/>
      <w:r>
        <w:rPr>
          <w:rFonts w:hint="eastAsia" w:ascii="宋体" w:hAnsi="宋体" w:cs="宋体"/>
          <w:b/>
          <w:bCs/>
          <w:szCs w:val="21"/>
          <w:highlight w:val="none"/>
        </w:rPr>
        <w:br w:type="page"/>
      </w:r>
      <w:bookmarkStart w:id="46" w:name="_Toc31371"/>
      <w:r>
        <w:rPr>
          <w:rFonts w:hint="eastAsia" w:ascii="Times New Roman" w:hAnsi="Times New Roman"/>
          <w:b/>
          <w:bCs/>
          <w:sz w:val="28"/>
          <w:szCs w:val="28"/>
          <w:highlight w:val="none"/>
        </w:rPr>
        <w:t>第四章  评分体系与标准</w:t>
      </w:r>
      <w:bookmarkEnd w:id="45"/>
      <w:bookmarkEnd w:id="46"/>
    </w:p>
    <w:p w14:paraId="69462852">
      <w:pPr>
        <w:numPr>
          <w:ilvl w:val="0"/>
          <w:numId w:val="26"/>
        </w:numPr>
        <w:tabs>
          <w:tab w:val="left" w:pos="630"/>
        </w:tabs>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本评标办法采用综合评分法。</w:t>
      </w:r>
    </w:p>
    <w:p w14:paraId="5AF03846">
      <w:pPr>
        <w:numPr>
          <w:ilvl w:val="0"/>
          <w:numId w:val="26"/>
        </w:numPr>
        <w:tabs>
          <w:tab w:val="left" w:pos="630"/>
        </w:tabs>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评标步骤：评标委员会对投标人的投标文件进行初审，对通过初审的投标文件进行技术、商务及价格的详细评审，最后评标委员会出具评标报告。</w:t>
      </w:r>
    </w:p>
    <w:p w14:paraId="0FAE9ABD">
      <w:pPr>
        <w:numPr>
          <w:ilvl w:val="0"/>
          <w:numId w:val="26"/>
        </w:numPr>
        <w:tabs>
          <w:tab w:val="left" w:pos="630"/>
        </w:tabs>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评标委员会成员对需要共同认定的事项存在争议的，按照少数服从多数的原则作出结论。</w:t>
      </w:r>
    </w:p>
    <w:p w14:paraId="1CEF808E">
      <w:pPr>
        <w:numPr>
          <w:ilvl w:val="0"/>
          <w:numId w:val="26"/>
        </w:numPr>
        <w:tabs>
          <w:tab w:val="left" w:pos="630"/>
        </w:tabs>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评分及其统计：按照评标程序、评分标准以及权重分配的规定，评标委员会各成员分别就各个投标人的技术状况、商务状况及其对招标文件要求的响应情况进行评议和比较，评出其技术、商务评分、价格评分相加得出其综合得分。</w:t>
      </w:r>
    </w:p>
    <w:p w14:paraId="72092081">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黑体" w:hAnsi="宋体" w:eastAsia="黑体" w:cs="宋体"/>
          <w:sz w:val="28"/>
          <w:szCs w:val="28"/>
          <w:highlight w:val="none"/>
        </w:rPr>
        <w:t>资格性和符合性审查条款</w:t>
      </w:r>
    </w:p>
    <w:p w14:paraId="30E83C52">
      <w:pPr>
        <w:spacing w:line="360" w:lineRule="auto"/>
        <w:rPr>
          <w:snapToGrid w:val="0"/>
          <w:spacing w:val="8"/>
          <w:highlight w:val="none"/>
        </w:rPr>
      </w:pPr>
      <w:r>
        <w:rPr>
          <w:rFonts w:hint="eastAsia" w:ascii="宋体" w:hAnsi="宋体" w:cs="宋体"/>
          <w:highlight w:val="none"/>
        </w:rPr>
        <w:t>项目名称：广东南海产业集团有限公司注册发行中期票据选取主承销商项目</w:t>
      </w:r>
    </w:p>
    <w:p w14:paraId="20F745FF">
      <w:pPr>
        <w:spacing w:line="360" w:lineRule="auto"/>
        <w:rPr>
          <w:highlight w:val="none"/>
        </w:rPr>
      </w:pPr>
      <w:r>
        <w:rPr>
          <w:rFonts w:hint="eastAsia" w:ascii="宋体" w:hAnsi="宋体" w:cs="宋体"/>
          <w:highlight w:val="none"/>
        </w:rPr>
        <w:t>项目编号：</w:t>
      </w:r>
      <w:r>
        <w:rPr>
          <w:rFonts w:hint="eastAsia" w:ascii="宋体" w:hAnsi="宋体"/>
          <w:highlight w:val="none"/>
        </w:rPr>
        <w:t>GDZC-24GZ166</w:t>
      </w:r>
    </w:p>
    <w:tbl>
      <w:tblPr>
        <w:tblStyle w:val="30"/>
        <w:tblW w:w="9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8137"/>
      </w:tblGrid>
      <w:tr w14:paraId="5870D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90" w:type="dxa"/>
            <w:tcBorders>
              <w:right w:val="single" w:color="auto" w:sz="4" w:space="0"/>
            </w:tcBorders>
            <w:vAlign w:val="center"/>
          </w:tcPr>
          <w:p w14:paraId="1D59FCB4">
            <w:pPr>
              <w:jc w:val="center"/>
              <w:rPr>
                <w:rFonts w:ascii="宋体" w:cs="宋体"/>
                <w:b/>
                <w:highlight w:val="none"/>
              </w:rPr>
            </w:pPr>
            <w:r>
              <w:rPr>
                <w:rFonts w:hint="eastAsia" w:ascii="宋体" w:cs="宋体"/>
                <w:b/>
                <w:highlight w:val="none"/>
              </w:rPr>
              <w:t>序号</w:t>
            </w:r>
          </w:p>
        </w:tc>
        <w:tc>
          <w:tcPr>
            <w:tcW w:w="8137" w:type="dxa"/>
            <w:tcBorders>
              <w:left w:val="single" w:color="auto" w:sz="4" w:space="0"/>
            </w:tcBorders>
            <w:vAlign w:val="center"/>
          </w:tcPr>
          <w:p w14:paraId="68CE8831">
            <w:pPr>
              <w:jc w:val="center"/>
              <w:rPr>
                <w:rFonts w:ascii="宋体" w:cs="宋体"/>
                <w:highlight w:val="none"/>
              </w:rPr>
            </w:pPr>
            <w:r>
              <w:rPr>
                <w:rFonts w:hint="eastAsia" w:ascii="宋体" w:hAnsi="宋体" w:cs="宋体"/>
                <w:highlight w:val="none"/>
              </w:rPr>
              <w:t>评审内容</w:t>
            </w:r>
          </w:p>
        </w:tc>
      </w:tr>
      <w:tr w14:paraId="5EAC2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0BF305F9">
            <w:pPr>
              <w:numPr>
                <w:ilvl w:val="0"/>
                <w:numId w:val="27"/>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14:paraId="4EFD207E">
            <w:pPr>
              <w:rPr>
                <w:rFonts w:ascii="宋体" w:hAnsi="宋体" w:cs="宋体"/>
                <w:highlight w:val="none"/>
              </w:rPr>
            </w:pPr>
            <w:r>
              <w:rPr>
                <w:rFonts w:hint="eastAsia" w:ascii="宋体" w:hAnsi="宋体" w:cs="宋体"/>
                <w:highlight w:val="none"/>
              </w:rPr>
              <w:t>具备招标文件中规定资格要求的及资格证明文件齐全；</w:t>
            </w:r>
          </w:p>
        </w:tc>
      </w:tr>
      <w:tr w14:paraId="79EFE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0956A544">
            <w:pPr>
              <w:numPr>
                <w:ilvl w:val="0"/>
                <w:numId w:val="27"/>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14:paraId="07C79E45">
            <w:pPr>
              <w:rPr>
                <w:rFonts w:ascii="宋体" w:hAnsi="宋体" w:cs="宋体"/>
                <w:highlight w:val="none"/>
              </w:rPr>
            </w:pPr>
            <w:r>
              <w:rPr>
                <w:rFonts w:hint="eastAsia" w:ascii="宋体" w:hAnsi="宋体" w:cs="宋体"/>
                <w:highlight w:val="none"/>
              </w:rPr>
              <w:t>投标函及资格声明函已提交并符合招标文件要求的；</w:t>
            </w:r>
          </w:p>
        </w:tc>
      </w:tr>
      <w:tr w14:paraId="32DE4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57146FB9">
            <w:pPr>
              <w:numPr>
                <w:ilvl w:val="0"/>
                <w:numId w:val="27"/>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14:paraId="45C8BB73">
            <w:pPr>
              <w:rPr>
                <w:rFonts w:ascii="宋体" w:hAnsi="宋体" w:cs="宋体"/>
                <w:highlight w:val="none"/>
              </w:rPr>
            </w:pPr>
            <w:r>
              <w:rPr>
                <w:rFonts w:hint="eastAsia" w:ascii="宋体" w:hAnsi="宋体" w:cs="宋体"/>
                <w:highlight w:val="none"/>
              </w:rPr>
              <w:t>投标人按招标文件要求缴纳投标保证金的；</w:t>
            </w:r>
          </w:p>
        </w:tc>
      </w:tr>
      <w:tr w14:paraId="4531B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7ABC8BEC">
            <w:pPr>
              <w:numPr>
                <w:ilvl w:val="0"/>
                <w:numId w:val="27"/>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14:paraId="0E949393">
            <w:pPr>
              <w:ind w:left="19" w:hanging="18" w:hangingChars="9"/>
              <w:rPr>
                <w:rFonts w:ascii="宋体" w:hAnsi="宋体" w:cs="宋体"/>
                <w:highlight w:val="none"/>
              </w:rPr>
            </w:pPr>
            <w:r>
              <w:rPr>
                <w:rFonts w:hint="eastAsia" w:ascii="宋体" w:hAnsi="宋体" w:cs="宋体"/>
                <w:highlight w:val="none"/>
              </w:rPr>
              <w:t>按照招标文件规定要求签署、盖章且投标文件有法定代表人</w:t>
            </w:r>
            <w:r>
              <w:rPr>
                <w:rFonts w:hint="eastAsia" w:ascii="宋体"/>
                <w:szCs w:val="21"/>
                <w:highlight w:val="none"/>
              </w:rPr>
              <w:t>（负责人）</w:t>
            </w:r>
            <w:r>
              <w:rPr>
                <w:rFonts w:hint="eastAsia" w:ascii="宋体" w:hAnsi="宋体" w:cs="宋体"/>
                <w:highlight w:val="none"/>
              </w:rPr>
              <w:t>签字或盖章，或签字人有法定代表人</w:t>
            </w:r>
            <w:r>
              <w:rPr>
                <w:rFonts w:hint="eastAsia" w:ascii="宋体"/>
                <w:szCs w:val="21"/>
                <w:highlight w:val="none"/>
              </w:rPr>
              <w:t>（负责人）</w:t>
            </w:r>
            <w:r>
              <w:rPr>
                <w:rFonts w:hint="eastAsia" w:ascii="宋体" w:hAnsi="宋体" w:cs="宋体"/>
                <w:highlight w:val="none"/>
              </w:rPr>
              <w:t>有效授权书的；</w:t>
            </w:r>
          </w:p>
        </w:tc>
      </w:tr>
      <w:tr w14:paraId="07C63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61B9E051">
            <w:pPr>
              <w:numPr>
                <w:ilvl w:val="0"/>
                <w:numId w:val="27"/>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14:paraId="4564D9F2">
            <w:pPr>
              <w:ind w:left="19" w:hanging="18" w:hangingChars="9"/>
              <w:rPr>
                <w:rFonts w:ascii="宋体" w:hAnsi="宋体" w:cs="宋体"/>
                <w:highlight w:val="none"/>
              </w:rPr>
            </w:pPr>
            <w:r>
              <w:rPr>
                <w:rFonts w:hint="eastAsia" w:ascii="宋体" w:hAnsi="宋体" w:cs="宋体"/>
                <w:szCs w:val="21"/>
                <w:highlight w:val="none"/>
              </w:rPr>
              <w:t>承销费率报价是固定唯一值，</w:t>
            </w:r>
            <w:r>
              <w:rPr>
                <w:rFonts w:hint="eastAsia" w:ascii="宋体" w:hAnsi="宋体"/>
                <w:bCs/>
                <w:szCs w:val="21"/>
                <w:highlight w:val="none"/>
              </w:rPr>
              <w:t>且符合采购文件要求的</w:t>
            </w:r>
            <w:r>
              <w:rPr>
                <w:rFonts w:hint="eastAsia" w:ascii="宋体" w:hAnsi="宋体" w:cs="宋体"/>
                <w:highlight w:val="none"/>
              </w:rPr>
              <w:t>；</w:t>
            </w:r>
          </w:p>
        </w:tc>
      </w:tr>
      <w:tr w14:paraId="251B4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53268DA6">
            <w:pPr>
              <w:numPr>
                <w:ilvl w:val="0"/>
                <w:numId w:val="27"/>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14:paraId="7E77DC0B">
            <w:pPr>
              <w:rPr>
                <w:rFonts w:ascii="宋体" w:hAnsi="宋体" w:cs="宋体"/>
                <w:highlight w:val="none"/>
              </w:rPr>
            </w:pPr>
            <w:r>
              <w:rPr>
                <w:rFonts w:hint="eastAsia" w:ascii="宋体" w:hAnsi="宋体" w:cs="宋体"/>
                <w:highlight w:val="none"/>
              </w:rPr>
              <w:t>投标文件完全满足招标文件的实质性条款（即标注★号条款及</w:t>
            </w:r>
            <w:r>
              <w:rPr>
                <w:rFonts w:hint="eastAsia" w:ascii="宋体" w:hAnsi="宋体" w:cs="宋体"/>
                <w:b/>
                <w:bCs/>
                <w:highlight w:val="none"/>
                <w:u w:val="double"/>
              </w:rPr>
              <w:t>商务要求</w:t>
            </w:r>
            <w:r>
              <w:rPr>
                <w:rFonts w:hint="eastAsia" w:ascii="宋体" w:hAnsi="宋体" w:cs="宋体"/>
                <w:highlight w:val="none"/>
              </w:rPr>
              <w:t>）无负偏离的；</w:t>
            </w:r>
          </w:p>
        </w:tc>
      </w:tr>
      <w:tr w14:paraId="1204B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61CF868C">
            <w:pPr>
              <w:numPr>
                <w:ilvl w:val="0"/>
                <w:numId w:val="27"/>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14:paraId="22C57B2E">
            <w:pPr>
              <w:rPr>
                <w:rFonts w:ascii="宋体" w:hAnsi="宋体" w:cs="宋体"/>
                <w:highlight w:val="none"/>
              </w:rPr>
            </w:pPr>
            <w:r>
              <w:rPr>
                <w:rFonts w:hint="eastAsia" w:ascii="宋体" w:hAnsi="宋体" w:cs="宋体"/>
                <w:highlight w:val="none"/>
              </w:rPr>
              <w:t>投标文件没有招标文件中规定的其它无效投标条款的；</w:t>
            </w:r>
          </w:p>
        </w:tc>
      </w:tr>
      <w:tr w14:paraId="772FE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14:paraId="512E346A">
            <w:pPr>
              <w:numPr>
                <w:ilvl w:val="0"/>
                <w:numId w:val="27"/>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14:paraId="5B85D751">
            <w:pPr>
              <w:rPr>
                <w:rFonts w:ascii="宋体" w:hAnsi="宋体" w:cs="宋体"/>
                <w:highlight w:val="none"/>
              </w:rPr>
            </w:pPr>
            <w:r>
              <w:rPr>
                <w:rFonts w:hint="eastAsia" w:ascii="宋体" w:hAnsi="宋体" w:cs="宋体"/>
                <w:highlight w:val="none"/>
              </w:rPr>
              <w:t>没有违反有关法律、法规、规章要求，被视为投标无效的其他情况。</w:t>
            </w:r>
          </w:p>
        </w:tc>
      </w:tr>
    </w:tbl>
    <w:p w14:paraId="71F51EB2">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宋体" w:hAnsi="宋体" w:cs="宋体"/>
          <w:szCs w:val="21"/>
          <w:highlight w:val="none"/>
        </w:rPr>
        <w:br w:type="page"/>
      </w:r>
      <w:r>
        <w:rPr>
          <w:rFonts w:hint="eastAsia" w:ascii="黑体" w:hAnsi="宋体" w:eastAsia="黑体" w:cs="宋体"/>
          <w:sz w:val="28"/>
          <w:szCs w:val="28"/>
          <w:highlight w:val="none"/>
        </w:rPr>
        <w:t>技术、商务部分评分表</w:t>
      </w:r>
    </w:p>
    <w:p w14:paraId="1816083D">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黑体" w:hAnsi="宋体" w:eastAsia="黑体" w:cs="宋体"/>
          <w:sz w:val="28"/>
          <w:szCs w:val="28"/>
          <w:highlight w:val="none"/>
        </w:rPr>
        <w:t>（85分）</w:t>
      </w:r>
    </w:p>
    <w:tbl>
      <w:tblPr>
        <w:tblStyle w:val="30"/>
        <w:tblW w:w="95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965"/>
        <w:gridCol w:w="1365"/>
        <w:gridCol w:w="795"/>
        <w:gridCol w:w="5808"/>
      </w:tblGrid>
      <w:tr w14:paraId="59D60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exact"/>
          <w:jc w:val="center"/>
        </w:trPr>
        <w:tc>
          <w:tcPr>
            <w:tcW w:w="645" w:type="dxa"/>
            <w:vAlign w:val="center"/>
          </w:tcPr>
          <w:p w14:paraId="09733EC9">
            <w:pPr>
              <w:wordWrap w:val="0"/>
              <w:spacing w:line="360" w:lineRule="exact"/>
              <w:jc w:val="center"/>
              <w:rPr>
                <w:rFonts w:ascii="宋体" w:hAnsi="宋体" w:cs="宋体"/>
                <w:b/>
                <w:szCs w:val="21"/>
                <w:highlight w:val="none"/>
              </w:rPr>
            </w:pPr>
            <w:r>
              <w:rPr>
                <w:rFonts w:hint="eastAsia" w:ascii="宋体" w:hAnsi="宋体" w:cs="宋体"/>
                <w:b/>
                <w:szCs w:val="21"/>
                <w:highlight w:val="none"/>
              </w:rPr>
              <w:t>序号</w:t>
            </w:r>
          </w:p>
        </w:tc>
        <w:tc>
          <w:tcPr>
            <w:tcW w:w="965" w:type="dxa"/>
            <w:vAlign w:val="center"/>
          </w:tcPr>
          <w:p w14:paraId="4922ADD1">
            <w:pPr>
              <w:wordWrap w:val="0"/>
              <w:spacing w:line="360" w:lineRule="exact"/>
              <w:jc w:val="center"/>
              <w:rPr>
                <w:rFonts w:ascii="宋体" w:hAnsi="宋体" w:cs="宋体"/>
                <w:b/>
                <w:szCs w:val="21"/>
                <w:highlight w:val="none"/>
              </w:rPr>
            </w:pPr>
            <w:r>
              <w:rPr>
                <w:rFonts w:hint="eastAsia" w:ascii="宋体" w:hAnsi="宋体" w:cs="宋体"/>
                <w:b/>
                <w:szCs w:val="21"/>
                <w:highlight w:val="none"/>
              </w:rPr>
              <w:t>分类</w:t>
            </w:r>
          </w:p>
        </w:tc>
        <w:tc>
          <w:tcPr>
            <w:tcW w:w="1365" w:type="dxa"/>
            <w:vAlign w:val="center"/>
          </w:tcPr>
          <w:p w14:paraId="1B33330C">
            <w:pPr>
              <w:wordWrap w:val="0"/>
              <w:spacing w:line="360" w:lineRule="exact"/>
              <w:jc w:val="center"/>
              <w:rPr>
                <w:rFonts w:ascii="宋体" w:hAnsi="宋体" w:cs="宋体"/>
                <w:b/>
                <w:szCs w:val="21"/>
                <w:highlight w:val="none"/>
              </w:rPr>
            </w:pPr>
            <w:r>
              <w:rPr>
                <w:rFonts w:hint="eastAsia" w:ascii="宋体" w:hAnsi="宋体" w:cs="宋体"/>
                <w:b/>
                <w:szCs w:val="21"/>
                <w:highlight w:val="none"/>
              </w:rPr>
              <w:t>指标</w:t>
            </w:r>
          </w:p>
        </w:tc>
        <w:tc>
          <w:tcPr>
            <w:tcW w:w="795" w:type="dxa"/>
            <w:vAlign w:val="center"/>
          </w:tcPr>
          <w:p w14:paraId="2C52209E">
            <w:pPr>
              <w:wordWrap w:val="0"/>
              <w:spacing w:line="360" w:lineRule="exact"/>
              <w:jc w:val="center"/>
              <w:rPr>
                <w:rFonts w:ascii="宋体" w:hAnsi="宋体" w:cs="宋体"/>
                <w:b/>
                <w:szCs w:val="21"/>
                <w:highlight w:val="none"/>
              </w:rPr>
            </w:pPr>
            <w:r>
              <w:rPr>
                <w:rFonts w:hint="eastAsia" w:ascii="宋体" w:hAnsi="宋体" w:cs="宋体"/>
                <w:b/>
                <w:szCs w:val="21"/>
                <w:highlight w:val="none"/>
              </w:rPr>
              <w:t>分值（分）</w:t>
            </w:r>
          </w:p>
        </w:tc>
        <w:tc>
          <w:tcPr>
            <w:tcW w:w="5808" w:type="dxa"/>
            <w:vAlign w:val="center"/>
          </w:tcPr>
          <w:p w14:paraId="4B265137">
            <w:pPr>
              <w:wordWrap w:val="0"/>
              <w:spacing w:line="360" w:lineRule="exact"/>
              <w:jc w:val="center"/>
              <w:rPr>
                <w:rFonts w:ascii="宋体" w:hAnsi="宋体" w:cs="宋体"/>
                <w:b/>
                <w:szCs w:val="21"/>
                <w:highlight w:val="none"/>
              </w:rPr>
            </w:pPr>
            <w:r>
              <w:rPr>
                <w:rFonts w:hint="eastAsia" w:ascii="宋体" w:hAnsi="宋体" w:cs="宋体"/>
                <w:b/>
                <w:szCs w:val="21"/>
                <w:highlight w:val="none"/>
              </w:rPr>
              <w:t>评分标准</w:t>
            </w:r>
          </w:p>
        </w:tc>
      </w:tr>
      <w:tr w14:paraId="09AD6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4" w:hRule="atLeast"/>
          <w:jc w:val="center"/>
        </w:trPr>
        <w:tc>
          <w:tcPr>
            <w:tcW w:w="645" w:type="dxa"/>
            <w:vMerge w:val="restart"/>
            <w:vAlign w:val="center"/>
          </w:tcPr>
          <w:p w14:paraId="2317871F">
            <w:pPr>
              <w:widowControl/>
              <w:numPr>
                <w:ilvl w:val="0"/>
                <w:numId w:val="28"/>
              </w:numPr>
              <w:tabs>
                <w:tab w:val="left" w:pos="220"/>
              </w:tabs>
              <w:wordWrap w:val="0"/>
              <w:spacing w:line="360" w:lineRule="exact"/>
              <w:ind w:left="635"/>
              <w:jc w:val="center"/>
              <w:rPr>
                <w:rFonts w:ascii="宋体" w:hAnsi="宋体" w:cs="宋体"/>
                <w:bCs/>
                <w:szCs w:val="21"/>
                <w:highlight w:val="none"/>
              </w:rPr>
            </w:pPr>
          </w:p>
        </w:tc>
        <w:tc>
          <w:tcPr>
            <w:tcW w:w="965" w:type="dxa"/>
            <w:vMerge w:val="restart"/>
            <w:vAlign w:val="center"/>
          </w:tcPr>
          <w:p w14:paraId="6E68BB10">
            <w:pPr>
              <w:widowControl/>
              <w:wordWrap w:val="0"/>
              <w:spacing w:line="360" w:lineRule="exact"/>
              <w:jc w:val="center"/>
              <w:rPr>
                <w:rFonts w:ascii="宋体" w:hAnsi="宋体" w:cs="宋体"/>
                <w:szCs w:val="21"/>
                <w:highlight w:val="none"/>
              </w:rPr>
            </w:pPr>
            <w:r>
              <w:rPr>
                <w:rFonts w:hint="eastAsia" w:ascii="宋体" w:hAnsi="宋体" w:cs="宋体"/>
                <w:kern w:val="0"/>
                <w:szCs w:val="21"/>
                <w:highlight w:val="none"/>
                <w:lang w:bidi="ar"/>
              </w:rPr>
              <w:t>投标人综合实力</w:t>
            </w:r>
          </w:p>
        </w:tc>
        <w:tc>
          <w:tcPr>
            <w:tcW w:w="1365" w:type="dxa"/>
            <w:vAlign w:val="center"/>
          </w:tcPr>
          <w:p w14:paraId="4A3998DF">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总资产实力</w:t>
            </w:r>
          </w:p>
        </w:tc>
        <w:tc>
          <w:tcPr>
            <w:tcW w:w="795" w:type="dxa"/>
            <w:vAlign w:val="center"/>
          </w:tcPr>
          <w:p w14:paraId="49A1CC65">
            <w:pPr>
              <w:widowControl/>
              <w:tabs>
                <w:tab w:val="left" w:pos="420"/>
                <w:tab w:val="left" w:pos="630"/>
              </w:tabs>
              <w:snapToGrid w:val="0"/>
              <w:spacing w:line="360" w:lineRule="auto"/>
              <w:jc w:val="center"/>
              <w:rPr>
                <w:rFonts w:ascii="宋体" w:hAnsi="宋体" w:cs="宋体"/>
                <w:szCs w:val="21"/>
                <w:highlight w:val="none"/>
              </w:rPr>
            </w:pPr>
            <w:r>
              <w:rPr>
                <w:rFonts w:hint="eastAsia" w:ascii="宋体" w:hAnsi="宋体" w:cs="宋体"/>
                <w:szCs w:val="21"/>
                <w:highlight w:val="none"/>
              </w:rPr>
              <w:t>10</w:t>
            </w:r>
          </w:p>
        </w:tc>
        <w:tc>
          <w:tcPr>
            <w:tcW w:w="5808" w:type="dxa"/>
            <w:vAlign w:val="center"/>
          </w:tcPr>
          <w:p w14:paraId="7A1912BF">
            <w:pPr>
              <w:rPr>
                <w:rFonts w:ascii="宋体" w:hAnsi="宋体" w:cs="宋体"/>
                <w:szCs w:val="21"/>
                <w:highlight w:val="none"/>
              </w:rPr>
            </w:pPr>
            <w:r>
              <w:rPr>
                <w:rFonts w:hint="eastAsia" w:ascii="宋体" w:hAnsi="宋体" w:cs="宋体"/>
                <w:szCs w:val="21"/>
                <w:highlight w:val="none"/>
              </w:rPr>
              <w:t>根据投标人截至2023年12月31日公司总资产规模进行评审：</w:t>
            </w:r>
          </w:p>
          <w:p w14:paraId="1A0788DC">
            <w:pPr>
              <w:widowControl/>
              <w:numPr>
                <w:ilvl w:val="0"/>
                <w:numId w:val="29"/>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总资产规模10万亿元（含）以上得10分，</w:t>
            </w:r>
          </w:p>
          <w:p w14:paraId="7851B4C5">
            <w:pPr>
              <w:widowControl/>
              <w:numPr>
                <w:ilvl w:val="0"/>
                <w:numId w:val="29"/>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总资产规模5万亿元（含）至10万亿元（不含）的得6分；</w:t>
            </w:r>
          </w:p>
          <w:p w14:paraId="5D9BBB0A">
            <w:pPr>
              <w:widowControl/>
              <w:numPr>
                <w:ilvl w:val="0"/>
                <w:numId w:val="29"/>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总资产规模1万亿元（含）至5万亿元（不含）的得2分；</w:t>
            </w:r>
          </w:p>
          <w:p w14:paraId="4ACF53DA">
            <w:pPr>
              <w:widowControl/>
              <w:numPr>
                <w:ilvl w:val="0"/>
                <w:numId w:val="29"/>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总资产规模1万亿元（不含）以下得1分。</w:t>
            </w:r>
          </w:p>
          <w:p w14:paraId="2D58C667">
            <w:pPr>
              <w:rPr>
                <w:rFonts w:ascii="宋体" w:hAnsi="宋体" w:cs="宋体"/>
                <w:szCs w:val="21"/>
                <w:highlight w:val="none"/>
              </w:rPr>
            </w:pPr>
            <w:r>
              <w:rPr>
                <w:rFonts w:hint="eastAsia" w:ascii="宋体" w:hAnsi="宋体" w:cs="宋体"/>
                <w:szCs w:val="21"/>
                <w:highlight w:val="none"/>
              </w:rPr>
              <w:t>注：（1）提供</w:t>
            </w:r>
            <w:r>
              <w:rPr>
                <w:rFonts w:ascii="宋体" w:hAnsi="宋体" w:cs="宋体"/>
                <w:szCs w:val="21"/>
                <w:highlight w:val="none"/>
              </w:rPr>
              <w:t>2023</w:t>
            </w:r>
            <w:r>
              <w:rPr>
                <w:rFonts w:hint="eastAsia" w:ascii="宋体" w:hAnsi="宋体" w:cs="宋体"/>
                <w:szCs w:val="21"/>
                <w:highlight w:val="none"/>
              </w:rPr>
              <w:t>年审计报告（不含财务报表附注）的复印件并加盖公章。</w:t>
            </w:r>
          </w:p>
          <w:p w14:paraId="322D26C9">
            <w:pPr>
              <w:rPr>
                <w:rFonts w:ascii="宋体" w:hAnsi="宋体" w:cs="宋体"/>
                <w:szCs w:val="21"/>
                <w:highlight w:val="none"/>
              </w:rPr>
            </w:pPr>
            <w:r>
              <w:rPr>
                <w:rFonts w:hint="eastAsia" w:ascii="宋体" w:hAnsi="宋体" w:cs="宋体"/>
                <w:szCs w:val="21"/>
                <w:highlight w:val="none"/>
              </w:rPr>
              <w:t xml:space="preserve">（2）明确出总资产规模，格式详见“第六章 投标文件格式”的格式8 </w:t>
            </w:r>
            <w:r>
              <w:rPr>
                <w:rFonts w:hint="eastAsia"/>
                <w:highlight w:val="none"/>
              </w:rPr>
              <w:t>投标人综合实力</w:t>
            </w:r>
            <w:r>
              <w:rPr>
                <w:rFonts w:hint="eastAsia" w:ascii="宋体" w:hAnsi="宋体" w:cs="宋体"/>
                <w:szCs w:val="21"/>
                <w:highlight w:val="none"/>
              </w:rPr>
              <w:t>。</w:t>
            </w:r>
          </w:p>
        </w:tc>
      </w:tr>
      <w:tr w14:paraId="1B549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0" w:hRule="atLeast"/>
          <w:jc w:val="center"/>
        </w:trPr>
        <w:tc>
          <w:tcPr>
            <w:tcW w:w="645" w:type="dxa"/>
            <w:vMerge w:val="continue"/>
            <w:vAlign w:val="center"/>
          </w:tcPr>
          <w:p w14:paraId="5FC84004">
            <w:pPr>
              <w:widowControl/>
              <w:tabs>
                <w:tab w:val="left" w:pos="210"/>
                <w:tab w:val="left" w:pos="420"/>
              </w:tabs>
              <w:wordWrap w:val="0"/>
              <w:spacing w:line="360" w:lineRule="exact"/>
              <w:ind w:left="635"/>
              <w:jc w:val="center"/>
              <w:rPr>
                <w:rFonts w:ascii="宋体" w:hAnsi="宋体" w:cs="宋体"/>
                <w:bCs/>
                <w:szCs w:val="21"/>
                <w:highlight w:val="none"/>
              </w:rPr>
            </w:pPr>
          </w:p>
        </w:tc>
        <w:tc>
          <w:tcPr>
            <w:tcW w:w="965" w:type="dxa"/>
            <w:vMerge w:val="continue"/>
            <w:vAlign w:val="center"/>
          </w:tcPr>
          <w:p w14:paraId="6E1A5CC3">
            <w:pPr>
              <w:widowControl/>
              <w:wordWrap w:val="0"/>
              <w:spacing w:line="360" w:lineRule="exact"/>
              <w:jc w:val="center"/>
              <w:rPr>
                <w:rFonts w:ascii="宋体" w:hAnsi="宋体" w:cs="宋体"/>
                <w:szCs w:val="21"/>
                <w:highlight w:val="none"/>
              </w:rPr>
            </w:pPr>
          </w:p>
        </w:tc>
        <w:tc>
          <w:tcPr>
            <w:tcW w:w="1365" w:type="dxa"/>
            <w:vAlign w:val="center"/>
          </w:tcPr>
          <w:p w14:paraId="2015BA1B">
            <w:pPr>
              <w:widowControl/>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bidi="ar"/>
              </w:rPr>
              <w:t>监管处罚</w:t>
            </w:r>
          </w:p>
        </w:tc>
        <w:tc>
          <w:tcPr>
            <w:tcW w:w="795" w:type="dxa"/>
            <w:vAlign w:val="center"/>
          </w:tcPr>
          <w:p w14:paraId="307FC24F">
            <w:pPr>
              <w:widowControl/>
              <w:tabs>
                <w:tab w:val="left" w:pos="420"/>
                <w:tab w:val="left" w:pos="630"/>
              </w:tabs>
              <w:snapToGrid w:val="0"/>
              <w:spacing w:line="360" w:lineRule="auto"/>
              <w:jc w:val="center"/>
              <w:rPr>
                <w:rFonts w:ascii="宋体" w:hAnsi="宋体" w:cs="宋体"/>
                <w:szCs w:val="21"/>
                <w:highlight w:val="none"/>
              </w:rPr>
            </w:pPr>
            <w:r>
              <w:rPr>
                <w:rFonts w:hint="eastAsia" w:ascii="宋体" w:hAnsi="宋体" w:cs="宋体"/>
                <w:szCs w:val="21"/>
                <w:highlight w:val="none"/>
              </w:rPr>
              <w:t>5</w:t>
            </w:r>
          </w:p>
        </w:tc>
        <w:tc>
          <w:tcPr>
            <w:tcW w:w="5808" w:type="dxa"/>
            <w:vAlign w:val="center"/>
          </w:tcPr>
          <w:p w14:paraId="3C77A464">
            <w:pPr>
              <w:rPr>
                <w:rFonts w:ascii="宋体" w:hAnsi="宋体" w:cs="宋体"/>
                <w:szCs w:val="21"/>
                <w:highlight w:val="none"/>
              </w:rPr>
            </w:pPr>
            <w:r>
              <w:rPr>
                <w:rFonts w:hint="eastAsia" w:ascii="宋体" w:hAnsi="宋体" w:cs="宋体"/>
                <w:szCs w:val="21"/>
                <w:highlight w:val="none"/>
              </w:rPr>
              <w:t>投标人2023年1月1日至2024年9月30日在全国范围内债券业务受到中国银行间市场交易商协会或中国证监会有关债券（含债务融资工具，下同）业务的处罚、纪律处分的情况。（未受过该类处罚或处分得</w:t>
            </w:r>
            <w:r>
              <w:rPr>
                <w:rFonts w:ascii="宋体" w:hAnsi="宋体" w:cs="宋体"/>
                <w:szCs w:val="21"/>
                <w:highlight w:val="none"/>
              </w:rPr>
              <w:t>5分；受过</w:t>
            </w:r>
            <w:r>
              <w:rPr>
                <w:rFonts w:hint="eastAsia" w:ascii="宋体" w:hAnsi="宋体" w:cs="宋体"/>
                <w:szCs w:val="21"/>
                <w:highlight w:val="none"/>
              </w:rPr>
              <w:t>该类处罚或处分一次扣</w:t>
            </w:r>
            <w:r>
              <w:rPr>
                <w:rFonts w:ascii="宋体" w:hAnsi="宋体" w:cs="宋体"/>
                <w:szCs w:val="21"/>
                <w:highlight w:val="none"/>
              </w:rPr>
              <w:t>2.5分，受过</w:t>
            </w:r>
            <w:r>
              <w:rPr>
                <w:rFonts w:hint="eastAsia" w:ascii="宋体" w:hAnsi="宋体" w:cs="宋体"/>
                <w:szCs w:val="21"/>
                <w:highlight w:val="none"/>
              </w:rPr>
              <w:t>该类处罚或处分两次及以上不得分）：</w:t>
            </w:r>
          </w:p>
          <w:p w14:paraId="2BD8BBA6">
            <w:pPr>
              <w:rPr>
                <w:rFonts w:ascii="宋体" w:hAnsi="宋体" w:cs="宋体"/>
                <w:szCs w:val="21"/>
                <w:highlight w:val="none"/>
              </w:rPr>
            </w:pPr>
            <w:r>
              <w:rPr>
                <w:rFonts w:hint="eastAsia" w:ascii="宋体" w:hAnsi="宋体" w:cs="宋体"/>
                <w:szCs w:val="21"/>
                <w:highlight w:val="none"/>
              </w:rPr>
              <w:t>注：</w:t>
            </w:r>
            <w:r>
              <w:rPr>
                <w:rFonts w:ascii="宋体" w:hAnsi="宋体" w:cs="宋体"/>
                <w:szCs w:val="21"/>
                <w:highlight w:val="none"/>
              </w:rPr>
              <w:t>1.</w:t>
            </w:r>
            <w:r>
              <w:rPr>
                <w:rFonts w:hint="eastAsia" w:ascii="宋体" w:hAnsi="宋体" w:cs="宋体"/>
                <w:szCs w:val="21"/>
                <w:highlight w:val="none"/>
              </w:rPr>
              <w:t>数据来源标准，提供中国银行间市场交易商协会官网—自律—自律处分—自律处分概览—在“请输入处分对象”处输入投标人名称、自律处分类型选择“全部”、时间选择“</w:t>
            </w:r>
            <w:r>
              <w:rPr>
                <w:rFonts w:hint="eastAsia" w:ascii="宋体" w:hAnsi="宋体" w:cs="宋体"/>
                <w:szCs w:val="21"/>
                <w:highlight w:val="none"/>
                <w:lang w:eastAsia="zh-CN"/>
              </w:rPr>
              <w:t>2023年1月1日至2024年9月30日</w:t>
            </w:r>
            <w:r>
              <w:rPr>
                <w:rFonts w:hint="eastAsia" w:ascii="宋体" w:hAnsi="宋体" w:cs="宋体"/>
                <w:szCs w:val="21"/>
                <w:highlight w:val="none"/>
              </w:rPr>
              <w:t>”—点击查询，截图自律处分情况。</w:t>
            </w:r>
          </w:p>
          <w:p w14:paraId="5CF3BDBD">
            <w:pPr>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提供中国证监会</w:t>
            </w:r>
            <w:r>
              <w:rPr>
                <w:rFonts w:hint="eastAsia" w:ascii="宋体" w:hAnsi="宋体" w:cs="宋体"/>
                <w:b w:val="0"/>
                <w:bCs w:val="0"/>
                <w:color w:val="auto"/>
                <w:sz w:val="21"/>
                <w:szCs w:val="21"/>
                <w:highlight w:val="none"/>
                <w:shd w:val="clear" w:color="auto" w:fill="auto"/>
              </w:rPr>
              <w:t>证券期货市场失信记录查询平台</w:t>
            </w:r>
            <w:r>
              <w:rPr>
                <w:rFonts w:hint="eastAsia" w:ascii="宋体" w:hAnsi="宋体" w:cs="宋体"/>
                <w:szCs w:val="21"/>
                <w:highlight w:val="none"/>
              </w:rPr>
              <w:t>查询记录</w:t>
            </w:r>
            <w:r>
              <w:rPr>
                <w:rFonts w:hint="eastAsia" w:ascii="宋体" w:hAnsi="宋体" w:cs="宋体"/>
                <w:szCs w:val="21"/>
                <w:highlight w:val="none"/>
                <w:lang w:eastAsia="zh-CN"/>
              </w:rPr>
              <w:t>截图</w:t>
            </w:r>
            <w:r>
              <w:rPr>
                <w:rFonts w:hint="eastAsia" w:ascii="宋体" w:hAnsi="宋体" w:cs="宋体"/>
                <w:szCs w:val="21"/>
                <w:highlight w:val="none"/>
              </w:rPr>
              <w:t>，如有涉及</w:t>
            </w:r>
            <w:r>
              <w:rPr>
                <w:rFonts w:ascii="宋体" w:hAnsi="宋体" w:cs="宋体"/>
                <w:szCs w:val="21"/>
                <w:highlight w:val="none"/>
              </w:rPr>
              <w:t>证券期货市场</w:t>
            </w:r>
            <w:r>
              <w:rPr>
                <w:rFonts w:hint="eastAsia" w:ascii="宋体" w:hAnsi="宋体" w:cs="宋体"/>
                <w:szCs w:val="21"/>
                <w:highlight w:val="none"/>
              </w:rPr>
              <w:t>处罚但不涉及债券</w:t>
            </w:r>
            <w:r>
              <w:rPr>
                <w:rFonts w:hint="eastAsia"/>
                <w:highlight w:val="none"/>
              </w:rPr>
              <w:t>（含债务融资工具）</w:t>
            </w:r>
            <w:r>
              <w:rPr>
                <w:rFonts w:hint="eastAsia" w:ascii="宋体" w:hAnsi="宋体" w:cs="宋体"/>
                <w:szCs w:val="21"/>
                <w:highlight w:val="none"/>
              </w:rPr>
              <w:t>业务的处罚、纪律处分的，应自行提供相关说明。</w:t>
            </w:r>
          </w:p>
          <w:p w14:paraId="1E7FEF35">
            <w:pPr>
              <w:pStyle w:val="13"/>
              <w:rPr>
                <w:rFonts w:hint="eastAsia" w:ascii="宋体" w:hAnsi="宋体" w:cs="宋体"/>
                <w:b w:val="0"/>
                <w:szCs w:val="21"/>
                <w:highlight w:val="none"/>
              </w:rPr>
            </w:pPr>
            <w:r>
              <w:rPr>
                <w:rFonts w:hint="eastAsia" w:ascii="宋体" w:hAnsi="宋体" w:cs="宋体"/>
                <w:b w:val="0"/>
                <w:szCs w:val="21"/>
                <w:highlight w:val="none"/>
              </w:rPr>
              <w:t>3.除上述公开途径查询的处分、处罚外，相关政府部门作出的可能影响投标人本次注册发行的记录处分、行政处罚等，应自行提供相关说明。</w:t>
            </w:r>
          </w:p>
          <w:p w14:paraId="259DFE6C">
            <w:pPr>
              <w:pStyle w:val="13"/>
              <w:rPr>
                <w:rFonts w:hint="eastAsia" w:ascii="宋体" w:hAnsi="宋体" w:eastAsia="宋体" w:cs="宋体"/>
                <w:b/>
                <w:szCs w:val="21"/>
                <w:highlight w:val="none"/>
                <w:lang w:val="en-US" w:eastAsia="zh-CN"/>
              </w:rPr>
            </w:pPr>
            <w:r>
              <w:rPr>
                <w:rFonts w:hint="eastAsia" w:ascii="宋体" w:hAnsi="宋体" w:cs="宋体"/>
                <w:szCs w:val="21"/>
                <w:highlight w:val="none"/>
              </w:rPr>
              <w:t>格式详见“第六章</w:t>
            </w:r>
            <w:r>
              <w:rPr>
                <w:rFonts w:ascii="宋体" w:hAnsi="宋体" w:cs="宋体"/>
                <w:szCs w:val="21"/>
                <w:highlight w:val="none"/>
              </w:rPr>
              <w:t xml:space="preserve"> 投标文件格式”的格式8 </w:t>
            </w:r>
            <w:r>
              <w:rPr>
                <w:rFonts w:hint="eastAsia" w:ascii="宋体" w:hAnsi="宋体" w:cs="宋体"/>
                <w:szCs w:val="21"/>
                <w:highlight w:val="none"/>
              </w:rPr>
              <w:t>投标人综合实力。</w:t>
            </w:r>
          </w:p>
        </w:tc>
      </w:tr>
      <w:tr w14:paraId="1D9D2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0" w:hRule="atLeast"/>
          <w:jc w:val="center"/>
        </w:trPr>
        <w:tc>
          <w:tcPr>
            <w:tcW w:w="645" w:type="dxa"/>
            <w:vMerge w:val="restart"/>
            <w:vAlign w:val="center"/>
          </w:tcPr>
          <w:p w14:paraId="4BD04FD1">
            <w:pPr>
              <w:widowControl/>
              <w:numPr>
                <w:ilvl w:val="0"/>
                <w:numId w:val="28"/>
              </w:numPr>
              <w:tabs>
                <w:tab w:val="left" w:pos="210"/>
              </w:tabs>
              <w:wordWrap w:val="0"/>
              <w:spacing w:line="360" w:lineRule="exact"/>
              <w:ind w:left="635"/>
              <w:jc w:val="center"/>
              <w:rPr>
                <w:rFonts w:ascii="宋体" w:hAnsi="宋体" w:cs="宋体"/>
                <w:bCs/>
                <w:szCs w:val="21"/>
                <w:highlight w:val="none"/>
              </w:rPr>
            </w:pPr>
          </w:p>
        </w:tc>
        <w:tc>
          <w:tcPr>
            <w:tcW w:w="965" w:type="dxa"/>
            <w:vMerge w:val="restart"/>
            <w:vAlign w:val="center"/>
          </w:tcPr>
          <w:p w14:paraId="006B4B75">
            <w:pPr>
              <w:widowControl/>
              <w:wordWrap w:val="0"/>
              <w:spacing w:line="360" w:lineRule="exact"/>
              <w:jc w:val="center"/>
              <w:rPr>
                <w:rFonts w:ascii="宋体" w:hAnsi="宋体" w:cs="宋体"/>
                <w:szCs w:val="21"/>
                <w:highlight w:val="none"/>
              </w:rPr>
            </w:pPr>
            <w:r>
              <w:rPr>
                <w:rFonts w:hint="eastAsia" w:ascii="宋体" w:hAnsi="宋体" w:cs="宋体"/>
                <w:kern w:val="0"/>
                <w:szCs w:val="21"/>
                <w:highlight w:val="none"/>
                <w:lang w:bidi="ar"/>
              </w:rPr>
              <w:t>投标人服务能力</w:t>
            </w:r>
          </w:p>
        </w:tc>
        <w:tc>
          <w:tcPr>
            <w:tcW w:w="1365" w:type="dxa"/>
            <w:shd w:val="clear" w:color="auto" w:fill="auto"/>
            <w:vAlign w:val="center"/>
          </w:tcPr>
          <w:p w14:paraId="3FCE1F28">
            <w:pPr>
              <w:widowControl/>
              <w:tabs>
                <w:tab w:val="left" w:pos="420"/>
                <w:tab w:val="left" w:pos="630"/>
              </w:tabs>
              <w:snapToGrid w:val="0"/>
              <w:spacing w:line="360" w:lineRule="auto"/>
              <w:jc w:val="center"/>
              <w:rPr>
                <w:rFonts w:ascii="宋体" w:hAnsi="宋体" w:cs="宋体"/>
                <w:szCs w:val="21"/>
                <w:highlight w:val="none"/>
              </w:rPr>
            </w:pPr>
            <w:r>
              <w:rPr>
                <w:rFonts w:hint="eastAsia" w:ascii="宋体" w:hAnsi="宋体" w:cs="宋体"/>
                <w:szCs w:val="21"/>
                <w:highlight w:val="none"/>
              </w:rPr>
              <w:t>发行控制能力</w:t>
            </w:r>
          </w:p>
        </w:tc>
        <w:tc>
          <w:tcPr>
            <w:tcW w:w="795" w:type="dxa"/>
            <w:shd w:val="clear" w:color="auto" w:fill="auto"/>
            <w:vAlign w:val="center"/>
          </w:tcPr>
          <w:p w14:paraId="561D5919">
            <w:pPr>
              <w:widowControl/>
              <w:tabs>
                <w:tab w:val="left" w:pos="420"/>
                <w:tab w:val="left" w:pos="630"/>
              </w:tabs>
              <w:snapToGrid w:val="0"/>
              <w:spacing w:line="360" w:lineRule="auto"/>
              <w:jc w:val="center"/>
              <w:rPr>
                <w:rFonts w:ascii="宋体" w:hAnsi="宋体" w:cs="宋体"/>
                <w:szCs w:val="21"/>
                <w:highlight w:val="none"/>
              </w:rPr>
            </w:pPr>
            <w:r>
              <w:rPr>
                <w:rFonts w:hint="eastAsia" w:ascii="宋体" w:hAnsi="宋体" w:cs="宋体"/>
                <w:szCs w:val="21"/>
                <w:highlight w:val="none"/>
              </w:rPr>
              <w:t>10</w:t>
            </w:r>
          </w:p>
        </w:tc>
        <w:tc>
          <w:tcPr>
            <w:tcW w:w="5808" w:type="dxa"/>
            <w:shd w:val="clear" w:color="auto" w:fill="auto"/>
            <w:vAlign w:val="center"/>
          </w:tcPr>
          <w:p w14:paraId="4EEC6B4A">
            <w:pPr>
              <w:widowControl/>
              <w:wordWrap w:val="0"/>
              <w:snapToGrid w:val="0"/>
              <w:spacing w:line="360" w:lineRule="exact"/>
              <w:rPr>
                <w:rFonts w:ascii="宋体" w:hAnsi="宋体" w:cs="宋体"/>
                <w:szCs w:val="21"/>
                <w:highlight w:val="none"/>
              </w:rPr>
            </w:pPr>
            <w:r>
              <w:rPr>
                <w:rFonts w:hint="eastAsia" w:ascii="宋体" w:hAnsi="宋体" w:cs="宋体"/>
                <w:szCs w:val="21"/>
                <w:highlight w:val="none"/>
              </w:rPr>
              <w:t>2023年1月1日至2024年9月30日，投标人作为簿记管理人承销债券（种类为中票）取消发行只数：5只（含）以内得10分，</w:t>
            </w:r>
            <w:r>
              <w:rPr>
                <w:rFonts w:hint="eastAsia" w:ascii="宋体" w:hAnsi="宋体" w:cs="宋体"/>
                <w:color w:val="auto"/>
                <w:sz w:val="21"/>
                <w:szCs w:val="21"/>
                <w:highlight w:val="none"/>
                <w:lang w:val="en-US" w:eastAsia="zh-CN"/>
              </w:rPr>
              <w:t>5只以上，</w:t>
            </w:r>
            <w:r>
              <w:rPr>
                <w:rFonts w:hint="eastAsia" w:ascii="宋体" w:hAnsi="宋体" w:cs="宋体"/>
                <w:szCs w:val="21"/>
                <w:highlight w:val="none"/>
              </w:rPr>
              <w:t>每增加1只扣1分。</w:t>
            </w:r>
          </w:p>
          <w:p w14:paraId="2A24AFC2">
            <w:pPr>
              <w:rPr>
                <w:rFonts w:ascii="宋体" w:hAnsi="宋体" w:cs="宋体"/>
                <w:szCs w:val="21"/>
                <w:highlight w:val="none"/>
              </w:rPr>
            </w:pPr>
            <w:r>
              <w:rPr>
                <w:rFonts w:hint="eastAsia" w:ascii="宋体" w:hAnsi="宋体" w:cs="宋体"/>
                <w:szCs w:val="21"/>
                <w:highlight w:val="none"/>
              </w:rPr>
              <w:t>注:</w:t>
            </w:r>
            <w:r>
              <w:rPr>
                <w:rFonts w:hint="eastAsia" w:ascii="宋体" w:hAnsi="宋体" w:cs="宋体"/>
                <w:kern w:val="0"/>
                <w:szCs w:val="21"/>
                <w:highlight w:val="none"/>
                <w:lang w:bidi="ar"/>
              </w:rPr>
              <w:t>数据来源标准（仅以此来源为准），须提供wind资讯——债券专题——一级市场——新券发行——推迟或取消发行债券——区间（2023年1月1日至2024年9月30日）——债券类型选择债券分类（NAFMII)分类项下的“中期票据（MTN）”——事件类型选“取消发行”——点击提取数据和数据筛选，在簿记管理人列筛选投标人名称，1个债券代码为1只相关截图</w:t>
            </w:r>
            <w:r>
              <w:rPr>
                <w:rFonts w:hint="eastAsia" w:ascii="宋体" w:hAnsi="宋体" w:cs="宋体"/>
                <w:szCs w:val="21"/>
                <w:highlight w:val="none"/>
              </w:rPr>
              <w:t xml:space="preserve">。格式详见“第六章 投标文件格式”的格式9 </w:t>
            </w:r>
            <w:r>
              <w:rPr>
                <w:rFonts w:hint="eastAsia"/>
                <w:highlight w:val="none"/>
              </w:rPr>
              <w:t>投标人服务能力</w:t>
            </w:r>
            <w:r>
              <w:rPr>
                <w:rFonts w:hint="eastAsia" w:ascii="宋体" w:hAnsi="宋体" w:cs="宋体"/>
                <w:szCs w:val="21"/>
                <w:highlight w:val="none"/>
              </w:rPr>
              <w:t>。</w:t>
            </w:r>
          </w:p>
        </w:tc>
      </w:tr>
      <w:tr w14:paraId="32A05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0" w:hRule="atLeast"/>
          <w:jc w:val="center"/>
        </w:trPr>
        <w:tc>
          <w:tcPr>
            <w:tcW w:w="645" w:type="dxa"/>
            <w:vMerge w:val="continue"/>
            <w:vAlign w:val="center"/>
          </w:tcPr>
          <w:p w14:paraId="2735BF9C">
            <w:pPr>
              <w:widowControl/>
              <w:tabs>
                <w:tab w:val="left" w:pos="210"/>
                <w:tab w:val="left" w:pos="420"/>
              </w:tabs>
              <w:wordWrap w:val="0"/>
              <w:spacing w:line="360" w:lineRule="exact"/>
              <w:ind w:left="635"/>
              <w:jc w:val="center"/>
              <w:rPr>
                <w:rFonts w:ascii="宋体" w:hAnsi="宋体" w:cs="宋体"/>
                <w:bCs/>
                <w:szCs w:val="21"/>
                <w:highlight w:val="none"/>
              </w:rPr>
            </w:pPr>
          </w:p>
        </w:tc>
        <w:tc>
          <w:tcPr>
            <w:tcW w:w="965" w:type="dxa"/>
            <w:vMerge w:val="continue"/>
            <w:vAlign w:val="center"/>
          </w:tcPr>
          <w:p w14:paraId="2D81DD3B">
            <w:pPr>
              <w:widowControl/>
              <w:wordWrap w:val="0"/>
              <w:spacing w:line="360" w:lineRule="exact"/>
              <w:jc w:val="center"/>
              <w:rPr>
                <w:rFonts w:ascii="宋体" w:hAnsi="宋体" w:cs="宋体"/>
                <w:kern w:val="0"/>
                <w:szCs w:val="21"/>
                <w:highlight w:val="none"/>
                <w:lang w:bidi="ar"/>
              </w:rPr>
            </w:pPr>
          </w:p>
        </w:tc>
        <w:tc>
          <w:tcPr>
            <w:tcW w:w="1365" w:type="dxa"/>
            <w:shd w:val="clear" w:color="auto" w:fill="auto"/>
            <w:vAlign w:val="center"/>
          </w:tcPr>
          <w:p w14:paraId="08C5FFF4">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全国范围内中期票据累计总承销规模</w:t>
            </w:r>
          </w:p>
        </w:tc>
        <w:tc>
          <w:tcPr>
            <w:tcW w:w="795" w:type="dxa"/>
            <w:shd w:val="clear" w:color="auto" w:fill="auto"/>
            <w:vAlign w:val="center"/>
          </w:tcPr>
          <w:p w14:paraId="0D4D939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5808" w:type="dxa"/>
            <w:shd w:val="clear" w:color="auto" w:fill="auto"/>
            <w:vAlign w:val="center"/>
          </w:tcPr>
          <w:p w14:paraId="7699E800">
            <w:pPr>
              <w:rPr>
                <w:rFonts w:ascii="宋体" w:hAnsi="宋体" w:cs="宋体"/>
                <w:szCs w:val="21"/>
                <w:highlight w:val="none"/>
              </w:rPr>
            </w:pPr>
            <w:r>
              <w:rPr>
                <w:rFonts w:hint="eastAsia" w:ascii="宋体" w:hAnsi="宋体" w:cs="宋体"/>
                <w:szCs w:val="21"/>
                <w:highlight w:val="none"/>
              </w:rPr>
              <w:t>2023年1月1日至2024年9月30日在全国范围内作为主承销商的中期票据累计承销金额在银行中排名。（提供截图作为支撑文件并加盖公章）</w:t>
            </w:r>
          </w:p>
          <w:p w14:paraId="4FD698B3">
            <w:pPr>
              <w:rPr>
                <w:rFonts w:ascii="宋体" w:hAnsi="宋体" w:cs="宋体"/>
                <w:szCs w:val="21"/>
                <w:highlight w:val="none"/>
              </w:rPr>
            </w:pPr>
            <w:r>
              <w:rPr>
                <w:rFonts w:hint="eastAsia" w:ascii="宋体" w:hAnsi="宋体" w:cs="宋体"/>
                <w:szCs w:val="21"/>
                <w:highlight w:val="none"/>
              </w:rPr>
              <w:t>第1-3名得10分，第4-6名得6分，第7-9名得2分，第10名及以后的不得分。</w:t>
            </w:r>
          </w:p>
          <w:p w14:paraId="261482D2">
            <w:pPr>
              <w:rPr>
                <w:rFonts w:ascii="宋体" w:hAnsi="宋体" w:cs="宋体"/>
                <w:szCs w:val="21"/>
                <w:highlight w:val="none"/>
              </w:rPr>
            </w:pPr>
            <w:r>
              <w:rPr>
                <w:rFonts w:hint="eastAsia" w:ascii="宋体" w:hAnsi="宋体" w:cs="宋体"/>
                <w:szCs w:val="21"/>
                <w:highlight w:val="none"/>
              </w:rPr>
              <w:t>注：</w:t>
            </w:r>
            <w:r>
              <w:rPr>
                <w:rFonts w:hint="eastAsia" w:ascii="宋体" w:hAnsi="宋体" w:cs="宋体"/>
                <w:kern w:val="0"/>
                <w:szCs w:val="21"/>
                <w:highlight w:val="none"/>
                <w:lang w:bidi="ar"/>
              </w:rPr>
              <w:t>数据来源标准(仅以此来源为准)，须提供wind资讯--债券专题--一级市场--承销统计--债券承销排名(wind口径)--任意区间(2023年1月1日至2024年9月30日)--债券类型选择债券分类(NAFMII)分类项下的“中期票据(MTN)--概念板块不选--主体评级选“全部”--企业性质“全部”--地域分类“全国”--主体口径“穿透信用主体”--选择“合并母子公司口径”--点击提取数据，按“全国”的“地域承销商排名”承销规模排名</w:t>
            </w:r>
            <w:r>
              <w:rPr>
                <w:rFonts w:hint="eastAsia" w:ascii="宋体" w:hAnsi="宋体" w:cs="宋体"/>
                <w:szCs w:val="21"/>
                <w:highlight w:val="none"/>
              </w:rPr>
              <w:t xml:space="preserve">。格式详见“第六章 投标文件格式”的格式9 </w:t>
            </w:r>
            <w:r>
              <w:rPr>
                <w:rFonts w:hint="eastAsia"/>
                <w:highlight w:val="none"/>
              </w:rPr>
              <w:t>投标人服务能力</w:t>
            </w:r>
            <w:r>
              <w:rPr>
                <w:rFonts w:hint="eastAsia" w:ascii="宋体" w:hAnsi="宋体" w:cs="宋体"/>
                <w:szCs w:val="21"/>
                <w:highlight w:val="none"/>
              </w:rPr>
              <w:t>。</w:t>
            </w:r>
          </w:p>
        </w:tc>
      </w:tr>
      <w:tr w14:paraId="44F43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0" w:hRule="atLeast"/>
          <w:jc w:val="center"/>
        </w:trPr>
        <w:tc>
          <w:tcPr>
            <w:tcW w:w="645" w:type="dxa"/>
            <w:vMerge w:val="continue"/>
            <w:vAlign w:val="center"/>
          </w:tcPr>
          <w:p w14:paraId="16274FF1">
            <w:pPr>
              <w:widowControl/>
              <w:tabs>
                <w:tab w:val="left" w:pos="210"/>
                <w:tab w:val="left" w:pos="420"/>
              </w:tabs>
              <w:wordWrap w:val="0"/>
              <w:spacing w:line="360" w:lineRule="exact"/>
              <w:ind w:left="635"/>
              <w:jc w:val="center"/>
              <w:rPr>
                <w:rFonts w:ascii="宋体" w:hAnsi="宋体" w:cs="宋体"/>
                <w:bCs/>
                <w:szCs w:val="21"/>
                <w:highlight w:val="none"/>
              </w:rPr>
            </w:pPr>
          </w:p>
        </w:tc>
        <w:tc>
          <w:tcPr>
            <w:tcW w:w="965" w:type="dxa"/>
            <w:vMerge w:val="continue"/>
            <w:vAlign w:val="center"/>
          </w:tcPr>
          <w:p w14:paraId="385D0547">
            <w:pPr>
              <w:widowControl/>
              <w:wordWrap w:val="0"/>
              <w:spacing w:line="360" w:lineRule="exact"/>
              <w:jc w:val="center"/>
              <w:rPr>
                <w:rFonts w:ascii="宋体" w:hAnsi="宋体" w:cs="宋体"/>
                <w:kern w:val="0"/>
                <w:szCs w:val="21"/>
                <w:highlight w:val="none"/>
                <w:lang w:bidi="ar"/>
              </w:rPr>
            </w:pPr>
          </w:p>
        </w:tc>
        <w:tc>
          <w:tcPr>
            <w:tcW w:w="1365" w:type="dxa"/>
            <w:shd w:val="clear" w:color="auto" w:fill="auto"/>
            <w:vAlign w:val="center"/>
          </w:tcPr>
          <w:p w14:paraId="701429E2">
            <w:pPr>
              <w:widowControl/>
              <w:tabs>
                <w:tab w:val="left" w:pos="420"/>
                <w:tab w:val="left" w:pos="630"/>
              </w:tabs>
              <w:snapToGrid w:val="0"/>
              <w:spacing w:line="360" w:lineRule="auto"/>
              <w:jc w:val="center"/>
              <w:rPr>
                <w:rFonts w:ascii="宋体" w:hAnsi="宋体" w:cs="宋体"/>
                <w:szCs w:val="21"/>
                <w:highlight w:val="none"/>
              </w:rPr>
            </w:pPr>
            <w:r>
              <w:rPr>
                <w:rFonts w:hint="eastAsia" w:ascii="宋体" w:hAnsi="宋体" w:cs="宋体"/>
                <w:szCs w:val="21"/>
                <w:highlight w:val="none"/>
              </w:rPr>
              <w:t>广东省内中期票据累计总承销规模</w:t>
            </w:r>
          </w:p>
        </w:tc>
        <w:tc>
          <w:tcPr>
            <w:tcW w:w="795" w:type="dxa"/>
            <w:shd w:val="clear" w:color="auto" w:fill="auto"/>
            <w:vAlign w:val="center"/>
          </w:tcPr>
          <w:p w14:paraId="4B5C26A5">
            <w:pPr>
              <w:widowControl/>
              <w:tabs>
                <w:tab w:val="left" w:pos="420"/>
                <w:tab w:val="left" w:pos="630"/>
              </w:tabs>
              <w:snapToGrid w:val="0"/>
              <w:spacing w:line="360" w:lineRule="auto"/>
              <w:jc w:val="center"/>
              <w:rPr>
                <w:rFonts w:ascii="宋体" w:hAnsi="宋体" w:cs="宋体"/>
                <w:szCs w:val="21"/>
                <w:highlight w:val="none"/>
              </w:rPr>
            </w:pPr>
            <w:r>
              <w:rPr>
                <w:rFonts w:hint="eastAsia" w:ascii="宋体" w:hAnsi="宋体" w:cs="宋体"/>
                <w:szCs w:val="21"/>
                <w:highlight w:val="none"/>
              </w:rPr>
              <w:t>10</w:t>
            </w:r>
          </w:p>
        </w:tc>
        <w:tc>
          <w:tcPr>
            <w:tcW w:w="5808" w:type="dxa"/>
            <w:shd w:val="clear" w:color="auto" w:fill="auto"/>
            <w:vAlign w:val="center"/>
          </w:tcPr>
          <w:p w14:paraId="205E91ED">
            <w:pPr>
              <w:rPr>
                <w:rFonts w:ascii="宋体" w:hAnsi="宋体" w:cs="宋体"/>
                <w:szCs w:val="21"/>
                <w:highlight w:val="none"/>
              </w:rPr>
            </w:pPr>
            <w:r>
              <w:rPr>
                <w:rFonts w:hint="eastAsia" w:ascii="宋体" w:hAnsi="宋体" w:cs="宋体"/>
                <w:szCs w:val="21"/>
                <w:highlight w:val="none"/>
              </w:rPr>
              <w:t>2023年1月1日至2024年9月30日在广东省内作为主承销商的中期票据累计承销金额在银行中排名。（提供截图作为支撑文件并加盖公章）</w:t>
            </w:r>
          </w:p>
          <w:p w14:paraId="5482288B">
            <w:pPr>
              <w:rPr>
                <w:rFonts w:ascii="宋体" w:hAnsi="宋体" w:cs="宋体"/>
                <w:szCs w:val="21"/>
                <w:highlight w:val="none"/>
              </w:rPr>
            </w:pPr>
            <w:r>
              <w:rPr>
                <w:rFonts w:hint="eastAsia" w:ascii="宋体" w:hAnsi="宋体" w:cs="宋体"/>
                <w:szCs w:val="21"/>
                <w:highlight w:val="none"/>
              </w:rPr>
              <w:t>第1-4名得10分，第5-8名得6分，第9-12名得2分，第13名及以后的不得分。</w:t>
            </w:r>
          </w:p>
          <w:p w14:paraId="7C0AE093">
            <w:pPr>
              <w:rPr>
                <w:rFonts w:ascii="宋体" w:hAnsi="宋体" w:cs="宋体"/>
                <w:szCs w:val="21"/>
                <w:highlight w:val="none"/>
              </w:rPr>
            </w:pPr>
            <w:r>
              <w:rPr>
                <w:rFonts w:hint="eastAsia" w:ascii="宋体" w:hAnsi="宋体" w:cs="宋体"/>
                <w:szCs w:val="21"/>
                <w:highlight w:val="none"/>
              </w:rPr>
              <w:t>注：</w:t>
            </w:r>
            <w:r>
              <w:rPr>
                <w:rFonts w:hint="eastAsia" w:ascii="宋体" w:hAnsi="宋体" w:cs="宋体"/>
                <w:kern w:val="0"/>
                <w:szCs w:val="21"/>
                <w:highlight w:val="none"/>
                <w:lang w:bidi="ar"/>
              </w:rPr>
              <w:t>数据来源标准(仅以此来源为准)，须提供wind资讯--债券专题--一级市场--承销统计--债券承销排名(wind口径)--任意区间(2023年1月1日至2024年9月30日)--债券类型选择债券分类(NAFMII)分类项下的“中期票据(MTN)--概念板块不选--主体评级选“全部”--企业性质“全部”--地域分类“广东”--主体口径“穿透信用主体”--选择“合并母子公司口径”--点击提取数据，按“广东”的“地域承销商排名”承销规模排名。</w:t>
            </w:r>
            <w:r>
              <w:rPr>
                <w:rFonts w:hint="eastAsia" w:ascii="宋体" w:hAnsi="宋体" w:cs="宋体"/>
                <w:szCs w:val="21"/>
                <w:highlight w:val="none"/>
              </w:rPr>
              <w:t xml:space="preserve">格式详见“第六章 投标文件格式”的格式9 </w:t>
            </w:r>
            <w:r>
              <w:rPr>
                <w:rFonts w:hint="eastAsia"/>
                <w:highlight w:val="none"/>
              </w:rPr>
              <w:t>投标人服务能力</w:t>
            </w:r>
            <w:r>
              <w:rPr>
                <w:rFonts w:hint="eastAsia" w:ascii="宋体" w:hAnsi="宋体" w:cs="宋体"/>
                <w:szCs w:val="21"/>
                <w:highlight w:val="none"/>
              </w:rPr>
              <w:t>。</w:t>
            </w:r>
          </w:p>
        </w:tc>
      </w:tr>
      <w:tr w14:paraId="44AA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5" w:type="dxa"/>
            <w:vMerge w:val="continue"/>
            <w:vAlign w:val="center"/>
          </w:tcPr>
          <w:p w14:paraId="7974E3C4">
            <w:pPr>
              <w:widowControl/>
              <w:tabs>
                <w:tab w:val="left" w:pos="210"/>
                <w:tab w:val="left" w:pos="420"/>
              </w:tabs>
              <w:wordWrap w:val="0"/>
              <w:spacing w:line="360" w:lineRule="exact"/>
              <w:ind w:left="635"/>
              <w:jc w:val="center"/>
              <w:rPr>
                <w:rFonts w:ascii="宋体" w:hAnsi="宋体" w:cs="宋体"/>
                <w:bCs/>
                <w:szCs w:val="21"/>
                <w:highlight w:val="none"/>
              </w:rPr>
            </w:pPr>
          </w:p>
        </w:tc>
        <w:tc>
          <w:tcPr>
            <w:tcW w:w="965" w:type="dxa"/>
            <w:vMerge w:val="continue"/>
            <w:vAlign w:val="center"/>
          </w:tcPr>
          <w:p w14:paraId="2E373200">
            <w:pPr>
              <w:widowControl/>
              <w:wordWrap w:val="0"/>
              <w:spacing w:line="360" w:lineRule="exact"/>
              <w:jc w:val="center"/>
              <w:rPr>
                <w:rFonts w:ascii="宋体" w:hAnsi="宋体" w:cs="宋体"/>
                <w:kern w:val="0"/>
                <w:szCs w:val="21"/>
                <w:highlight w:val="none"/>
                <w:lang w:bidi="ar"/>
              </w:rPr>
            </w:pPr>
          </w:p>
        </w:tc>
        <w:tc>
          <w:tcPr>
            <w:tcW w:w="1365" w:type="dxa"/>
            <w:vMerge w:val="restart"/>
            <w:shd w:val="clear" w:color="auto" w:fill="auto"/>
            <w:vAlign w:val="center"/>
          </w:tcPr>
          <w:p w14:paraId="31819483">
            <w:pPr>
              <w:widowControl/>
              <w:tabs>
                <w:tab w:val="left" w:pos="420"/>
                <w:tab w:val="left" w:pos="630"/>
              </w:tabs>
              <w:snapToGrid w:val="0"/>
              <w:spacing w:line="360" w:lineRule="auto"/>
              <w:jc w:val="center"/>
              <w:rPr>
                <w:rFonts w:ascii="宋体" w:hAnsi="宋体" w:cs="宋体"/>
                <w:szCs w:val="21"/>
                <w:highlight w:val="none"/>
              </w:rPr>
            </w:pPr>
            <w:r>
              <w:rPr>
                <w:rFonts w:hint="eastAsia" w:ascii="宋体" w:hAnsi="宋体" w:cs="宋体"/>
                <w:kern w:val="0"/>
                <w:szCs w:val="21"/>
                <w:highlight w:val="none"/>
                <w:lang w:bidi="ar"/>
              </w:rPr>
              <w:t>注册发行服务方案</w:t>
            </w:r>
          </w:p>
        </w:tc>
        <w:tc>
          <w:tcPr>
            <w:tcW w:w="795" w:type="dxa"/>
            <w:shd w:val="clear" w:color="auto" w:fill="auto"/>
            <w:vAlign w:val="center"/>
          </w:tcPr>
          <w:p w14:paraId="2A4EA27D">
            <w:pPr>
              <w:widowControl/>
              <w:tabs>
                <w:tab w:val="left" w:pos="420"/>
                <w:tab w:val="left" w:pos="630"/>
              </w:tabs>
              <w:snapToGrid w:val="0"/>
              <w:spacing w:line="360" w:lineRule="auto"/>
              <w:jc w:val="center"/>
              <w:rPr>
                <w:rFonts w:ascii="宋体" w:hAnsi="宋体" w:cs="宋体"/>
                <w:szCs w:val="21"/>
                <w:highlight w:val="none"/>
              </w:rPr>
            </w:pPr>
            <w:r>
              <w:rPr>
                <w:rFonts w:hint="eastAsia" w:ascii="宋体" w:hAnsi="宋体" w:cs="宋体"/>
                <w:szCs w:val="21"/>
                <w:highlight w:val="none"/>
              </w:rPr>
              <w:t>16</w:t>
            </w:r>
          </w:p>
        </w:tc>
        <w:tc>
          <w:tcPr>
            <w:tcW w:w="5808" w:type="dxa"/>
            <w:shd w:val="clear" w:color="auto" w:fill="auto"/>
            <w:vAlign w:val="center"/>
          </w:tcPr>
          <w:p w14:paraId="3807AC0A">
            <w:pPr>
              <w:widowControl/>
              <w:numPr>
                <w:ilvl w:val="255"/>
                <w:numId w:val="0"/>
              </w:numPr>
              <w:wordWrap w:val="0"/>
              <w:snapToGrid w:val="0"/>
              <w:spacing w:line="360" w:lineRule="exact"/>
              <w:rPr>
                <w:rFonts w:ascii="宋体" w:hAnsi="宋体" w:cs="宋体"/>
                <w:szCs w:val="21"/>
                <w:highlight w:val="none"/>
              </w:rPr>
            </w:pPr>
            <w:r>
              <w:rPr>
                <w:rFonts w:hint="eastAsia" w:ascii="宋体" w:hAnsi="宋体" w:cs="宋体"/>
                <w:szCs w:val="21"/>
                <w:highlight w:val="none"/>
              </w:rPr>
              <w:t>根据投标人提供的服务方案(包括注册发行方案、工作进度及时间安排和支持保障措施)的合理性、专业性、可行性等以及投标人的综合服务能力进行综合评审:</w:t>
            </w:r>
          </w:p>
          <w:p w14:paraId="756B581D">
            <w:pPr>
              <w:widowControl/>
              <w:wordWrap w:val="0"/>
              <w:snapToGrid w:val="0"/>
              <w:spacing w:line="360" w:lineRule="exact"/>
              <w:rPr>
                <w:rFonts w:ascii="宋体" w:hAnsi="宋体" w:cs="宋体"/>
                <w:szCs w:val="21"/>
                <w:highlight w:val="none"/>
              </w:rPr>
            </w:pPr>
            <w:r>
              <w:rPr>
                <w:rFonts w:hint="eastAsia" w:ascii="宋体" w:hAnsi="宋体" w:cs="宋体"/>
                <w:szCs w:val="21"/>
                <w:highlight w:val="none"/>
              </w:rPr>
              <w:t xml:space="preserve">评分维度：                                       </w:t>
            </w:r>
          </w:p>
          <w:p w14:paraId="376BF8FE">
            <w:pPr>
              <w:widowControl/>
              <w:numPr>
                <w:ilvl w:val="0"/>
                <w:numId w:val="30"/>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 xml:space="preserve">服务方案的完整性、合理性及可行性等，工作进度及时间安排清晰且具有可操作性，并针对招标人的实际情况提出合理化的注册发行建议等； </w:t>
            </w:r>
          </w:p>
          <w:p w14:paraId="125D36B2">
            <w:pPr>
              <w:widowControl/>
              <w:numPr>
                <w:ilvl w:val="0"/>
                <w:numId w:val="30"/>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服务团队的专业配备情况、债券承销经验、与监管机构的沟通以及项目实施能力等；</w:t>
            </w:r>
          </w:p>
          <w:p w14:paraId="6E515D22">
            <w:pPr>
              <w:widowControl/>
              <w:numPr>
                <w:ilvl w:val="0"/>
                <w:numId w:val="30"/>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在降低成本和风险防范等发债相关事项方面的把控能力；</w:t>
            </w:r>
          </w:p>
          <w:p w14:paraId="6145D4FE">
            <w:pPr>
              <w:widowControl/>
              <w:numPr>
                <w:ilvl w:val="0"/>
                <w:numId w:val="30"/>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投标人提供服务的便捷性以及响应度，为招标人在债券存续期内提供持续的增值服务等。</w:t>
            </w:r>
          </w:p>
          <w:p w14:paraId="6A7E7570">
            <w:pPr>
              <w:widowControl/>
              <w:numPr>
                <w:ilvl w:val="255"/>
                <w:numId w:val="0"/>
              </w:numPr>
              <w:wordWrap w:val="0"/>
              <w:snapToGrid w:val="0"/>
              <w:spacing w:line="360" w:lineRule="exact"/>
              <w:rPr>
                <w:rFonts w:ascii="宋体" w:hAnsi="宋体" w:cs="宋体"/>
                <w:szCs w:val="21"/>
                <w:highlight w:val="none"/>
              </w:rPr>
            </w:pPr>
            <w:r>
              <w:rPr>
                <w:rFonts w:hint="eastAsia" w:ascii="宋体" w:hAnsi="宋体" w:cs="宋体"/>
                <w:szCs w:val="21"/>
                <w:highlight w:val="none"/>
              </w:rPr>
              <w:t>（优：13-16分、良;9-12分、合格：5-8分、差或不提供方案不得分）</w:t>
            </w:r>
          </w:p>
        </w:tc>
      </w:tr>
      <w:tr w14:paraId="37076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9" w:hRule="atLeast"/>
          <w:jc w:val="center"/>
        </w:trPr>
        <w:tc>
          <w:tcPr>
            <w:tcW w:w="645" w:type="dxa"/>
            <w:vMerge w:val="continue"/>
            <w:vAlign w:val="center"/>
          </w:tcPr>
          <w:p w14:paraId="6897B7C4">
            <w:pPr>
              <w:widowControl/>
              <w:tabs>
                <w:tab w:val="left" w:pos="210"/>
                <w:tab w:val="left" w:pos="420"/>
              </w:tabs>
              <w:wordWrap w:val="0"/>
              <w:spacing w:line="360" w:lineRule="exact"/>
              <w:ind w:left="635"/>
              <w:jc w:val="center"/>
              <w:rPr>
                <w:rFonts w:ascii="宋体" w:hAnsi="宋体" w:cs="宋体"/>
                <w:bCs/>
                <w:szCs w:val="21"/>
                <w:highlight w:val="none"/>
              </w:rPr>
            </w:pPr>
          </w:p>
        </w:tc>
        <w:tc>
          <w:tcPr>
            <w:tcW w:w="965" w:type="dxa"/>
            <w:vMerge w:val="continue"/>
            <w:vAlign w:val="center"/>
          </w:tcPr>
          <w:p w14:paraId="2D75B15D">
            <w:pPr>
              <w:widowControl/>
              <w:wordWrap w:val="0"/>
              <w:spacing w:line="360" w:lineRule="exact"/>
              <w:jc w:val="center"/>
              <w:rPr>
                <w:rFonts w:ascii="宋体" w:hAnsi="宋体" w:cs="宋体"/>
                <w:kern w:val="0"/>
                <w:szCs w:val="21"/>
                <w:highlight w:val="none"/>
                <w:lang w:bidi="ar"/>
              </w:rPr>
            </w:pPr>
          </w:p>
        </w:tc>
        <w:tc>
          <w:tcPr>
            <w:tcW w:w="1365" w:type="dxa"/>
            <w:vMerge w:val="continue"/>
            <w:shd w:val="clear" w:color="auto" w:fill="auto"/>
            <w:vAlign w:val="center"/>
          </w:tcPr>
          <w:p w14:paraId="66CE1BA9">
            <w:pPr>
              <w:widowControl/>
              <w:tabs>
                <w:tab w:val="left" w:pos="420"/>
                <w:tab w:val="left" w:pos="630"/>
              </w:tabs>
              <w:snapToGrid w:val="0"/>
              <w:spacing w:line="360" w:lineRule="auto"/>
              <w:jc w:val="center"/>
              <w:rPr>
                <w:rFonts w:ascii="宋体" w:hAnsi="宋体" w:cs="宋体"/>
                <w:szCs w:val="21"/>
                <w:highlight w:val="none"/>
              </w:rPr>
            </w:pPr>
          </w:p>
        </w:tc>
        <w:tc>
          <w:tcPr>
            <w:tcW w:w="795" w:type="dxa"/>
            <w:shd w:val="clear" w:color="auto" w:fill="auto"/>
            <w:vAlign w:val="center"/>
          </w:tcPr>
          <w:p w14:paraId="3C43972C">
            <w:pPr>
              <w:widowControl/>
              <w:tabs>
                <w:tab w:val="left" w:pos="420"/>
                <w:tab w:val="left" w:pos="630"/>
              </w:tabs>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5808" w:type="dxa"/>
            <w:shd w:val="clear" w:color="auto" w:fill="auto"/>
            <w:vAlign w:val="center"/>
          </w:tcPr>
          <w:p w14:paraId="1EAF2D6B">
            <w:pPr>
              <w:widowControl/>
              <w:wordWrap w:val="0"/>
              <w:snapToGrid w:val="0"/>
              <w:spacing w:line="360" w:lineRule="exact"/>
              <w:rPr>
                <w:rFonts w:ascii="宋体" w:hAnsi="宋体" w:cs="宋体"/>
                <w:szCs w:val="21"/>
                <w:highlight w:val="none"/>
              </w:rPr>
            </w:pPr>
            <w:r>
              <w:rPr>
                <w:rFonts w:hint="eastAsia" w:ascii="宋体" w:hAnsi="宋体" w:cs="宋体"/>
                <w:szCs w:val="21"/>
                <w:highlight w:val="none"/>
              </w:rPr>
              <w:t>一级分行设在南海区的，得4分。</w:t>
            </w:r>
          </w:p>
          <w:p w14:paraId="596C8763">
            <w:pPr>
              <w:widowControl/>
              <w:wordWrap w:val="0"/>
              <w:snapToGrid w:val="0"/>
              <w:spacing w:line="360" w:lineRule="exact"/>
              <w:rPr>
                <w:rFonts w:ascii="宋体" w:hAnsi="宋体" w:cs="宋体"/>
                <w:szCs w:val="21"/>
                <w:highlight w:val="none"/>
              </w:rPr>
            </w:pPr>
            <w:r>
              <w:rPr>
                <w:rFonts w:hint="eastAsia" w:ascii="宋体" w:hAnsi="宋体" w:cs="宋体"/>
                <w:szCs w:val="21"/>
                <w:highlight w:val="none"/>
              </w:rPr>
              <w:t xml:space="preserve">注：国家金融监管总局金融许可信息网（https://xkz.cbirc.gov.cn/jr/）——“机构名称”输入投标人总行名称——“机构类型”第一、二个选项按投标人实际金融类别和银行类别填写，第三个选项机构层级选择：“一级分行”——“机构地址”输入南海区点击查询，提供截图查询情况作为支撑文件并加盖公章。格式详见“第六章 投标文件格式”的格式9 </w:t>
            </w:r>
            <w:r>
              <w:rPr>
                <w:rFonts w:hint="eastAsia"/>
                <w:highlight w:val="none"/>
              </w:rPr>
              <w:t>投标人服务能力</w:t>
            </w:r>
            <w:r>
              <w:rPr>
                <w:rFonts w:hint="eastAsia" w:ascii="宋体" w:hAnsi="宋体" w:cs="宋体"/>
                <w:szCs w:val="21"/>
                <w:highlight w:val="none"/>
              </w:rPr>
              <w:t>。</w:t>
            </w:r>
          </w:p>
        </w:tc>
      </w:tr>
      <w:tr w14:paraId="4D878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645" w:type="dxa"/>
            <w:vMerge w:val="restart"/>
            <w:vAlign w:val="center"/>
          </w:tcPr>
          <w:p w14:paraId="2114F0FC">
            <w:pPr>
              <w:widowControl/>
              <w:numPr>
                <w:ilvl w:val="0"/>
                <w:numId w:val="28"/>
              </w:numPr>
              <w:tabs>
                <w:tab w:val="left" w:pos="210"/>
              </w:tabs>
              <w:wordWrap w:val="0"/>
              <w:spacing w:line="360" w:lineRule="exact"/>
              <w:ind w:left="635"/>
              <w:jc w:val="center"/>
              <w:rPr>
                <w:rFonts w:ascii="宋体" w:hAnsi="宋体" w:cs="宋体"/>
                <w:bCs/>
                <w:szCs w:val="21"/>
                <w:highlight w:val="none"/>
              </w:rPr>
            </w:pPr>
          </w:p>
        </w:tc>
        <w:tc>
          <w:tcPr>
            <w:tcW w:w="965" w:type="dxa"/>
            <w:vMerge w:val="restart"/>
            <w:vAlign w:val="center"/>
          </w:tcPr>
          <w:p w14:paraId="51A8CCF2">
            <w:pPr>
              <w:widowControl/>
              <w:wordWrap w:val="0"/>
              <w:spacing w:line="360" w:lineRule="exact"/>
              <w:jc w:val="center"/>
              <w:rPr>
                <w:rFonts w:ascii="宋体" w:hAnsi="宋体" w:cs="宋体"/>
                <w:bCs/>
                <w:szCs w:val="21"/>
                <w:highlight w:val="none"/>
              </w:rPr>
            </w:pPr>
            <w:r>
              <w:rPr>
                <w:rFonts w:hint="eastAsia" w:ascii="宋体" w:hAnsi="宋体" w:cs="宋体"/>
                <w:szCs w:val="21"/>
                <w:highlight w:val="none"/>
              </w:rPr>
              <w:t>合作支持</w:t>
            </w:r>
          </w:p>
        </w:tc>
        <w:tc>
          <w:tcPr>
            <w:tcW w:w="1365" w:type="dxa"/>
            <w:vMerge w:val="restart"/>
            <w:vAlign w:val="center"/>
          </w:tcPr>
          <w:p w14:paraId="1035BB11">
            <w:pPr>
              <w:widowControl/>
              <w:wordWrap w:val="0"/>
              <w:spacing w:line="360" w:lineRule="exact"/>
              <w:jc w:val="center"/>
              <w:rPr>
                <w:rFonts w:ascii="宋体" w:hAnsi="宋体" w:cs="宋体"/>
                <w:szCs w:val="21"/>
                <w:highlight w:val="none"/>
              </w:rPr>
            </w:pPr>
            <w:r>
              <w:rPr>
                <w:rFonts w:hint="eastAsia" w:ascii="宋体" w:hAnsi="宋体" w:cs="宋体"/>
                <w:kern w:val="0"/>
                <w:szCs w:val="21"/>
                <w:highlight w:val="none"/>
                <w:lang w:bidi="ar"/>
              </w:rPr>
              <w:t>对招标人融资支持情况</w:t>
            </w:r>
          </w:p>
        </w:tc>
        <w:tc>
          <w:tcPr>
            <w:tcW w:w="795" w:type="dxa"/>
            <w:vAlign w:val="center"/>
          </w:tcPr>
          <w:p w14:paraId="7FE2D2E0">
            <w:pPr>
              <w:widowControl/>
              <w:wordWrap w:val="0"/>
              <w:spacing w:line="360" w:lineRule="exact"/>
              <w:jc w:val="center"/>
              <w:rPr>
                <w:rFonts w:ascii="宋体" w:hAnsi="宋体" w:cs="宋体"/>
                <w:bCs/>
                <w:szCs w:val="21"/>
                <w:highlight w:val="none"/>
              </w:rPr>
            </w:pPr>
            <w:r>
              <w:rPr>
                <w:rFonts w:hint="eastAsia" w:ascii="宋体" w:hAnsi="宋体" w:cs="宋体"/>
                <w:szCs w:val="21"/>
                <w:highlight w:val="none"/>
              </w:rPr>
              <w:t>5</w:t>
            </w:r>
          </w:p>
        </w:tc>
        <w:tc>
          <w:tcPr>
            <w:tcW w:w="5808" w:type="dxa"/>
            <w:vAlign w:val="center"/>
          </w:tcPr>
          <w:p w14:paraId="60683018">
            <w:pPr>
              <w:widowControl/>
              <w:wordWrap w:val="0"/>
              <w:snapToGrid w:val="0"/>
              <w:spacing w:line="360" w:lineRule="exact"/>
              <w:rPr>
                <w:rFonts w:ascii="宋体" w:hAnsi="宋体" w:cs="宋体"/>
                <w:szCs w:val="21"/>
                <w:highlight w:val="none"/>
              </w:rPr>
            </w:pPr>
            <w:r>
              <w:rPr>
                <w:rFonts w:hint="eastAsia" w:ascii="宋体" w:hAnsi="宋体" w:cs="宋体"/>
                <w:szCs w:val="21"/>
                <w:highlight w:val="none"/>
              </w:rPr>
              <w:t>2019年1月1日至今，投标人对招标人及招标人属下非上市公司的贷款支持（以实际提款金额为准）：</w:t>
            </w:r>
          </w:p>
          <w:p w14:paraId="219CE54A">
            <w:pPr>
              <w:widowControl/>
              <w:wordWrap w:val="0"/>
              <w:snapToGrid w:val="0"/>
              <w:spacing w:line="360" w:lineRule="exact"/>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实际提款金额≥3亿元，得5分；</w:t>
            </w:r>
          </w:p>
          <w:p w14:paraId="76323C90">
            <w:pPr>
              <w:widowControl/>
              <w:wordWrap w:val="0"/>
              <w:snapToGrid w:val="0"/>
              <w:spacing w:line="360" w:lineRule="exac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2亿元≤实际提款金额＜3亿元，得3分；</w:t>
            </w:r>
          </w:p>
          <w:p w14:paraId="554FEBDB">
            <w:pPr>
              <w:widowControl/>
              <w:wordWrap w:val="0"/>
              <w:snapToGrid w:val="0"/>
              <w:spacing w:line="360" w:lineRule="exact"/>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1亿元≤实际提款金额＜2亿元，得1分；</w:t>
            </w:r>
          </w:p>
          <w:p w14:paraId="2D8CCFC3">
            <w:pPr>
              <w:widowControl/>
              <w:wordWrap w:val="0"/>
              <w:snapToGrid w:val="0"/>
              <w:spacing w:line="360" w:lineRule="exact"/>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实际提款金额＜1亿元，不得分。</w:t>
            </w:r>
          </w:p>
          <w:p w14:paraId="3B3473EE">
            <w:pPr>
              <w:widowControl/>
              <w:wordWrap w:val="0"/>
              <w:snapToGrid w:val="0"/>
              <w:spacing w:line="360" w:lineRule="exact"/>
              <w:rPr>
                <w:rFonts w:ascii="宋体" w:hAnsi="宋体" w:cs="宋体"/>
                <w:bCs/>
                <w:szCs w:val="21"/>
                <w:highlight w:val="none"/>
              </w:rPr>
            </w:pPr>
            <w:r>
              <w:rPr>
                <w:rFonts w:hint="eastAsia" w:ascii="宋体" w:hAnsi="宋体" w:cs="宋体"/>
                <w:szCs w:val="21"/>
                <w:highlight w:val="none"/>
              </w:rPr>
              <w:t>注：</w:t>
            </w:r>
            <w:bookmarkStart w:id="47" w:name="OLE_LINK2"/>
            <w:r>
              <w:rPr>
                <w:rFonts w:hint="eastAsia" w:ascii="宋体" w:hAnsi="宋体" w:cs="宋体"/>
                <w:szCs w:val="21"/>
                <w:highlight w:val="none"/>
              </w:rPr>
              <w:t>提供贷款支持情况明细表（格式自拟）及相关材料，并加盖公章。</w:t>
            </w:r>
            <w:bookmarkEnd w:id="47"/>
            <w:r>
              <w:rPr>
                <w:rFonts w:hint="eastAsia" w:ascii="宋体" w:hAnsi="宋体" w:cs="宋体"/>
                <w:szCs w:val="21"/>
                <w:highlight w:val="none"/>
              </w:rPr>
              <w:t>格式详见“第六章 投标文件格式”的格式10</w:t>
            </w:r>
            <w:r>
              <w:rPr>
                <w:rFonts w:hint="eastAsia" w:ascii="宋体" w:hAnsi="宋体" w:cs="宋体"/>
                <w:szCs w:val="21"/>
                <w:highlight w:val="none"/>
                <w:lang w:val="en-US" w:eastAsia="zh-CN"/>
              </w:rPr>
              <w:t xml:space="preserve"> </w:t>
            </w:r>
            <w:r>
              <w:rPr>
                <w:rFonts w:hint="eastAsia" w:ascii="宋体" w:hAnsi="宋体" w:cs="宋体"/>
                <w:szCs w:val="21"/>
                <w:highlight w:val="none"/>
              </w:rPr>
              <w:t>合作支持。</w:t>
            </w:r>
          </w:p>
        </w:tc>
      </w:tr>
      <w:tr w14:paraId="245B8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3" w:hRule="atLeast"/>
          <w:jc w:val="center"/>
        </w:trPr>
        <w:tc>
          <w:tcPr>
            <w:tcW w:w="645" w:type="dxa"/>
            <w:vMerge w:val="continue"/>
            <w:vAlign w:val="center"/>
          </w:tcPr>
          <w:p w14:paraId="614988C8">
            <w:pPr>
              <w:widowControl/>
              <w:wordWrap w:val="0"/>
              <w:spacing w:line="360" w:lineRule="exact"/>
              <w:rPr>
                <w:rFonts w:ascii="宋体" w:hAnsi="宋体" w:cs="宋体"/>
                <w:szCs w:val="21"/>
                <w:highlight w:val="none"/>
              </w:rPr>
            </w:pPr>
          </w:p>
        </w:tc>
        <w:tc>
          <w:tcPr>
            <w:tcW w:w="965" w:type="dxa"/>
            <w:vMerge w:val="continue"/>
            <w:vAlign w:val="center"/>
          </w:tcPr>
          <w:p w14:paraId="72F4EE02">
            <w:pPr>
              <w:widowControl/>
              <w:wordWrap w:val="0"/>
              <w:spacing w:line="360" w:lineRule="exact"/>
              <w:jc w:val="center"/>
              <w:rPr>
                <w:rFonts w:ascii="宋体" w:hAnsi="宋体" w:cs="宋体"/>
                <w:szCs w:val="21"/>
                <w:highlight w:val="none"/>
              </w:rPr>
            </w:pPr>
          </w:p>
        </w:tc>
        <w:tc>
          <w:tcPr>
            <w:tcW w:w="1365" w:type="dxa"/>
            <w:vMerge w:val="continue"/>
            <w:vAlign w:val="center"/>
          </w:tcPr>
          <w:p w14:paraId="3419D71B">
            <w:pPr>
              <w:widowControl/>
              <w:wordWrap w:val="0"/>
              <w:spacing w:line="360" w:lineRule="exact"/>
              <w:jc w:val="center"/>
              <w:rPr>
                <w:rFonts w:ascii="宋体" w:hAnsi="宋体" w:cs="宋体"/>
                <w:szCs w:val="21"/>
                <w:highlight w:val="none"/>
              </w:rPr>
            </w:pPr>
          </w:p>
        </w:tc>
        <w:tc>
          <w:tcPr>
            <w:tcW w:w="795" w:type="dxa"/>
            <w:vAlign w:val="center"/>
          </w:tcPr>
          <w:p w14:paraId="3581BE64">
            <w:pPr>
              <w:widowControl/>
              <w:wordWrap w:val="0"/>
              <w:spacing w:line="360" w:lineRule="exact"/>
              <w:jc w:val="center"/>
              <w:rPr>
                <w:rFonts w:ascii="宋体" w:hAnsi="宋体" w:cs="宋体"/>
                <w:szCs w:val="21"/>
                <w:highlight w:val="none"/>
              </w:rPr>
            </w:pPr>
            <w:r>
              <w:rPr>
                <w:rFonts w:hint="eastAsia" w:ascii="宋体" w:hAnsi="宋体" w:cs="宋体"/>
                <w:szCs w:val="21"/>
                <w:highlight w:val="none"/>
              </w:rPr>
              <w:t>15</w:t>
            </w:r>
          </w:p>
        </w:tc>
        <w:tc>
          <w:tcPr>
            <w:tcW w:w="5808" w:type="dxa"/>
            <w:vAlign w:val="center"/>
          </w:tcPr>
          <w:p w14:paraId="3957E766">
            <w:pPr>
              <w:widowControl/>
              <w:wordWrap w:val="0"/>
              <w:snapToGrid w:val="0"/>
              <w:spacing w:line="360" w:lineRule="exact"/>
              <w:rPr>
                <w:rFonts w:ascii="宋体" w:hAnsi="宋体" w:cs="宋体"/>
                <w:szCs w:val="21"/>
                <w:highlight w:val="none"/>
              </w:rPr>
            </w:pPr>
            <w:r>
              <w:rPr>
                <w:rFonts w:hint="eastAsia" w:ascii="宋体" w:hAnsi="宋体" w:cs="宋体"/>
                <w:szCs w:val="21"/>
                <w:highlight w:val="none"/>
              </w:rPr>
              <w:t>2019年1月1日至今，投标人及投标人所属集团内其他企业</w:t>
            </w:r>
            <w:r>
              <w:rPr>
                <w:rFonts w:hint="eastAsia" w:ascii="宋体" w:hAnsi="宋体" w:cs="宋体"/>
                <w:szCs w:val="21"/>
                <w:highlight w:val="none"/>
                <w:lang w:eastAsia="zh-CN"/>
              </w:rPr>
              <w:t>直接或委托第三方</w:t>
            </w:r>
            <w:r>
              <w:rPr>
                <w:rFonts w:hint="eastAsia" w:ascii="宋体" w:hAnsi="宋体" w:cs="宋体"/>
                <w:szCs w:val="21"/>
                <w:highlight w:val="none"/>
              </w:rPr>
              <w:t>对招标人以往发行债券的认购支持（以中标金额为准）：</w:t>
            </w:r>
          </w:p>
          <w:p w14:paraId="33AB23E8">
            <w:pPr>
              <w:widowControl/>
              <w:numPr>
                <w:ilvl w:val="0"/>
                <w:numId w:val="31"/>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中标金额≥5亿元，得15分；</w:t>
            </w:r>
          </w:p>
          <w:p w14:paraId="45E894B8">
            <w:pPr>
              <w:widowControl/>
              <w:numPr>
                <w:ilvl w:val="0"/>
                <w:numId w:val="31"/>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4亿元≤中标金额＜5亿元，得12分；</w:t>
            </w:r>
          </w:p>
          <w:p w14:paraId="4ECA37D4">
            <w:pPr>
              <w:widowControl/>
              <w:numPr>
                <w:ilvl w:val="0"/>
                <w:numId w:val="31"/>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3亿元≤中标金额＜4亿元，得8分；</w:t>
            </w:r>
          </w:p>
          <w:p w14:paraId="11FC1206">
            <w:pPr>
              <w:widowControl/>
              <w:numPr>
                <w:ilvl w:val="0"/>
                <w:numId w:val="31"/>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2亿元≤中标金额＜3亿元，得4分；</w:t>
            </w:r>
          </w:p>
          <w:p w14:paraId="328950EB">
            <w:pPr>
              <w:widowControl/>
              <w:numPr>
                <w:ilvl w:val="0"/>
                <w:numId w:val="31"/>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1亿元≤中标金额＜2亿元，得2分；</w:t>
            </w:r>
          </w:p>
          <w:p w14:paraId="19E49C00">
            <w:pPr>
              <w:widowControl/>
              <w:numPr>
                <w:ilvl w:val="0"/>
                <w:numId w:val="31"/>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2000万元≤中标金额＜1亿元，得1分；</w:t>
            </w:r>
          </w:p>
          <w:p w14:paraId="147EF3FD">
            <w:pPr>
              <w:widowControl/>
              <w:numPr>
                <w:ilvl w:val="0"/>
                <w:numId w:val="31"/>
              </w:numPr>
              <w:wordWrap w:val="0"/>
              <w:snapToGrid w:val="0"/>
              <w:spacing w:line="360" w:lineRule="exact"/>
              <w:ind w:firstLine="0"/>
              <w:rPr>
                <w:rFonts w:ascii="宋体" w:hAnsi="宋体" w:cs="宋体"/>
                <w:szCs w:val="21"/>
                <w:highlight w:val="none"/>
              </w:rPr>
            </w:pPr>
            <w:r>
              <w:rPr>
                <w:rFonts w:hint="eastAsia" w:ascii="宋体" w:hAnsi="宋体" w:cs="宋体"/>
                <w:szCs w:val="21"/>
                <w:highlight w:val="none"/>
              </w:rPr>
              <w:t>中标金额＜2000万元，不得分。</w:t>
            </w:r>
          </w:p>
          <w:p w14:paraId="064112E0">
            <w:pPr>
              <w:widowControl/>
              <w:wordWrap w:val="0"/>
              <w:snapToGrid w:val="0"/>
              <w:spacing w:line="360" w:lineRule="exact"/>
              <w:rPr>
                <w:rFonts w:ascii="宋体" w:hAnsi="宋体" w:cs="宋体"/>
                <w:bCs/>
                <w:szCs w:val="21"/>
                <w:highlight w:val="none"/>
              </w:rPr>
            </w:pPr>
            <w:r>
              <w:rPr>
                <w:rFonts w:hint="eastAsia" w:ascii="宋体" w:hAnsi="宋体" w:cs="宋体"/>
                <w:szCs w:val="21"/>
                <w:highlight w:val="none"/>
              </w:rPr>
              <w:t>注：提供认购债券中标情况明细表（格式自拟）及相关材料，并加盖公章。格式详见“第六章 投标文件格式”的格式10 合作支持。</w:t>
            </w:r>
          </w:p>
        </w:tc>
      </w:tr>
    </w:tbl>
    <w:p w14:paraId="51454C47">
      <w:pPr>
        <w:snapToGrid w:val="0"/>
        <w:spacing w:line="360" w:lineRule="auto"/>
        <w:ind w:firstLine="105" w:firstLineChars="50"/>
        <w:rPr>
          <w:rFonts w:ascii="宋体" w:hAnsi="宋体" w:cs="宋体"/>
          <w:snapToGrid w:val="0"/>
          <w:kern w:val="0"/>
          <w:szCs w:val="21"/>
          <w:highlight w:val="none"/>
        </w:rPr>
      </w:pPr>
      <w:r>
        <w:rPr>
          <w:rFonts w:hint="eastAsia" w:ascii="宋体" w:hAnsi="宋体" w:cs="宋体"/>
          <w:snapToGrid w:val="0"/>
          <w:kern w:val="0"/>
          <w:szCs w:val="21"/>
          <w:highlight w:val="none"/>
        </w:rPr>
        <w:t>备注：</w:t>
      </w:r>
    </w:p>
    <w:p w14:paraId="6C50CB62">
      <w:pPr>
        <w:numPr>
          <w:ilvl w:val="0"/>
          <w:numId w:val="32"/>
        </w:numPr>
        <w:snapToGrid w:val="0"/>
        <w:spacing w:line="360" w:lineRule="auto"/>
        <w:rPr>
          <w:rFonts w:ascii="宋体" w:hAnsi="宋体" w:cs="宋体"/>
          <w:bCs/>
          <w:szCs w:val="21"/>
          <w:highlight w:val="none"/>
        </w:rPr>
      </w:pPr>
      <w:r>
        <w:rPr>
          <w:rFonts w:hint="eastAsia" w:ascii="宋体" w:hAnsi="宋体" w:cs="宋体"/>
          <w:bCs/>
          <w:szCs w:val="21"/>
          <w:highlight w:val="none"/>
        </w:rPr>
        <w:t>招标文件要求提交的与评价指标体系相关的各类有效资料，投标人如未按要求提交的，该项评分为零分。</w:t>
      </w:r>
    </w:p>
    <w:p w14:paraId="19BBD980">
      <w:pPr>
        <w:numPr>
          <w:ilvl w:val="0"/>
          <w:numId w:val="32"/>
        </w:numPr>
        <w:snapToGrid w:val="0"/>
        <w:spacing w:line="360" w:lineRule="auto"/>
        <w:rPr>
          <w:rFonts w:ascii="宋体" w:hAnsi="宋体" w:cs="宋体"/>
          <w:bCs/>
          <w:szCs w:val="21"/>
          <w:highlight w:val="none"/>
        </w:rPr>
      </w:pPr>
      <w:r>
        <w:rPr>
          <w:rFonts w:hint="eastAsia" w:ascii="宋体" w:hAnsi="宋体" w:cs="宋体"/>
          <w:bCs/>
          <w:szCs w:val="21"/>
          <w:highlight w:val="none"/>
        </w:rPr>
        <w:t>技术、商务评分：所有评委评分分值的算术平均值</w:t>
      </w:r>
      <w:bookmarkStart w:id="48" w:name="OLE_LINK4"/>
      <w:r>
        <w:rPr>
          <w:rFonts w:hint="eastAsia" w:ascii="宋体" w:hAnsi="宋体" w:cs="宋体"/>
          <w:bCs/>
          <w:szCs w:val="21"/>
          <w:highlight w:val="none"/>
        </w:rPr>
        <w:t>（四舍五入后，</w:t>
      </w:r>
      <w:r>
        <w:rPr>
          <w:rFonts w:hint="eastAsia" w:ascii="宋体" w:hAnsi="宋体" w:cs="宋体"/>
          <w:szCs w:val="21"/>
          <w:highlight w:val="none"/>
        </w:rPr>
        <w:t>小数点后保留两位有效数</w:t>
      </w:r>
      <w:r>
        <w:rPr>
          <w:rFonts w:hint="eastAsia" w:ascii="宋体" w:hAnsi="宋体" w:cs="宋体"/>
          <w:bCs/>
          <w:szCs w:val="21"/>
          <w:highlight w:val="none"/>
        </w:rPr>
        <w:t>）</w:t>
      </w:r>
      <w:bookmarkEnd w:id="48"/>
      <w:r>
        <w:rPr>
          <w:rFonts w:hint="eastAsia" w:ascii="宋体" w:hAnsi="宋体" w:cs="宋体"/>
          <w:bCs/>
          <w:szCs w:val="21"/>
          <w:highlight w:val="none"/>
        </w:rPr>
        <w:t>。</w:t>
      </w:r>
    </w:p>
    <w:p w14:paraId="3079B218">
      <w:pPr>
        <w:snapToGrid w:val="0"/>
        <w:spacing w:line="360" w:lineRule="auto"/>
        <w:ind w:firstLine="525" w:firstLineChars="250"/>
        <w:rPr>
          <w:rFonts w:ascii="宋体" w:hAnsi="宋体" w:cs="宋体"/>
          <w:bCs/>
          <w:szCs w:val="21"/>
          <w:highlight w:val="none"/>
        </w:rPr>
        <w:sectPr>
          <w:pgSz w:w="11906" w:h="16838"/>
          <w:pgMar w:top="1440" w:right="1286" w:bottom="1440" w:left="1440" w:header="851" w:footer="992" w:gutter="0"/>
          <w:cols w:space="720" w:num="1"/>
          <w:docGrid w:type="lines" w:linePitch="312" w:charSpace="0"/>
        </w:sectPr>
      </w:pPr>
    </w:p>
    <w:p w14:paraId="5B5F57DC">
      <w:pPr>
        <w:adjustRightInd w:val="0"/>
        <w:snapToGrid w:val="0"/>
        <w:spacing w:before="156" w:beforeLines="50" w:after="156" w:afterLines="50" w:line="360" w:lineRule="auto"/>
        <w:jc w:val="center"/>
        <w:rPr>
          <w:rFonts w:ascii="黑体" w:hAnsi="宋体" w:eastAsia="黑体" w:cs="宋体"/>
          <w:sz w:val="28"/>
          <w:szCs w:val="28"/>
          <w:highlight w:val="none"/>
        </w:rPr>
      </w:pPr>
      <w:bookmarkStart w:id="49" w:name="_Toc355879665"/>
      <w:r>
        <w:rPr>
          <w:rFonts w:hint="eastAsia" w:ascii="黑体" w:hAnsi="宋体" w:eastAsia="黑体" w:cs="宋体"/>
          <w:sz w:val="28"/>
          <w:szCs w:val="28"/>
          <w:highlight w:val="none"/>
        </w:rPr>
        <w:t>价 格 评 分 表</w:t>
      </w:r>
    </w:p>
    <w:p w14:paraId="0C43A967">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黑体" w:hAnsi="宋体" w:eastAsia="黑体" w:cs="宋体"/>
          <w:sz w:val="28"/>
          <w:szCs w:val="28"/>
          <w:highlight w:val="none"/>
        </w:rPr>
        <w:t>（15分）</w:t>
      </w:r>
    </w:p>
    <w:p w14:paraId="0AC74A68">
      <w:pPr>
        <w:wordWrap w:val="0"/>
        <w:snapToGrid w:val="0"/>
        <w:spacing w:line="480" w:lineRule="auto"/>
        <w:ind w:firstLine="422" w:firstLineChars="200"/>
        <w:rPr>
          <w:rFonts w:ascii="宋体" w:hAnsi="宋体"/>
          <w:b/>
          <w:bCs/>
          <w:szCs w:val="21"/>
          <w:highlight w:val="none"/>
        </w:rPr>
      </w:pPr>
      <w:r>
        <w:rPr>
          <w:rFonts w:hint="eastAsia" w:ascii="宋体" w:hAnsi="宋体"/>
          <w:b/>
          <w:bCs/>
          <w:szCs w:val="21"/>
          <w:highlight w:val="none"/>
        </w:rPr>
        <w:t>价格分计算方法：满足采购文件要求且投标价格最低的投标报价为评标基准价，其价格分为满分（15分）。其他投标人的价格分统一按照下列公式计算：</w:t>
      </w:r>
    </w:p>
    <w:p w14:paraId="56AA8271">
      <w:pPr>
        <w:wordWrap w:val="0"/>
        <w:snapToGrid w:val="0"/>
        <w:spacing w:line="480" w:lineRule="auto"/>
        <w:jc w:val="center"/>
        <w:rPr>
          <w:rFonts w:ascii="宋体" w:hAnsi="宋体"/>
          <w:b/>
          <w:bCs/>
          <w:szCs w:val="21"/>
          <w:highlight w:val="none"/>
        </w:rPr>
      </w:pPr>
      <w:r>
        <w:rPr>
          <w:rFonts w:hint="eastAsia" w:ascii="宋体" w:hAnsi="宋体"/>
          <w:b/>
          <w:bCs/>
          <w:szCs w:val="21"/>
          <w:highlight w:val="none"/>
        </w:rPr>
        <w:t>投标报价得分=(评标基准价／投标报价)×价格权重</w:t>
      </w:r>
    </w:p>
    <w:p w14:paraId="18EF8583">
      <w:pPr>
        <w:wordWrap w:val="0"/>
        <w:snapToGrid w:val="0"/>
        <w:spacing w:line="480" w:lineRule="auto"/>
        <w:ind w:firstLine="422" w:firstLineChars="200"/>
        <w:rPr>
          <w:rFonts w:ascii="宋体" w:hAnsi="宋体"/>
          <w:b/>
          <w:bCs/>
          <w:szCs w:val="21"/>
          <w:highlight w:val="none"/>
        </w:rPr>
      </w:pPr>
      <w:r>
        <w:rPr>
          <w:rFonts w:hint="eastAsia" w:ascii="宋体" w:hAnsi="宋体"/>
          <w:b/>
          <w:bCs/>
          <w:szCs w:val="21"/>
          <w:highlight w:val="none"/>
        </w:rPr>
        <w:t>注：投标人应在合理范围内报价，本项目投标报价的最高限价是0.40‰/年。投标报价不能高于最高限价，否则视为无效投标。投标报价低于0.10‰/年的需在投标文件中附投标报价说明，未提供投标报价说明的原则上视为不响应招标文件，</w:t>
      </w:r>
      <w:r>
        <w:rPr>
          <w:rFonts w:hint="eastAsia" w:ascii="宋体" w:hAnsi="宋体" w:cs="宋体"/>
          <w:b/>
          <w:szCs w:val="21"/>
          <w:highlight w:val="none"/>
        </w:rPr>
        <w:t>将视为无效投标</w:t>
      </w:r>
      <w:r>
        <w:rPr>
          <w:rFonts w:hint="eastAsia" w:ascii="宋体" w:hAnsi="宋体"/>
          <w:b/>
          <w:bCs/>
          <w:szCs w:val="21"/>
          <w:highlight w:val="none"/>
        </w:rPr>
        <w:t>。</w:t>
      </w:r>
    </w:p>
    <w:p w14:paraId="560EFC15">
      <w:pPr>
        <w:snapToGrid w:val="0"/>
        <w:spacing w:line="360" w:lineRule="auto"/>
        <w:jc w:val="center"/>
        <w:rPr>
          <w:rFonts w:ascii="宋体" w:hAnsi="宋体" w:cs="宋体"/>
          <w:b/>
          <w:bCs/>
          <w:szCs w:val="21"/>
          <w:highlight w:val="none"/>
        </w:rPr>
      </w:pPr>
    </w:p>
    <w:p w14:paraId="1247AC89">
      <w:pPr>
        <w:snapToGrid w:val="0"/>
        <w:spacing w:line="360" w:lineRule="auto"/>
        <w:jc w:val="center"/>
        <w:rPr>
          <w:rFonts w:ascii="宋体" w:hAnsi="宋体" w:cs="宋体"/>
          <w:b/>
          <w:bCs/>
          <w:szCs w:val="21"/>
          <w:highlight w:val="none"/>
        </w:rPr>
      </w:pPr>
    </w:p>
    <w:p w14:paraId="4FF907F4">
      <w:pPr>
        <w:snapToGrid w:val="0"/>
        <w:spacing w:line="360" w:lineRule="auto"/>
        <w:jc w:val="center"/>
        <w:rPr>
          <w:rFonts w:ascii="宋体" w:hAnsi="宋体" w:cs="宋体"/>
          <w:b/>
          <w:bCs/>
          <w:szCs w:val="21"/>
          <w:highlight w:val="none"/>
        </w:rPr>
      </w:pPr>
    </w:p>
    <w:p w14:paraId="72E0571B">
      <w:pPr>
        <w:snapToGrid w:val="0"/>
        <w:spacing w:line="360" w:lineRule="auto"/>
        <w:jc w:val="center"/>
        <w:rPr>
          <w:rFonts w:ascii="宋体" w:hAnsi="宋体" w:cs="宋体"/>
          <w:b/>
          <w:bCs/>
          <w:szCs w:val="21"/>
          <w:highlight w:val="none"/>
        </w:rPr>
      </w:pPr>
    </w:p>
    <w:p w14:paraId="53B4FF7C">
      <w:pPr>
        <w:pStyle w:val="3"/>
        <w:rPr>
          <w:rFonts w:ascii="宋体" w:hAnsi="宋体" w:cs="宋体"/>
          <w:sz w:val="21"/>
          <w:szCs w:val="21"/>
          <w:highlight w:val="none"/>
        </w:rPr>
      </w:pPr>
    </w:p>
    <w:p w14:paraId="4978413A">
      <w:pPr>
        <w:rPr>
          <w:rFonts w:ascii="宋体" w:hAnsi="宋体" w:cs="宋体"/>
          <w:b/>
          <w:bCs/>
          <w:szCs w:val="21"/>
          <w:highlight w:val="none"/>
        </w:rPr>
      </w:pPr>
    </w:p>
    <w:p w14:paraId="297229D7">
      <w:pPr>
        <w:pStyle w:val="3"/>
        <w:rPr>
          <w:rFonts w:ascii="宋体" w:hAnsi="宋体" w:cs="宋体"/>
          <w:sz w:val="21"/>
          <w:szCs w:val="21"/>
          <w:highlight w:val="none"/>
        </w:rPr>
      </w:pPr>
    </w:p>
    <w:p w14:paraId="562E4BD4">
      <w:pPr>
        <w:rPr>
          <w:rFonts w:ascii="宋体" w:hAnsi="宋体" w:cs="宋体"/>
          <w:b/>
          <w:bCs/>
          <w:szCs w:val="21"/>
          <w:highlight w:val="none"/>
        </w:rPr>
      </w:pPr>
    </w:p>
    <w:p w14:paraId="06D79C8C">
      <w:pPr>
        <w:pStyle w:val="3"/>
        <w:rPr>
          <w:rFonts w:ascii="宋体" w:hAnsi="宋体" w:cs="宋体"/>
          <w:sz w:val="21"/>
          <w:szCs w:val="21"/>
          <w:highlight w:val="none"/>
        </w:rPr>
      </w:pPr>
    </w:p>
    <w:p w14:paraId="7E3DD4A0">
      <w:pPr>
        <w:rPr>
          <w:rFonts w:ascii="宋体" w:hAnsi="宋体" w:cs="宋体"/>
          <w:b/>
          <w:bCs/>
          <w:szCs w:val="21"/>
          <w:highlight w:val="none"/>
        </w:rPr>
      </w:pPr>
    </w:p>
    <w:p w14:paraId="1E3AB7F9">
      <w:pPr>
        <w:pStyle w:val="3"/>
        <w:rPr>
          <w:rFonts w:ascii="宋体" w:hAnsi="宋体" w:cs="宋体"/>
          <w:sz w:val="21"/>
          <w:szCs w:val="21"/>
          <w:highlight w:val="none"/>
        </w:rPr>
      </w:pPr>
    </w:p>
    <w:p w14:paraId="6D9A2D19">
      <w:pPr>
        <w:rPr>
          <w:highlight w:val="none"/>
        </w:rPr>
      </w:pPr>
    </w:p>
    <w:p w14:paraId="1A9E98DF">
      <w:pPr>
        <w:snapToGrid w:val="0"/>
        <w:spacing w:line="360" w:lineRule="auto"/>
        <w:jc w:val="center"/>
        <w:rPr>
          <w:rFonts w:ascii="Times New Roman" w:hAnsi="Times New Roman"/>
          <w:b/>
          <w:bCs/>
          <w:sz w:val="44"/>
          <w:szCs w:val="44"/>
          <w:highlight w:val="none"/>
        </w:rPr>
      </w:pPr>
    </w:p>
    <w:p w14:paraId="47D4AE4B">
      <w:pPr>
        <w:rPr>
          <w:rFonts w:ascii="Times New Roman" w:hAnsi="Times New Roman"/>
          <w:b/>
          <w:bCs/>
          <w:sz w:val="44"/>
          <w:szCs w:val="44"/>
          <w:highlight w:val="none"/>
        </w:rPr>
      </w:pPr>
      <w:bookmarkStart w:id="50" w:name="_Toc15031"/>
      <w:r>
        <w:rPr>
          <w:rFonts w:hint="eastAsia" w:ascii="Times New Roman" w:hAnsi="Times New Roman"/>
          <w:b/>
          <w:bCs/>
          <w:sz w:val="44"/>
          <w:szCs w:val="44"/>
          <w:highlight w:val="none"/>
        </w:rPr>
        <w:br w:type="page"/>
      </w:r>
    </w:p>
    <w:p w14:paraId="671DD8F4">
      <w:pPr>
        <w:snapToGrid w:val="0"/>
        <w:spacing w:line="360" w:lineRule="auto"/>
        <w:jc w:val="center"/>
        <w:outlineLvl w:val="0"/>
        <w:rPr>
          <w:rFonts w:ascii="Times New Roman" w:hAnsi="Times New Roman"/>
          <w:b/>
          <w:bCs/>
          <w:sz w:val="44"/>
          <w:szCs w:val="44"/>
          <w:highlight w:val="none"/>
        </w:rPr>
      </w:pPr>
    </w:p>
    <w:p w14:paraId="35809AB6">
      <w:pPr>
        <w:snapToGrid w:val="0"/>
        <w:spacing w:line="360" w:lineRule="auto"/>
        <w:jc w:val="center"/>
        <w:outlineLvl w:val="0"/>
        <w:rPr>
          <w:rFonts w:ascii="Times New Roman" w:hAnsi="Times New Roman"/>
          <w:b/>
          <w:bCs/>
          <w:sz w:val="44"/>
          <w:szCs w:val="44"/>
          <w:highlight w:val="none"/>
        </w:rPr>
      </w:pPr>
    </w:p>
    <w:p w14:paraId="65CC64FB">
      <w:pPr>
        <w:snapToGrid w:val="0"/>
        <w:spacing w:line="360" w:lineRule="auto"/>
        <w:jc w:val="center"/>
        <w:outlineLvl w:val="0"/>
        <w:rPr>
          <w:rFonts w:ascii="Times New Roman" w:hAnsi="Times New Roman"/>
          <w:b/>
          <w:bCs/>
          <w:sz w:val="44"/>
          <w:szCs w:val="44"/>
          <w:highlight w:val="none"/>
        </w:rPr>
      </w:pPr>
    </w:p>
    <w:p w14:paraId="6D759192">
      <w:pPr>
        <w:snapToGrid w:val="0"/>
        <w:spacing w:line="360" w:lineRule="auto"/>
        <w:jc w:val="center"/>
        <w:outlineLvl w:val="0"/>
        <w:rPr>
          <w:rFonts w:ascii="Times New Roman" w:hAnsi="Times New Roman"/>
          <w:b/>
          <w:bCs/>
          <w:sz w:val="44"/>
          <w:szCs w:val="44"/>
          <w:highlight w:val="none"/>
        </w:rPr>
      </w:pPr>
    </w:p>
    <w:p w14:paraId="46D43439">
      <w:pPr>
        <w:snapToGrid w:val="0"/>
        <w:spacing w:line="360" w:lineRule="auto"/>
        <w:jc w:val="center"/>
        <w:outlineLvl w:val="0"/>
        <w:rPr>
          <w:rFonts w:ascii="Times New Roman" w:hAnsi="Times New Roman"/>
          <w:b/>
          <w:bCs/>
          <w:sz w:val="44"/>
          <w:szCs w:val="44"/>
          <w:highlight w:val="none"/>
        </w:rPr>
      </w:pPr>
    </w:p>
    <w:p w14:paraId="191223BD">
      <w:pPr>
        <w:snapToGrid w:val="0"/>
        <w:spacing w:line="360" w:lineRule="auto"/>
        <w:jc w:val="center"/>
        <w:outlineLvl w:val="0"/>
        <w:rPr>
          <w:rFonts w:ascii="Times New Roman" w:hAnsi="Times New Roman"/>
          <w:b/>
          <w:bCs/>
          <w:sz w:val="44"/>
          <w:szCs w:val="44"/>
          <w:highlight w:val="none"/>
        </w:rPr>
      </w:pPr>
      <w:bookmarkStart w:id="51" w:name="_Toc14019"/>
      <w:r>
        <w:rPr>
          <w:rFonts w:hint="eastAsia" w:ascii="Times New Roman" w:hAnsi="Times New Roman"/>
          <w:b/>
          <w:bCs/>
          <w:sz w:val="44"/>
          <w:szCs w:val="44"/>
          <w:highlight w:val="none"/>
        </w:rPr>
        <w:t>第五章</w:t>
      </w:r>
      <w:bookmarkEnd w:id="49"/>
      <w:bookmarkEnd w:id="50"/>
      <w:bookmarkEnd w:id="51"/>
    </w:p>
    <w:p w14:paraId="1959DF4C">
      <w:pPr>
        <w:snapToGrid w:val="0"/>
        <w:spacing w:line="360" w:lineRule="auto"/>
        <w:jc w:val="center"/>
        <w:outlineLvl w:val="0"/>
        <w:rPr>
          <w:rFonts w:ascii="Times New Roman" w:hAnsi="Times New Roman"/>
          <w:b/>
          <w:bCs/>
          <w:sz w:val="44"/>
          <w:szCs w:val="44"/>
          <w:highlight w:val="none"/>
        </w:rPr>
      </w:pPr>
      <w:bookmarkStart w:id="52" w:name="_Toc9564"/>
      <w:bookmarkStart w:id="53" w:name="_Toc355879666"/>
      <w:bookmarkStart w:id="54" w:name="_Toc5615"/>
      <w:bookmarkStart w:id="55" w:name="_Toc26647"/>
      <w:bookmarkStart w:id="56" w:name="_Toc17834"/>
      <w:r>
        <w:rPr>
          <w:rFonts w:hint="eastAsia" w:ascii="Times New Roman" w:hAnsi="Times New Roman"/>
          <w:b/>
          <w:bCs/>
          <w:sz w:val="44"/>
          <w:szCs w:val="44"/>
          <w:highlight w:val="none"/>
        </w:rPr>
        <w:t>投 标 人 须 知</w:t>
      </w:r>
      <w:bookmarkEnd w:id="52"/>
      <w:bookmarkEnd w:id="53"/>
      <w:bookmarkEnd w:id="54"/>
      <w:bookmarkEnd w:id="55"/>
      <w:bookmarkEnd w:id="56"/>
    </w:p>
    <w:p w14:paraId="04484552">
      <w:pPr>
        <w:numPr>
          <w:ilvl w:val="0"/>
          <w:numId w:val="33"/>
        </w:numPr>
        <w:autoSpaceDE w:val="0"/>
        <w:autoSpaceDN w:val="0"/>
        <w:adjustRightInd w:val="0"/>
        <w:snapToGrid w:val="0"/>
        <w:spacing w:before="312" w:beforeLines="100" w:after="312" w:afterLines="100" w:line="360" w:lineRule="auto"/>
        <w:jc w:val="center"/>
        <w:outlineLvl w:val="0"/>
        <w:rPr>
          <w:rFonts w:ascii="宋体" w:hAnsi="宋体"/>
          <w:b/>
          <w:sz w:val="28"/>
          <w:szCs w:val="28"/>
          <w:highlight w:val="none"/>
        </w:rPr>
      </w:pPr>
      <w:r>
        <w:rPr>
          <w:rFonts w:hint="eastAsia" w:ascii="Times New Roman" w:hAnsi="Times New Roman"/>
          <w:b/>
          <w:bCs/>
          <w:sz w:val="44"/>
          <w:szCs w:val="44"/>
          <w:highlight w:val="none"/>
        </w:rPr>
        <w:br w:type="page"/>
      </w:r>
      <w:bookmarkStart w:id="57" w:name="_Toc2872"/>
      <w:bookmarkStart w:id="58" w:name="_Toc12077"/>
      <w:bookmarkStart w:id="59" w:name="_Toc9598"/>
      <w:bookmarkStart w:id="60" w:name="_Toc28826"/>
      <w:bookmarkStart w:id="61" w:name="_Toc2644"/>
      <w:bookmarkStart w:id="62" w:name="_Toc410722638"/>
      <w:bookmarkStart w:id="63" w:name="_Toc28984"/>
      <w:bookmarkStart w:id="64" w:name="_Toc355879667"/>
      <w:bookmarkStart w:id="65" w:name="_Toc22584"/>
      <w:r>
        <w:rPr>
          <w:rFonts w:ascii="宋体" w:hAnsi="宋体"/>
          <w:b/>
          <w:sz w:val="28"/>
          <w:szCs w:val="28"/>
          <w:highlight w:val="none"/>
          <w:lang w:eastAsia="zh-TW"/>
        </w:rPr>
        <w:t>说 明</w:t>
      </w:r>
      <w:bookmarkEnd w:id="57"/>
      <w:bookmarkEnd w:id="58"/>
      <w:bookmarkEnd w:id="59"/>
      <w:bookmarkEnd w:id="60"/>
      <w:bookmarkEnd w:id="61"/>
      <w:bookmarkEnd w:id="62"/>
      <w:bookmarkEnd w:id="63"/>
    </w:p>
    <w:p w14:paraId="4E641080">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66" w:name="_Toc2140"/>
      <w:bookmarkStart w:id="67" w:name="_Toc355879668"/>
      <w:bookmarkStart w:id="68" w:name="_Toc21551"/>
      <w:bookmarkStart w:id="69" w:name="_Toc11604"/>
      <w:bookmarkStart w:id="70" w:name="_Toc27745"/>
      <w:bookmarkStart w:id="71" w:name="_Toc4603"/>
      <w:bookmarkStart w:id="72" w:name="_Toc410722639"/>
      <w:bookmarkStart w:id="73" w:name="_Toc3530"/>
      <w:r>
        <w:rPr>
          <w:rFonts w:hint="eastAsia" w:ascii="宋体" w:hAnsi="宋体"/>
          <w:b/>
          <w:bCs/>
          <w:szCs w:val="21"/>
          <w:highlight w:val="none"/>
        </w:rPr>
        <w:t>适用范围</w:t>
      </w:r>
      <w:bookmarkEnd w:id="66"/>
      <w:bookmarkEnd w:id="67"/>
      <w:bookmarkEnd w:id="68"/>
      <w:bookmarkEnd w:id="69"/>
      <w:bookmarkEnd w:id="70"/>
      <w:bookmarkEnd w:id="71"/>
      <w:bookmarkEnd w:id="72"/>
      <w:bookmarkEnd w:id="73"/>
    </w:p>
    <w:p w14:paraId="51BFF568">
      <w:pPr>
        <w:numPr>
          <w:ilvl w:val="1"/>
          <w:numId w:val="34"/>
        </w:numPr>
        <w:autoSpaceDE w:val="0"/>
        <w:autoSpaceDN w:val="0"/>
        <w:adjustRightInd w:val="0"/>
        <w:snapToGrid w:val="0"/>
        <w:spacing w:line="360" w:lineRule="auto"/>
        <w:jc w:val="left"/>
        <w:rPr>
          <w:rFonts w:ascii="宋体" w:hAnsi="宋体"/>
          <w:b/>
          <w:bCs/>
          <w:szCs w:val="21"/>
          <w:highlight w:val="none"/>
        </w:rPr>
      </w:pPr>
      <w:r>
        <w:rPr>
          <w:rFonts w:hint="eastAsia" w:ascii="宋体" w:hAnsi="宋体"/>
          <w:szCs w:val="21"/>
          <w:highlight w:val="none"/>
        </w:rPr>
        <w:t>本招标文件适用于本采购公告中所述项目的招投标</w:t>
      </w:r>
      <w:r>
        <w:rPr>
          <w:rFonts w:ascii="宋体" w:hAnsi="宋体"/>
          <w:szCs w:val="21"/>
          <w:highlight w:val="none"/>
        </w:rPr>
        <w:t>活动</w:t>
      </w:r>
      <w:r>
        <w:rPr>
          <w:rFonts w:hint="eastAsia" w:ascii="宋体" w:hAnsi="宋体"/>
          <w:szCs w:val="21"/>
          <w:highlight w:val="none"/>
        </w:rPr>
        <w:t>。</w:t>
      </w:r>
    </w:p>
    <w:p w14:paraId="49B8D0B7">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74" w:name="_Toc13349"/>
      <w:bookmarkStart w:id="75" w:name="_Toc19257"/>
      <w:bookmarkStart w:id="76" w:name="_Toc26002"/>
      <w:bookmarkStart w:id="77" w:name="_Toc7709"/>
      <w:bookmarkStart w:id="78" w:name="_Toc4667"/>
      <w:bookmarkStart w:id="79" w:name="_Toc355879669"/>
      <w:bookmarkStart w:id="80" w:name="_Toc2488"/>
      <w:bookmarkStart w:id="81" w:name="_Toc410722640"/>
      <w:r>
        <w:rPr>
          <w:rFonts w:hint="eastAsia" w:ascii="宋体" w:hAnsi="宋体"/>
          <w:b/>
          <w:bCs/>
          <w:szCs w:val="21"/>
          <w:highlight w:val="none"/>
        </w:rPr>
        <w:t>监管部门及招标采购单位</w:t>
      </w:r>
      <w:bookmarkEnd w:id="74"/>
      <w:bookmarkEnd w:id="75"/>
      <w:bookmarkEnd w:id="76"/>
      <w:bookmarkEnd w:id="77"/>
      <w:bookmarkEnd w:id="78"/>
      <w:bookmarkEnd w:id="79"/>
      <w:bookmarkEnd w:id="80"/>
      <w:bookmarkEnd w:id="81"/>
    </w:p>
    <w:p w14:paraId="301FC108">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szCs w:val="21"/>
          <w:highlight w:val="none"/>
        </w:rPr>
        <w:t>监管部门指招标人或其上级主管单位纪律部门</w:t>
      </w:r>
      <w:r>
        <w:rPr>
          <w:rFonts w:hint="eastAsia" w:ascii="宋体" w:hAnsi="宋体" w:cs="宋体"/>
          <w:szCs w:val="21"/>
          <w:highlight w:val="none"/>
        </w:rPr>
        <w:t>。</w:t>
      </w:r>
    </w:p>
    <w:p w14:paraId="68BF08FC">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rPr>
        <w:t>招标采购单位</w:t>
      </w:r>
      <w:r>
        <w:rPr>
          <w:rFonts w:hint="eastAsia" w:ascii="宋体" w:hAnsi="宋体"/>
          <w:szCs w:val="21"/>
          <w:highlight w:val="none"/>
        </w:rPr>
        <w:t>指招标人及招标代理机构。</w:t>
      </w:r>
    </w:p>
    <w:p w14:paraId="3D82DF96">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szCs w:val="21"/>
          <w:highlight w:val="none"/>
        </w:rPr>
        <w:t>招标人指进行招标的单位</w:t>
      </w:r>
      <w:r>
        <w:rPr>
          <w:rFonts w:hint="eastAsia" w:ascii="宋体" w:hAnsi="宋体" w:cs="宋体"/>
          <w:szCs w:val="21"/>
          <w:highlight w:val="none"/>
        </w:rPr>
        <w:t>。</w:t>
      </w:r>
    </w:p>
    <w:p w14:paraId="5971EBB4">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szCs w:val="21"/>
          <w:highlight w:val="none"/>
        </w:rPr>
        <w:t>招标代理机构是指依法取得招标资格、从事招标代理业务并提供相关服务的专门机构。</w:t>
      </w:r>
    </w:p>
    <w:p w14:paraId="49365993">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82" w:name="_Toc11729"/>
      <w:bookmarkStart w:id="83" w:name="_Toc31632"/>
      <w:bookmarkStart w:id="84" w:name="_Toc355879670"/>
      <w:bookmarkStart w:id="85" w:name="_Toc22072"/>
      <w:bookmarkStart w:id="86" w:name="_Toc22536"/>
      <w:bookmarkStart w:id="87" w:name="_Toc12119"/>
      <w:bookmarkStart w:id="88" w:name="_Toc410722641"/>
      <w:bookmarkStart w:id="89" w:name="_Toc28785"/>
      <w:r>
        <w:rPr>
          <w:rFonts w:hint="eastAsia" w:ascii="宋体" w:hAnsi="宋体"/>
          <w:b/>
          <w:bCs/>
          <w:szCs w:val="21"/>
          <w:highlight w:val="none"/>
        </w:rPr>
        <w:t>合格的投标人</w:t>
      </w:r>
      <w:bookmarkEnd w:id="82"/>
      <w:bookmarkEnd w:id="83"/>
      <w:bookmarkEnd w:id="84"/>
      <w:bookmarkEnd w:id="85"/>
      <w:bookmarkEnd w:id="86"/>
      <w:bookmarkEnd w:id="87"/>
      <w:bookmarkEnd w:id="88"/>
      <w:bookmarkEnd w:id="89"/>
    </w:p>
    <w:p w14:paraId="01FAA861">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szCs w:val="21"/>
          <w:highlight w:val="none"/>
        </w:rPr>
        <w:t>投标人是响应招标并且符合招标文件规定资格条件和参加投标竞争的法人</w:t>
      </w:r>
      <w:r>
        <w:rPr>
          <w:rFonts w:hint="eastAsia"/>
          <w:highlight w:val="none"/>
        </w:rPr>
        <w:t>单位</w:t>
      </w:r>
      <w:r>
        <w:rPr>
          <w:rFonts w:hint="eastAsia" w:ascii="宋体" w:hAnsi="宋体"/>
          <w:szCs w:val="21"/>
          <w:highlight w:val="none"/>
        </w:rPr>
        <w:t>、其他组织。</w:t>
      </w:r>
    </w:p>
    <w:p w14:paraId="4769F0FE">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szCs w:val="21"/>
          <w:highlight w:val="none"/>
        </w:rPr>
        <w:t>中标人是指经法定程序确定并授予合同的投标人。</w:t>
      </w:r>
    </w:p>
    <w:p w14:paraId="1B9B3136">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90" w:name="_Toc322096862"/>
      <w:bookmarkStart w:id="91" w:name="_Toc410722642"/>
      <w:bookmarkStart w:id="92" w:name="_Toc21958"/>
      <w:bookmarkStart w:id="93" w:name="_Toc20422"/>
      <w:bookmarkStart w:id="94" w:name="_Toc31172"/>
      <w:bookmarkStart w:id="95" w:name="_Toc8461"/>
      <w:bookmarkStart w:id="96" w:name="_Toc25900"/>
      <w:bookmarkStart w:id="97" w:name="_Toc30253"/>
      <w:r>
        <w:rPr>
          <w:rFonts w:hint="eastAsia" w:ascii="宋体" w:hAnsi="宋体"/>
          <w:b/>
          <w:bCs/>
          <w:szCs w:val="21"/>
          <w:highlight w:val="none"/>
        </w:rPr>
        <w:t>合格的服务</w:t>
      </w:r>
      <w:bookmarkEnd w:id="90"/>
      <w:bookmarkEnd w:id="91"/>
      <w:bookmarkEnd w:id="92"/>
      <w:bookmarkEnd w:id="93"/>
      <w:bookmarkEnd w:id="94"/>
      <w:bookmarkEnd w:id="95"/>
      <w:bookmarkEnd w:id="96"/>
      <w:bookmarkEnd w:id="97"/>
    </w:p>
    <w:p w14:paraId="41E98909">
      <w:pPr>
        <w:numPr>
          <w:ilvl w:val="1"/>
          <w:numId w:val="34"/>
        </w:numPr>
        <w:autoSpaceDE w:val="0"/>
        <w:autoSpaceDN w:val="0"/>
        <w:adjustRightInd w:val="0"/>
        <w:snapToGrid w:val="0"/>
        <w:spacing w:line="360" w:lineRule="auto"/>
        <w:outlineLvl w:val="0"/>
        <w:rPr>
          <w:rFonts w:ascii="宋体" w:hAnsi="宋体"/>
          <w:szCs w:val="21"/>
          <w:highlight w:val="none"/>
        </w:rPr>
      </w:pPr>
      <w:bookmarkStart w:id="98" w:name="_Toc24675"/>
      <w:bookmarkStart w:id="99" w:name="_Toc10028"/>
      <w:bookmarkStart w:id="100" w:name="_Toc355879672"/>
      <w:bookmarkStart w:id="101" w:name="_Toc410722643"/>
      <w:bookmarkStart w:id="102" w:name="_Toc3987"/>
      <w:bookmarkStart w:id="103" w:name="_Toc19819"/>
      <w:bookmarkStart w:id="104" w:name="_Toc22814"/>
      <w:bookmarkStart w:id="105" w:name="_Toc20909"/>
      <w:r>
        <w:rPr>
          <w:rFonts w:hint="eastAsia" w:ascii="宋体" w:hAnsi="宋体"/>
          <w:szCs w:val="21"/>
          <w:highlight w:val="none"/>
        </w:rPr>
        <w:t>“服务”是指投标人提供的服务以及用户需求书中要求的其他服务。</w:t>
      </w:r>
      <w:bookmarkEnd w:id="98"/>
      <w:bookmarkEnd w:id="99"/>
    </w:p>
    <w:p w14:paraId="52C044D5">
      <w:pPr>
        <w:numPr>
          <w:ilvl w:val="1"/>
          <w:numId w:val="34"/>
        </w:numPr>
        <w:autoSpaceDE w:val="0"/>
        <w:autoSpaceDN w:val="0"/>
        <w:adjustRightInd w:val="0"/>
        <w:snapToGrid w:val="0"/>
        <w:spacing w:line="360" w:lineRule="auto"/>
        <w:outlineLvl w:val="0"/>
        <w:rPr>
          <w:rFonts w:ascii="宋体" w:hAnsi="宋体"/>
          <w:b/>
          <w:bCs/>
          <w:szCs w:val="21"/>
          <w:highlight w:val="none"/>
        </w:rPr>
      </w:pPr>
      <w:bookmarkStart w:id="106" w:name="_Toc29747"/>
      <w:bookmarkStart w:id="107" w:name="_Toc26076"/>
      <w:r>
        <w:rPr>
          <w:rFonts w:hint="eastAsia" w:ascii="宋体" w:hAnsi="宋体"/>
          <w:szCs w:val="21"/>
          <w:highlight w:val="none"/>
        </w:rPr>
        <w:t>投标人提供的所有服务，其质量、技术等特征必须符合国家、行业现行法律、法规的相关标准及用户需求的规定。</w:t>
      </w:r>
      <w:bookmarkEnd w:id="106"/>
      <w:bookmarkEnd w:id="107"/>
    </w:p>
    <w:p w14:paraId="56CF8DF9">
      <w:pPr>
        <w:numPr>
          <w:ilvl w:val="1"/>
          <w:numId w:val="34"/>
        </w:numPr>
        <w:autoSpaceDE w:val="0"/>
        <w:autoSpaceDN w:val="0"/>
        <w:adjustRightInd w:val="0"/>
        <w:snapToGrid w:val="0"/>
        <w:spacing w:line="360" w:lineRule="auto"/>
        <w:outlineLvl w:val="0"/>
        <w:rPr>
          <w:rFonts w:ascii="宋体" w:hAnsi="宋体"/>
          <w:b/>
          <w:bCs/>
          <w:szCs w:val="21"/>
          <w:highlight w:val="none"/>
        </w:rPr>
      </w:pPr>
      <w:bookmarkStart w:id="108" w:name="_Toc22598"/>
      <w:bookmarkStart w:id="109" w:name="_Toc28506"/>
      <w:r>
        <w:rPr>
          <w:rFonts w:hint="eastAsia" w:ascii="宋体" w:hAnsi="宋体"/>
          <w:szCs w:val="21"/>
          <w:highlight w:val="none"/>
        </w:rPr>
        <w:t>招标人有权拒绝接受任何不合格的服务，由此产生的费用及相关后果均由投标人自行承担。</w:t>
      </w:r>
      <w:bookmarkEnd w:id="108"/>
      <w:bookmarkEnd w:id="109"/>
    </w:p>
    <w:p w14:paraId="529A66F3">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110" w:name="_Toc11271"/>
      <w:bookmarkStart w:id="111" w:name="_Toc4174"/>
      <w:r>
        <w:rPr>
          <w:rFonts w:hint="eastAsia" w:ascii="宋体" w:hAnsi="宋体"/>
          <w:b/>
          <w:bCs/>
          <w:szCs w:val="21"/>
          <w:highlight w:val="none"/>
        </w:rPr>
        <w:t>禁止事项</w:t>
      </w:r>
      <w:bookmarkEnd w:id="110"/>
      <w:bookmarkEnd w:id="111"/>
    </w:p>
    <w:p w14:paraId="335DE61A">
      <w:pPr>
        <w:numPr>
          <w:ilvl w:val="1"/>
          <w:numId w:val="34"/>
        </w:numPr>
        <w:autoSpaceDE w:val="0"/>
        <w:autoSpaceDN w:val="0"/>
        <w:adjustRightInd w:val="0"/>
        <w:snapToGrid w:val="0"/>
        <w:spacing w:line="360" w:lineRule="auto"/>
        <w:outlineLvl w:val="0"/>
        <w:rPr>
          <w:rFonts w:ascii="宋体" w:hAnsi="宋体"/>
          <w:szCs w:val="21"/>
          <w:highlight w:val="none"/>
        </w:rPr>
      </w:pPr>
      <w:bookmarkStart w:id="112" w:name="_Toc19573"/>
      <w:bookmarkStart w:id="113" w:name="_Toc5033"/>
      <w:r>
        <w:rPr>
          <w:rFonts w:hint="eastAsia" w:ascii="宋体" w:hAnsi="宋体"/>
          <w:szCs w:val="21"/>
          <w:highlight w:val="none"/>
        </w:rPr>
        <w:t>招标人、投标人不得相互串通损害国家利益，社会公共利益和其他当事人的合法权益；不得以任何手段排斥其他投标人参与竞争。</w:t>
      </w:r>
      <w:bookmarkEnd w:id="112"/>
      <w:bookmarkEnd w:id="113"/>
    </w:p>
    <w:p w14:paraId="421C9381">
      <w:pPr>
        <w:numPr>
          <w:ilvl w:val="1"/>
          <w:numId w:val="34"/>
        </w:numPr>
        <w:autoSpaceDE w:val="0"/>
        <w:autoSpaceDN w:val="0"/>
        <w:adjustRightInd w:val="0"/>
        <w:snapToGrid w:val="0"/>
        <w:spacing w:line="360" w:lineRule="auto"/>
        <w:outlineLvl w:val="0"/>
        <w:rPr>
          <w:rFonts w:ascii="宋体" w:hAnsi="宋体"/>
          <w:szCs w:val="21"/>
          <w:highlight w:val="none"/>
        </w:rPr>
      </w:pPr>
      <w:bookmarkStart w:id="114" w:name="_Toc519"/>
      <w:bookmarkStart w:id="115" w:name="_Toc16038"/>
      <w:r>
        <w:rPr>
          <w:rFonts w:hint="eastAsia" w:ascii="宋体" w:hAnsi="宋体"/>
          <w:szCs w:val="21"/>
          <w:highlight w:val="none"/>
        </w:rPr>
        <w:t>投标人不得向招标人、评标委员会的组成人员行贿或者采取其他不正当手段谋取中标。</w:t>
      </w:r>
      <w:bookmarkEnd w:id="114"/>
      <w:bookmarkEnd w:id="115"/>
    </w:p>
    <w:p w14:paraId="15805F3C">
      <w:pPr>
        <w:numPr>
          <w:ilvl w:val="1"/>
          <w:numId w:val="34"/>
        </w:numPr>
        <w:autoSpaceDE w:val="0"/>
        <w:autoSpaceDN w:val="0"/>
        <w:adjustRightInd w:val="0"/>
        <w:snapToGrid w:val="0"/>
        <w:spacing w:line="360" w:lineRule="auto"/>
        <w:outlineLvl w:val="0"/>
        <w:rPr>
          <w:rFonts w:ascii="宋体" w:hAnsi="宋体"/>
          <w:szCs w:val="21"/>
          <w:highlight w:val="none"/>
        </w:rPr>
      </w:pPr>
      <w:bookmarkStart w:id="116" w:name="_Toc10100"/>
      <w:bookmarkStart w:id="117" w:name="_Toc7920"/>
      <w:r>
        <w:rPr>
          <w:rFonts w:hint="eastAsia" w:ascii="宋体" w:hAnsi="宋体"/>
          <w:szCs w:val="21"/>
          <w:highlight w:val="none"/>
        </w:rPr>
        <w:t>《中华人民共和国招标投标法》及相关法规规定的其它禁止事项。</w:t>
      </w:r>
      <w:bookmarkEnd w:id="116"/>
      <w:bookmarkEnd w:id="117"/>
    </w:p>
    <w:p w14:paraId="79A60CD6">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118" w:name="_Toc21732"/>
      <w:bookmarkStart w:id="119" w:name="_Toc18631"/>
      <w:r>
        <w:rPr>
          <w:rFonts w:hint="eastAsia" w:ascii="宋体" w:hAnsi="宋体"/>
          <w:b/>
          <w:bCs/>
          <w:szCs w:val="21"/>
          <w:highlight w:val="none"/>
        </w:rPr>
        <w:t>保密事项</w:t>
      </w:r>
      <w:bookmarkEnd w:id="118"/>
      <w:bookmarkEnd w:id="119"/>
    </w:p>
    <w:p w14:paraId="66FC88FD">
      <w:pPr>
        <w:autoSpaceDE w:val="0"/>
        <w:autoSpaceDN w:val="0"/>
        <w:adjustRightInd w:val="0"/>
        <w:snapToGrid w:val="0"/>
        <w:spacing w:line="360" w:lineRule="auto"/>
        <w:ind w:firstLine="420" w:firstLineChars="200"/>
        <w:outlineLvl w:val="0"/>
        <w:rPr>
          <w:rFonts w:ascii="宋体" w:hAnsi="宋体"/>
          <w:szCs w:val="21"/>
          <w:highlight w:val="none"/>
        </w:rPr>
      </w:pPr>
      <w:bookmarkStart w:id="120" w:name="_Toc23870"/>
      <w:bookmarkStart w:id="121" w:name="_Toc25978"/>
      <w:r>
        <w:rPr>
          <w:rFonts w:hint="eastAsia" w:ascii="宋体" w:hAnsi="宋体"/>
          <w:szCs w:val="21"/>
          <w:highlight w:val="none"/>
        </w:rPr>
        <w:t>由招标人向投标人提供的所有资料，投标人获得后，应对其保密。非经招标人同意，投标人不得向</w:t>
      </w:r>
      <w:bookmarkEnd w:id="120"/>
      <w:bookmarkEnd w:id="121"/>
    </w:p>
    <w:p w14:paraId="177FC570">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122" w:name="_Toc14267"/>
      <w:bookmarkStart w:id="123" w:name="_Toc28370"/>
      <w:r>
        <w:rPr>
          <w:rFonts w:hint="eastAsia" w:ascii="宋体" w:hAnsi="宋体"/>
          <w:b/>
          <w:bCs/>
          <w:szCs w:val="21"/>
          <w:highlight w:val="none"/>
        </w:rPr>
        <w:t>第三方透露或将其用于本次投标以外的任何用途。投标费用</w:t>
      </w:r>
      <w:bookmarkEnd w:id="100"/>
      <w:bookmarkEnd w:id="101"/>
      <w:bookmarkEnd w:id="102"/>
      <w:bookmarkEnd w:id="103"/>
      <w:bookmarkEnd w:id="104"/>
      <w:bookmarkEnd w:id="105"/>
      <w:bookmarkEnd w:id="122"/>
      <w:bookmarkEnd w:id="123"/>
    </w:p>
    <w:p w14:paraId="7C4EF7C2">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投标人应承担所有与准备和参加投标有关的费用。不论投标的结果如何</w:t>
      </w:r>
      <w:r>
        <w:rPr>
          <w:rFonts w:hint="eastAsia" w:ascii="宋体" w:hAnsi="宋体" w:cs="宋体"/>
          <w:szCs w:val="21"/>
          <w:highlight w:val="none"/>
        </w:rPr>
        <w:t>，</w:t>
      </w:r>
      <w:r>
        <w:rPr>
          <w:rFonts w:hint="eastAsia" w:ascii="宋体" w:hAnsi="宋体" w:cs="宋体"/>
          <w:szCs w:val="21"/>
          <w:highlight w:val="none"/>
          <w:lang w:eastAsia="zh-TW"/>
        </w:rPr>
        <w:t>招标采购单位均无义务和责任承担这些费用</w:t>
      </w:r>
      <w:r>
        <w:rPr>
          <w:rFonts w:hint="eastAsia" w:ascii="宋体" w:hAnsi="宋体" w:cs="宋体"/>
          <w:szCs w:val="21"/>
          <w:highlight w:val="none"/>
        </w:rPr>
        <w:t>。</w:t>
      </w:r>
    </w:p>
    <w:p w14:paraId="4B775008">
      <w:pPr>
        <w:numPr>
          <w:ilvl w:val="0"/>
          <w:numId w:val="33"/>
        </w:numPr>
        <w:autoSpaceDE w:val="0"/>
        <w:autoSpaceDN w:val="0"/>
        <w:adjustRightInd w:val="0"/>
        <w:snapToGrid w:val="0"/>
        <w:spacing w:before="312" w:beforeLines="100" w:after="312" w:afterLines="100" w:line="360" w:lineRule="auto"/>
        <w:jc w:val="center"/>
        <w:outlineLvl w:val="0"/>
        <w:rPr>
          <w:rFonts w:ascii="宋体" w:hAnsi="宋体"/>
          <w:b/>
          <w:sz w:val="28"/>
          <w:szCs w:val="28"/>
          <w:highlight w:val="none"/>
          <w:lang w:eastAsia="zh-TW"/>
        </w:rPr>
      </w:pPr>
      <w:bookmarkStart w:id="124" w:name="_Toc2267"/>
      <w:bookmarkStart w:id="125" w:name="_Toc4747"/>
      <w:bookmarkStart w:id="126" w:name="_Toc19612"/>
      <w:bookmarkStart w:id="127" w:name="_Toc410722644"/>
      <w:bookmarkStart w:id="128" w:name="_Toc4491"/>
      <w:bookmarkStart w:id="129" w:name="_Toc32343"/>
      <w:bookmarkStart w:id="130" w:name="_Toc3256"/>
      <w:r>
        <w:rPr>
          <w:rFonts w:hint="eastAsia" w:ascii="宋体" w:hAnsi="宋体"/>
          <w:b/>
          <w:sz w:val="28"/>
          <w:szCs w:val="28"/>
          <w:highlight w:val="none"/>
          <w:lang w:eastAsia="zh-TW"/>
        </w:rPr>
        <w:t>招标文件</w:t>
      </w:r>
      <w:bookmarkEnd w:id="124"/>
      <w:bookmarkEnd w:id="125"/>
      <w:bookmarkEnd w:id="126"/>
      <w:bookmarkEnd w:id="127"/>
      <w:bookmarkEnd w:id="128"/>
      <w:bookmarkEnd w:id="129"/>
      <w:bookmarkEnd w:id="130"/>
    </w:p>
    <w:p w14:paraId="02AD72D2">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131" w:name="_Toc514"/>
      <w:bookmarkStart w:id="132" w:name="_Toc28492"/>
      <w:bookmarkStart w:id="133" w:name="_Toc14423"/>
      <w:bookmarkStart w:id="134" w:name="_Toc6725"/>
      <w:bookmarkStart w:id="135" w:name="_Toc355879674"/>
      <w:bookmarkStart w:id="136" w:name="_Toc410722645"/>
      <w:bookmarkStart w:id="137" w:name="_Toc12153"/>
      <w:bookmarkStart w:id="138" w:name="_Toc16028"/>
      <w:r>
        <w:rPr>
          <w:rFonts w:hint="eastAsia" w:ascii="宋体" w:hAnsi="宋体"/>
          <w:b/>
          <w:bCs/>
          <w:szCs w:val="21"/>
          <w:highlight w:val="none"/>
        </w:rPr>
        <w:t>招标文件的编制依据与构成</w:t>
      </w:r>
      <w:bookmarkEnd w:id="131"/>
      <w:bookmarkEnd w:id="132"/>
      <w:bookmarkEnd w:id="133"/>
      <w:bookmarkEnd w:id="134"/>
      <w:bookmarkEnd w:id="135"/>
      <w:bookmarkEnd w:id="136"/>
      <w:bookmarkEnd w:id="137"/>
      <w:bookmarkEnd w:id="138"/>
    </w:p>
    <w:p w14:paraId="25A2E5BC">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szCs w:val="21"/>
          <w:highlight w:val="none"/>
        </w:rPr>
        <w:t>本招标文件的编制参照《中华人民共和国招标投标法》及其实施条例。</w:t>
      </w:r>
    </w:p>
    <w:p w14:paraId="49147121">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TW"/>
        </w:rPr>
        <w:t>要求提供的货物、</w:t>
      </w:r>
      <w:r>
        <w:rPr>
          <w:rFonts w:hint="eastAsia" w:ascii="宋体" w:hAnsi="宋体" w:cs="宋体"/>
          <w:szCs w:val="21"/>
          <w:highlight w:val="none"/>
        </w:rPr>
        <w:t>采购</w:t>
      </w:r>
      <w:r>
        <w:rPr>
          <w:rFonts w:hint="eastAsia" w:ascii="宋体" w:hAnsi="宋体" w:cs="宋体"/>
          <w:szCs w:val="21"/>
          <w:highlight w:val="none"/>
          <w:lang w:eastAsia="zh-TW"/>
        </w:rPr>
        <w:t>过程和合同条件在招标文件中均有说明。招标文件以中文文字编写。</w:t>
      </w:r>
    </w:p>
    <w:p w14:paraId="0780CD7B">
      <w:pPr>
        <w:snapToGrid w:val="0"/>
        <w:spacing w:line="360" w:lineRule="auto"/>
        <w:ind w:left="571" w:leftChars="272"/>
        <w:rPr>
          <w:rFonts w:ascii="宋体" w:hAnsi="宋体"/>
          <w:szCs w:val="21"/>
          <w:highlight w:val="none"/>
        </w:rPr>
      </w:pPr>
      <w:r>
        <w:rPr>
          <w:rFonts w:hint="eastAsia" w:ascii="宋体" w:hAnsi="宋体" w:cs="宋体"/>
          <w:szCs w:val="21"/>
          <w:highlight w:val="none"/>
          <w:lang w:eastAsia="zh-TW"/>
        </w:rPr>
        <w:t>招标文件共</w:t>
      </w:r>
      <w:r>
        <w:rPr>
          <w:rFonts w:hint="eastAsia" w:ascii="宋体" w:hAnsi="宋体" w:cs="宋体"/>
          <w:szCs w:val="21"/>
          <w:highlight w:val="none"/>
        </w:rPr>
        <w:t>七</w:t>
      </w:r>
      <w:r>
        <w:rPr>
          <w:rFonts w:hint="eastAsia" w:ascii="宋体" w:hAnsi="宋体" w:cs="宋体"/>
          <w:szCs w:val="21"/>
          <w:highlight w:val="none"/>
          <w:lang w:eastAsia="zh-TW"/>
        </w:rPr>
        <w:t>章</w:t>
      </w:r>
      <w:r>
        <w:rPr>
          <w:rFonts w:hint="eastAsia" w:ascii="宋体" w:hAnsi="宋体" w:cs="宋体"/>
          <w:szCs w:val="21"/>
          <w:highlight w:val="none"/>
        </w:rPr>
        <w:t>，由下列文件以及在招标过程中发出的澄清、修改和补充文件组成，</w:t>
      </w:r>
      <w:r>
        <w:rPr>
          <w:rFonts w:hint="eastAsia" w:ascii="宋体" w:hAnsi="宋体" w:cs="宋体"/>
          <w:szCs w:val="21"/>
          <w:highlight w:val="none"/>
          <w:lang w:eastAsia="zh-TW"/>
        </w:rPr>
        <w:t>内容如下</w:t>
      </w:r>
      <w:r>
        <w:rPr>
          <w:rFonts w:hint="eastAsia" w:ascii="宋体" w:hAnsi="宋体" w:cs="宋体"/>
          <w:szCs w:val="21"/>
          <w:highlight w:val="none"/>
        </w:rPr>
        <w:t>：</w:t>
      </w:r>
    </w:p>
    <w:p w14:paraId="23404E47">
      <w:pPr>
        <w:snapToGrid w:val="0"/>
        <w:spacing w:line="360" w:lineRule="auto"/>
        <w:ind w:left="445" w:leftChars="212" w:firstLine="143"/>
        <w:rPr>
          <w:rFonts w:ascii="宋体" w:hAnsi="宋体"/>
          <w:szCs w:val="21"/>
          <w:highlight w:val="none"/>
        </w:rPr>
      </w:pPr>
      <w:r>
        <w:rPr>
          <w:rFonts w:hint="eastAsia" w:ascii="宋体" w:hAnsi="宋体" w:cs="宋体"/>
          <w:szCs w:val="21"/>
          <w:highlight w:val="none"/>
          <w:lang w:eastAsia="zh-TW"/>
        </w:rPr>
        <w:t>第一章</w:t>
      </w:r>
      <w:r>
        <w:rPr>
          <w:rFonts w:hint="eastAsia" w:ascii="宋体" w:hAnsi="宋体" w:cs="宋体"/>
          <w:szCs w:val="21"/>
          <w:highlight w:val="none"/>
        </w:rPr>
        <w:t>　采购公告</w:t>
      </w:r>
    </w:p>
    <w:p w14:paraId="4645A716">
      <w:pPr>
        <w:snapToGrid w:val="0"/>
        <w:spacing w:line="360" w:lineRule="auto"/>
        <w:ind w:left="688" w:leftChars="270" w:hanging="121"/>
        <w:rPr>
          <w:rFonts w:ascii="宋体" w:hAnsi="宋体"/>
          <w:szCs w:val="21"/>
          <w:highlight w:val="none"/>
        </w:rPr>
      </w:pPr>
      <w:r>
        <w:rPr>
          <w:rFonts w:hint="eastAsia" w:ascii="宋体" w:hAnsi="宋体" w:cs="宋体"/>
          <w:szCs w:val="21"/>
          <w:highlight w:val="none"/>
          <w:lang w:eastAsia="zh-TW"/>
        </w:rPr>
        <w:t>第二章</w:t>
      </w:r>
      <w:r>
        <w:rPr>
          <w:rFonts w:hint="eastAsia" w:ascii="宋体" w:hAnsi="宋体" w:cs="宋体"/>
          <w:szCs w:val="21"/>
          <w:highlight w:val="none"/>
        </w:rPr>
        <w:t>　</w:t>
      </w:r>
      <w:r>
        <w:rPr>
          <w:rFonts w:hint="eastAsia" w:ascii="宋体" w:hAnsi="宋体" w:cs="宋体"/>
          <w:szCs w:val="21"/>
          <w:highlight w:val="none"/>
          <w:lang w:eastAsia="zh-TW"/>
        </w:rPr>
        <w:t>投标资料表</w:t>
      </w:r>
    </w:p>
    <w:p w14:paraId="5510C6D7">
      <w:pPr>
        <w:snapToGrid w:val="0"/>
        <w:spacing w:line="360" w:lineRule="auto"/>
        <w:ind w:left="688" w:leftChars="270" w:hanging="121"/>
        <w:rPr>
          <w:rFonts w:ascii="宋体" w:hAnsi="宋体"/>
          <w:szCs w:val="21"/>
          <w:highlight w:val="none"/>
        </w:rPr>
      </w:pPr>
      <w:r>
        <w:rPr>
          <w:rFonts w:hint="eastAsia" w:ascii="宋体" w:hAnsi="宋体" w:cs="宋体"/>
          <w:szCs w:val="21"/>
          <w:highlight w:val="none"/>
          <w:lang w:eastAsia="zh-TW"/>
        </w:rPr>
        <w:t>第</w:t>
      </w:r>
      <w:r>
        <w:rPr>
          <w:rFonts w:hint="eastAsia" w:ascii="宋体" w:hAnsi="宋体" w:cs="宋体"/>
          <w:szCs w:val="21"/>
          <w:highlight w:val="none"/>
        </w:rPr>
        <w:t>三</w:t>
      </w:r>
      <w:r>
        <w:rPr>
          <w:rFonts w:hint="eastAsia" w:ascii="宋体" w:hAnsi="宋体" w:cs="宋体"/>
          <w:szCs w:val="21"/>
          <w:highlight w:val="none"/>
          <w:lang w:eastAsia="zh-TW"/>
        </w:rPr>
        <w:t>章</w:t>
      </w:r>
      <w:r>
        <w:rPr>
          <w:rFonts w:hint="eastAsia" w:ascii="宋体" w:hAnsi="宋体" w:cs="宋体"/>
          <w:szCs w:val="21"/>
          <w:highlight w:val="none"/>
        </w:rPr>
        <w:t>　</w:t>
      </w:r>
      <w:r>
        <w:rPr>
          <w:rFonts w:hint="eastAsia" w:ascii="宋体" w:hAnsi="宋体" w:cs="宋体"/>
          <w:szCs w:val="21"/>
          <w:highlight w:val="none"/>
          <w:lang w:eastAsia="zh-TW"/>
        </w:rPr>
        <w:t>用户需求书</w:t>
      </w:r>
    </w:p>
    <w:p w14:paraId="7EC5B449">
      <w:pPr>
        <w:snapToGrid w:val="0"/>
        <w:spacing w:line="360" w:lineRule="auto"/>
        <w:ind w:left="688" w:leftChars="270" w:hanging="121"/>
        <w:rPr>
          <w:rFonts w:ascii="宋体" w:hAnsi="宋体"/>
          <w:szCs w:val="21"/>
          <w:highlight w:val="none"/>
        </w:rPr>
      </w:pPr>
      <w:r>
        <w:rPr>
          <w:rFonts w:hint="eastAsia" w:ascii="宋体" w:hAnsi="宋体" w:cs="宋体"/>
          <w:szCs w:val="21"/>
          <w:highlight w:val="none"/>
          <w:lang w:eastAsia="zh-TW"/>
        </w:rPr>
        <w:t>第</w:t>
      </w:r>
      <w:r>
        <w:rPr>
          <w:rFonts w:hint="eastAsia" w:ascii="宋体" w:hAnsi="宋体" w:cs="宋体"/>
          <w:szCs w:val="21"/>
          <w:highlight w:val="none"/>
        </w:rPr>
        <w:t>四</w:t>
      </w:r>
      <w:r>
        <w:rPr>
          <w:rFonts w:hint="eastAsia" w:ascii="宋体" w:hAnsi="宋体" w:cs="宋体"/>
          <w:szCs w:val="21"/>
          <w:highlight w:val="none"/>
          <w:lang w:eastAsia="zh-TW"/>
        </w:rPr>
        <w:t>章</w:t>
      </w:r>
      <w:r>
        <w:rPr>
          <w:rFonts w:hint="eastAsia" w:ascii="宋体" w:hAnsi="宋体" w:cs="宋体"/>
          <w:szCs w:val="21"/>
          <w:highlight w:val="none"/>
        </w:rPr>
        <w:t>　</w:t>
      </w:r>
      <w:r>
        <w:rPr>
          <w:rFonts w:hint="eastAsia" w:ascii="宋体" w:hAnsi="宋体" w:cs="宋体"/>
          <w:szCs w:val="21"/>
          <w:highlight w:val="none"/>
          <w:lang w:eastAsia="zh-TW"/>
        </w:rPr>
        <w:t>评分</w:t>
      </w:r>
      <w:r>
        <w:rPr>
          <w:rFonts w:hint="eastAsia" w:ascii="宋体" w:hAnsi="宋体" w:cs="宋体"/>
          <w:szCs w:val="21"/>
          <w:highlight w:val="none"/>
        </w:rPr>
        <w:t>体系</w:t>
      </w:r>
      <w:r>
        <w:rPr>
          <w:rFonts w:hint="eastAsia" w:ascii="宋体" w:hAnsi="宋体" w:cs="宋体"/>
          <w:szCs w:val="21"/>
          <w:highlight w:val="none"/>
          <w:lang w:eastAsia="zh-TW"/>
        </w:rPr>
        <w:t>和标准</w:t>
      </w:r>
    </w:p>
    <w:p w14:paraId="7F74FDE9">
      <w:pPr>
        <w:snapToGrid w:val="0"/>
        <w:spacing w:line="360" w:lineRule="auto"/>
        <w:ind w:left="688" w:leftChars="270" w:hanging="121"/>
        <w:rPr>
          <w:rFonts w:ascii="宋体" w:hAnsi="宋体"/>
          <w:szCs w:val="21"/>
          <w:highlight w:val="none"/>
        </w:rPr>
      </w:pPr>
      <w:r>
        <w:rPr>
          <w:rFonts w:hint="eastAsia" w:ascii="宋体" w:hAnsi="宋体" w:cs="宋体"/>
          <w:szCs w:val="21"/>
          <w:highlight w:val="none"/>
          <w:lang w:eastAsia="zh-TW"/>
        </w:rPr>
        <w:t>第</w:t>
      </w:r>
      <w:r>
        <w:rPr>
          <w:rFonts w:hint="eastAsia" w:ascii="宋体" w:hAnsi="宋体" w:cs="宋体"/>
          <w:szCs w:val="21"/>
          <w:highlight w:val="none"/>
        </w:rPr>
        <w:t>五</w:t>
      </w:r>
      <w:r>
        <w:rPr>
          <w:rFonts w:hint="eastAsia" w:ascii="宋体" w:hAnsi="宋体" w:cs="宋体"/>
          <w:szCs w:val="21"/>
          <w:highlight w:val="none"/>
          <w:lang w:eastAsia="zh-TW"/>
        </w:rPr>
        <w:t>章</w:t>
      </w:r>
      <w:r>
        <w:rPr>
          <w:rFonts w:hint="eastAsia" w:ascii="宋体" w:hAnsi="宋体" w:cs="宋体"/>
          <w:szCs w:val="21"/>
          <w:highlight w:val="none"/>
        </w:rPr>
        <w:t>　</w:t>
      </w:r>
      <w:r>
        <w:rPr>
          <w:rFonts w:hint="eastAsia" w:ascii="宋体" w:hAnsi="宋体" w:cs="宋体"/>
          <w:szCs w:val="21"/>
          <w:highlight w:val="none"/>
          <w:lang w:eastAsia="zh-TW"/>
        </w:rPr>
        <w:t>投标人须知</w:t>
      </w:r>
    </w:p>
    <w:p w14:paraId="1AFD7910">
      <w:pPr>
        <w:snapToGrid w:val="0"/>
        <w:spacing w:line="360" w:lineRule="auto"/>
        <w:ind w:left="688" w:leftChars="270" w:hanging="121"/>
        <w:rPr>
          <w:rFonts w:ascii="宋体" w:hAnsi="宋体" w:cs="宋体"/>
          <w:szCs w:val="21"/>
          <w:highlight w:val="none"/>
        </w:rPr>
      </w:pPr>
      <w:r>
        <w:rPr>
          <w:rFonts w:hint="eastAsia" w:ascii="宋体" w:hAnsi="宋体" w:cs="宋体"/>
          <w:szCs w:val="21"/>
          <w:highlight w:val="none"/>
          <w:lang w:eastAsia="zh-TW"/>
        </w:rPr>
        <w:t>第</w:t>
      </w:r>
      <w:r>
        <w:rPr>
          <w:rFonts w:hint="eastAsia" w:ascii="宋体" w:hAnsi="宋体" w:cs="宋体"/>
          <w:szCs w:val="21"/>
          <w:highlight w:val="none"/>
        </w:rPr>
        <w:t>六</w:t>
      </w:r>
      <w:r>
        <w:rPr>
          <w:rFonts w:hint="eastAsia" w:ascii="宋体" w:hAnsi="宋体" w:cs="宋体"/>
          <w:szCs w:val="21"/>
          <w:highlight w:val="none"/>
          <w:lang w:eastAsia="zh-TW"/>
        </w:rPr>
        <w:t>章</w:t>
      </w:r>
      <w:r>
        <w:rPr>
          <w:rFonts w:hint="eastAsia" w:ascii="宋体" w:hAnsi="宋体" w:cs="宋体"/>
          <w:szCs w:val="21"/>
          <w:highlight w:val="none"/>
        </w:rPr>
        <w:t>　</w:t>
      </w:r>
      <w:r>
        <w:rPr>
          <w:rFonts w:hint="eastAsia" w:ascii="宋体" w:hAnsi="宋体" w:cs="宋体"/>
          <w:szCs w:val="21"/>
          <w:highlight w:val="none"/>
          <w:lang w:eastAsia="zh-TW"/>
        </w:rPr>
        <w:t>合同条款</w:t>
      </w:r>
      <w:r>
        <w:rPr>
          <w:rFonts w:hint="eastAsia" w:ascii="宋体" w:hAnsi="宋体" w:cs="宋体"/>
          <w:szCs w:val="21"/>
          <w:highlight w:val="none"/>
        </w:rPr>
        <w:t>（若有）</w:t>
      </w:r>
    </w:p>
    <w:p w14:paraId="3A9B5971">
      <w:pPr>
        <w:snapToGrid w:val="0"/>
        <w:spacing w:line="360" w:lineRule="auto"/>
        <w:ind w:left="688" w:leftChars="270" w:hanging="121"/>
        <w:rPr>
          <w:rFonts w:ascii="宋体" w:hAnsi="宋体"/>
          <w:szCs w:val="21"/>
          <w:highlight w:val="none"/>
        </w:rPr>
      </w:pPr>
      <w:r>
        <w:rPr>
          <w:rFonts w:hint="eastAsia" w:ascii="宋体" w:hAnsi="宋体" w:cs="宋体"/>
          <w:szCs w:val="21"/>
          <w:highlight w:val="none"/>
        </w:rPr>
        <w:t>第七章　投标文件格式</w:t>
      </w:r>
    </w:p>
    <w:p w14:paraId="38B1092A">
      <w:pPr>
        <w:numPr>
          <w:ilvl w:val="1"/>
          <w:numId w:val="34"/>
        </w:numPr>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投标人应认真阅读、并充分理解招标文件的全部内容（包括所有的补充、修改内容重要事项、格式、条款和</w:t>
      </w:r>
      <w:r>
        <w:rPr>
          <w:rFonts w:hint="eastAsia" w:ascii="宋体" w:hAnsi="宋体" w:cs="宋体"/>
          <w:szCs w:val="21"/>
          <w:highlight w:val="none"/>
        </w:rPr>
        <w:t>服务</w:t>
      </w:r>
      <w:r>
        <w:rPr>
          <w:rFonts w:hint="eastAsia" w:ascii="宋体" w:hAnsi="宋体" w:cs="宋体"/>
          <w:szCs w:val="21"/>
          <w:highlight w:val="none"/>
          <w:lang w:eastAsia="zh-TW"/>
        </w:rPr>
        <w:t>要求等）。投标人没有按照招标文件要求提交全部资料，或者投标</w:t>
      </w:r>
      <w:r>
        <w:rPr>
          <w:rFonts w:hint="eastAsia" w:ascii="宋体" w:hAnsi="宋体" w:cs="宋体"/>
          <w:szCs w:val="21"/>
          <w:highlight w:val="none"/>
        </w:rPr>
        <w:t>文件</w:t>
      </w:r>
      <w:r>
        <w:rPr>
          <w:rFonts w:hint="eastAsia" w:ascii="宋体" w:hAnsi="宋体" w:cs="宋体"/>
          <w:szCs w:val="21"/>
          <w:highlight w:val="none"/>
          <w:lang w:eastAsia="zh-TW"/>
        </w:rPr>
        <w:t>没有对招标文件在各方面都作出实质性响应是投标人的风险，有可能导致其投标被拒绝，或被认定为无效投标或被确定为投标无效。</w:t>
      </w:r>
    </w:p>
    <w:p w14:paraId="40EF31C4">
      <w:pPr>
        <w:numPr>
          <w:ilvl w:val="1"/>
          <w:numId w:val="34"/>
        </w:numPr>
        <w:autoSpaceDE w:val="0"/>
        <w:autoSpaceDN w:val="0"/>
        <w:adjustRightInd w:val="0"/>
        <w:snapToGrid w:val="0"/>
        <w:spacing w:line="360" w:lineRule="auto"/>
        <w:jc w:val="left"/>
        <w:rPr>
          <w:rFonts w:ascii="宋体" w:hAnsi="宋体" w:cs="宋体"/>
          <w:szCs w:val="21"/>
          <w:highlight w:val="none"/>
          <w:lang w:eastAsia="zh-TW"/>
        </w:rPr>
      </w:pPr>
      <w:r>
        <w:rPr>
          <w:rFonts w:hint="eastAsia" w:ascii="宋体" w:hAnsi="宋体" w:cs="宋体"/>
          <w:szCs w:val="21"/>
          <w:highlight w:val="none"/>
        </w:rPr>
        <w:t>本</w:t>
      </w:r>
      <w:r>
        <w:rPr>
          <w:rFonts w:hint="eastAsia" w:ascii="宋体" w:hAnsi="宋体" w:cs="宋体"/>
          <w:szCs w:val="21"/>
          <w:highlight w:val="none"/>
          <w:lang w:eastAsia="zh-TW"/>
        </w:rPr>
        <w:t>招标文件的解释权归“</w:t>
      </w:r>
      <w:r>
        <w:rPr>
          <w:rFonts w:hint="eastAsia" w:ascii="宋体" w:hAnsi="宋体" w:cs="宋体"/>
          <w:szCs w:val="21"/>
          <w:highlight w:val="none"/>
        </w:rPr>
        <w:t>广东中采招标有限公司</w:t>
      </w:r>
      <w:r>
        <w:rPr>
          <w:rFonts w:hint="eastAsia" w:ascii="宋体" w:hAnsi="宋体" w:cs="宋体"/>
          <w:szCs w:val="21"/>
          <w:highlight w:val="none"/>
          <w:lang w:eastAsia="zh-TW"/>
        </w:rPr>
        <w:t>”所有。</w:t>
      </w:r>
    </w:p>
    <w:p w14:paraId="32BF43EE">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139" w:name="_Toc410722646"/>
      <w:bookmarkStart w:id="140" w:name="_Toc14263"/>
      <w:bookmarkStart w:id="141" w:name="_Toc29721"/>
      <w:bookmarkStart w:id="142" w:name="_Toc355879675"/>
      <w:bookmarkStart w:id="143" w:name="_Toc1342"/>
      <w:bookmarkStart w:id="144" w:name="_Toc9088"/>
      <w:bookmarkStart w:id="145" w:name="_Toc11116"/>
      <w:bookmarkStart w:id="146" w:name="_Toc17515"/>
      <w:r>
        <w:rPr>
          <w:rFonts w:hint="eastAsia" w:ascii="宋体" w:hAnsi="宋体"/>
          <w:b/>
          <w:bCs/>
          <w:szCs w:val="21"/>
          <w:highlight w:val="none"/>
        </w:rPr>
        <w:t>招标文件的澄清</w:t>
      </w:r>
      <w:bookmarkEnd w:id="139"/>
      <w:bookmarkEnd w:id="140"/>
      <w:bookmarkEnd w:id="141"/>
      <w:bookmarkEnd w:id="142"/>
      <w:bookmarkEnd w:id="143"/>
      <w:bookmarkEnd w:id="144"/>
      <w:bookmarkEnd w:id="145"/>
      <w:bookmarkEnd w:id="146"/>
    </w:p>
    <w:p w14:paraId="7AB745CE">
      <w:pPr>
        <w:numPr>
          <w:ilvl w:val="1"/>
          <w:numId w:val="34"/>
        </w:numPr>
        <w:autoSpaceDE w:val="0"/>
        <w:autoSpaceDN w:val="0"/>
        <w:adjustRightInd w:val="0"/>
        <w:snapToGrid w:val="0"/>
        <w:spacing w:line="360" w:lineRule="auto"/>
        <w:rPr>
          <w:rFonts w:ascii="宋体" w:hAnsi="宋体" w:cs="宋体"/>
          <w:szCs w:val="21"/>
          <w:highlight w:val="none"/>
        </w:rPr>
      </w:pPr>
      <w:bookmarkStart w:id="147" w:name="_Toc355879676"/>
      <w:r>
        <w:rPr>
          <w:rFonts w:hint="eastAsia" w:ascii="宋体" w:hAnsi="宋体" w:cs="宋体"/>
          <w:szCs w:val="21"/>
          <w:highlight w:val="none"/>
        </w:rPr>
        <w:t>任何要求对招标文件进行澄清的投标人，均应以书面形式在投标截止时间10日前提出。招标代理机构将组织招标人对投标人所要求澄清的内容均以书面形式予以答复。必要时，招标人及招标代理机构将召开答疑会，并将会议内容以书面形式发给每个获取招标文件的潜在投标人，答复中不包括问题的来源。</w:t>
      </w:r>
    </w:p>
    <w:p w14:paraId="1039C39B">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rPr>
        <w:t>投标人在规定的时间内未对招标文件提出澄清或疑问的，招标人及招标代理机构将视其为无异议。对招标文件中描述有歧意或前后不一致的地方，评标委员会有权进行评判，但对同一条款的评判应适用于每个投标人。</w:t>
      </w:r>
    </w:p>
    <w:p w14:paraId="44942D7B">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rPr>
        <w:t>除非依本须知第9.1规定的有必要时或“第二章 投标资料表”中另有规定，不举行项目集中答疑会或现场考察，如果“第二章 投标资料表”中规定举行集中答疑会或现场考察，则包含下列规定：</w:t>
      </w:r>
    </w:p>
    <w:p w14:paraId="69CCAC3F">
      <w:pPr>
        <w:numPr>
          <w:ilvl w:val="2"/>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rPr>
        <w:t>在“第二章 投标资料表”中规定的日期、时间和地点组织公开答疑会或现场考察；</w:t>
      </w:r>
    </w:p>
    <w:p w14:paraId="3A3DDA83">
      <w:pPr>
        <w:numPr>
          <w:ilvl w:val="2"/>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rPr>
        <w:t>潜在投标人对本项目提出的疑问，需在答疑会或现场考察召开日前至少一个工作日将问题清单传真或以书面（加盖公章）形式提交至招标代理机构，潜在投标人代表于上述的时间和地点出席答疑会或现场考察。</w:t>
      </w:r>
    </w:p>
    <w:p w14:paraId="1BD6494D">
      <w:pPr>
        <w:numPr>
          <w:ilvl w:val="2"/>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rPr>
        <w:t>已获取招标文件的投标人如不出席答疑会或现场考察视为对招标文件所有内容无任何异。</w:t>
      </w:r>
    </w:p>
    <w:p w14:paraId="668DF9F5">
      <w:pPr>
        <w:numPr>
          <w:ilvl w:val="0"/>
          <w:numId w:val="34"/>
        </w:numPr>
        <w:autoSpaceDE w:val="0"/>
        <w:autoSpaceDN w:val="0"/>
        <w:adjustRightInd w:val="0"/>
        <w:snapToGrid w:val="0"/>
        <w:spacing w:line="360" w:lineRule="auto"/>
        <w:outlineLvl w:val="0"/>
        <w:rPr>
          <w:rFonts w:ascii="宋体" w:hAnsi="宋体" w:cs="宋体"/>
          <w:b/>
          <w:bCs/>
          <w:szCs w:val="21"/>
          <w:highlight w:val="none"/>
        </w:rPr>
      </w:pPr>
      <w:bookmarkStart w:id="148" w:name="_Toc23142"/>
      <w:bookmarkStart w:id="149" w:name="_Toc29995"/>
      <w:bookmarkStart w:id="150" w:name="_Toc21681"/>
      <w:bookmarkStart w:id="151" w:name="_Toc22853"/>
      <w:bookmarkStart w:id="152" w:name="_Toc23555"/>
      <w:r>
        <w:rPr>
          <w:rFonts w:hint="eastAsia" w:ascii="宋体" w:hAnsi="宋体" w:cs="宋体"/>
          <w:b/>
          <w:bCs/>
          <w:szCs w:val="21"/>
          <w:highlight w:val="none"/>
        </w:rPr>
        <w:t>招标文件的</w:t>
      </w:r>
      <w:bookmarkEnd w:id="148"/>
      <w:bookmarkEnd w:id="149"/>
      <w:bookmarkEnd w:id="150"/>
      <w:r>
        <w:rPr>
          <w:rFonts w:hint="eastAsia" w:ascii="宋体" w:hAnsi="宋体" w:cs="宋体"/>
          <w:b/>
          <w:bCs/>
          <w:szCs w:val="21"/>
          <w:highlight w:val="none"/>
        </w:rPr>
        <w:t>修改</w:t>
      </w:r>
      <w:bookmarkEnd w:id="151"/>
      <w:bookmarkEnd w:id="152"/>
    </w:p>
    <w:p w14:paraId="695286B5">
      <w:pPr>
        <w:numPr>
          <w:ilvl w:val="1"/>
          <w:numId w:val="34"/>
        </w:numPr>
        <w:autoSpaceDE w:val="0"/>
        <w:autoSpaceDN w:val="0"/>
        <w:adjustRightInd w:val="0"/>
        <w:snapToGrid w:val="0"/>
        <w:spacing w:line="360" w:lineRule="auto"/>
        <w:outlineLvl w:val="0"/>
        <w:rPr>
          <w:rFonts w:hint="eastAsia" w:ascii="宋体" w:hAnsi="宋体" w:cs="宋体"/>
          <w:szCs w:val="21"/>
          <w:highlight w:val="none"/>
        </w:rPr>
      </w:pPr>
      <w:bookmarkStart w:id="153" w:name="_Toc18492"/>
      <w:bookmarkStart w:id="154" w:name="_Toc5475"/>
      <w:r>
        <w:rPr>
          <w:rFonts w:hint="eastAsia" w:ascii="宋体" w:hAnsi="宋体" w:cs="宋体"/>
          <w:szCs w:val="21"/>
          <w:highlight w:val="none"/>
        </w:rPr>
        <w:t>在投标截止时间十五日以前，无论出于何种原因，招标代理机构和招标人可主动地或在解答投标人提出的疑问时对招标文件进行修改。但如果修改或补充招标文件的时间距投标截止时间不足15天，并且修改或补充内容影响投标文件编制的，将相应延长投标截止时间。</w:t>
      </w:r>
    </w:p>
    <w:p w14:paraId="5E9EF51C">
      <w:pPr>
        <w:numPr>
          <w:ilvl w:val="1"/>
          <w:numId w:val="34"/>
        </w:numPr>
        <w:autoSpaceDE w:val="0"/>
        <w:autoSpaceDN w:val="0"/>
        <w:adjustRightInd w:val="0"/>
        <w:snapToGrid w:val="0"/>
        <w:spacing w:line="360" w:lineRule="auto"/>
        <w:outlineLvl w:val="0"/>
        <w:rPr>
          <w:rFonts w:ascii="宋体" w:hAnsi="宋体" w:cs="宋体"/>
          <w:szCs w:val="21"/>
          <w:highlight w:val="none"/>
        </w:rPr>
      </w:pPr>
      <w:r>
        <w:rPr>
          <w:rFonts w:hint="eastAsia" w:ascii="宋体" w:hAnsi="宋体" w:cs="宋体"/>
          <w:szCs w:val="21"/>
          <w:highlight w:val="none"/>
        </w:rPr>
        <w:t>招标修改、补充文件一经在相关公告在媒体上公布即视为有效送达，不再另行通知</w:t>
      </w:r>
      <w:bookmarkEnd w:id="153"/>
      <w:bookmarkEnd w:id="154"/>
      <w:bookmarkStart w:id="155" w:name="_Toc1080"/>
      <w:bookmarkStart w:id="156" w:name="_Toc1961"/>
      <w:r>
        <w:rPr>
          <w:rFonts w:hint="eastAsia" w:ascii="宋体" w:hAnsi="宋体" w:cs="宋体"/>
          <w:szCs w:val="21"/>
          <w:highlight w:val="none"/>
          <w:lang w:eastAsia="zh-TW"/>
        </w:rPr>
        <w:t>。</w:t>
      </w:r>
      <w:bookmarkEnd w:id="155"/>
      <w:bookmarkEnd w:id="156"/>
    </w:p>
    <w:bookmarkEnd w:id="147"/>
    <w:p w14:paraId="28E1A9E4">
      <w:pPr>
        <w:numPr>
          <w:ilvl w:val="0"/>
          <w:numId w:val="33"/>
        </w:numPr>
        <w:autoSpaceDE w:val="0"/>
        <w:autoSpaceDN w:val="0"/>
        <w:adjustRightInd w:val="0"/>
        <w:snapToGrid w:val="0"/>
        <w:spacing w:before="312" w:beforeLines="100" w:after="312" w:afterLines="100" w:line="360" w:lineRule="auto"/>
        <w:jc w:val="center"/>
        <w:outlineLvl w:val="0"/>
        <w:rPr>
          <w:rFonts w:ascii="宋体" w:hAnsi="宋体"/>
          <w:b/>
          <w:sz w:val="28"/>
          <w:szCs w:val="28"/>
          <w:highlight w:val="none"/>
          <w:lang w:eastAsia="zh-TW"/>
        </w:rPr>
      </w:pPr>
      <w:bookmarkStart w:id="157" w:name="_Toc26247"/>
      <w:bookmarkStart w:id="158" w:name="_Toc21660"/>
      <w:bookmarkStart w:id="159" w:name="_Toc3135"/>
      <w:bookmarkStart w:id="160" w:name="_Toc355879677"/>
      <w:bookmarkStart w:id="161" w:name="_Toc410722648"/>
      <w:bookmarkStart w:id="162" w:name="_Toc26088"/>
      <w:bookmarkStart w:id="163" w:name="_Toc5604"/>
      <w:bookmarkStart w:id="164" w:name="_Toc20166"/>
      <w:r>
        <w:rPr>
          <w:rFonts w:hint="eastAsia" w:ascii="宋体" w:hAnsi="宋体"/>
          <w:b/>
          <w:sz w:val="28"/>
          <w:szCs w:val="28"/>
          <w:highlight w:val="none"/>
          <w:lang w:eastAsia="zh-TW"/>
        </w:rPr>
        <w:t>投标文件的编制</w:t>
      </w:r>
      <w:bookmarkEnd w:id="157"/>
      <w:bookmarkEnd w:id="158"/>
      <w:bookmarkEnd w:id="159"/>
      <w:bookmarkEnd w:id="160"/>
      <w:bookmarkEnd w:id="161"/>
      <w:bookmarkEnd w:id="162"/>
      <w:bookmarkEnd w:id="163"/>
      <w:bookmarkEnd w:id="164"/>
    </w:p>
    <w:p w14:paraId="65A497BF">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165" w:name="_Toc31456"/>
      <w:bookmarkStart w:id="166" w:name="_Toc29742"/>
      <w:bookmarkStart w:id="167" w:name="_Toc2181"/>
      <w:bookmarkStart w:id="168" w:name="_Toc14710"/>
      <w:bookmarkStart w:id="169" w:name="_Toc410722649"/>
      <w:bookmarkStart w:id="170" w:name="_Toc355879678"/>
      <w:bookmarkStart w:id="171" w:name="_Toc24052"/>
      <w:bookmarkStart w:id="172" w:name="_Toc15507"/>
      <w:r>
        <w:rPr>
          <w:rFonts w:hint="eastAsia" w:ascii="宋体" w:hAnsi="宋体"/>
          <w:b/>
          <w:bCs/>
          <w:szCs w:val="21"/>
          <w:highlight w:val="none"/>
        </w:rPr>
        <w:t>投标的语言</w:t>
      </w:r>
      <w:bookmarkEnd w:id="165"/>
      <w:bookmarkEnd w:id="166"/>
      <w:bookmarkEnd w:id="167"/>
      <w:bookmarkEnd w:id="168"/>
      <w:bookmarkEnd w:id="169"/>
      <w:bookmarkEnd w:id="170"/>
      <w:bookmarkEnd w:id="171"/>
      <w:bookmarkEnd w:id="172"/>
    </w:p>
    <w:p w14:paraId="4A3EAE4E">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投标人提交的投标文件以及投标人与招标采购单位就有关投标的所有来往函电均应使用中文书写</w:t>
      </w:r>
      <w:r>
        <w:rPr>
          <w:rFonts w:hint="eastAsia" w:ascii="宋体" w:hAnsi="宋体" w:cs="宋体"/>
          <w:szCs w:val="21"/>
          <w:highlight w:val="none"/>
        </w:rPr>
        <w:t>。投</w:t>
      </w:r>
      <w:r>
        <w:rPr>
          <w:rFonts w:hint="eastAsia" w:ascii="宋体" w:hAnsi="宋体" w:cs="宋体"/>
          <w:szCs w:val="21"/>
          <w:highlight w:val="none"/>
          <w:lang w:eastAsia="zh-TW"/>
        </w:rPr>
        <w:t>标人提交的支持资料</w:t>
      </w:r>
      <w:r>
        <w:rPr>
          <w:rFonts w:hint="eastAsia" w:ascii="宋体" w:hAnsi="宋体" w:cs="宋体"/>
          <w:szCs w:val="21"/>
          <w:highlight w:val="none"/>
        </w:rPr>
        <w:t>和已</w:t>
      </w:r>
      <w:r>
        <w:rPr>
          <w:rFonts w:hint="eastAsia" w:ascii="宋体" w:hAnsi="宋体" w:cs="宋体"/>
          <w:szCs w:val="21"/>
          <w:highlight w:val="none"/>
          <w:lang w:eastAsia="zh-TW"/>
        </w:rPr>
        <w:t>印刷的文献可以用另一种语言</w:t>
      </w:r>
      <w:r>
        <w:rPr>
          <w:rFonts w:hint="eastAsia" w:ascii="宋体" w:hAnsi="宋体" w:cs="宋体"/>
          <w:szCs w:val="21"/>
          <w:highlight w:val="none"/>
        </w:rPr>
        <w:t>，</w:t>
      </w:r>
      <w:r>
        <w:rPr>
          <w:rFonts w:hint="eastAsia" w:ascii="宋体" w:hAnsi="宋体" w:cs="宋体"/>
          <w:szCs w:val="21"/>
          <w:highlight w:val="none"/>
          <w:lang w:eastAsia="zh-TW"/>
        </w:rPr>
        <w:t>但相应内容应附有中文翻译本</w:t>
      </w:r>
      <w:r>
        <w:rPr>
          <w:rFonts w:hint="eastAsia" w:ascii="宋体" w:hAnsi="宋体" w:cs="宋体"/>
          <w:szCs w:val="21"/>
          <w:highlight w:val="none"/>
        </w:rPr>
        <w:t>，</w:t>
      </w:r>
      <w:r>
        <w:rPr>
          <w:rFonts w:hint="eastAsia" w:ascii="宋体" w:hAnsi="宋体" w:cs="宋体"/>
          <w:szCs w:val="21"/>
          <w:highlight w:val="none"/>
          <w:lang w:eastAsia="zh-TW"/>
        </w:rPr>
        <w:t>在解释投标文件的修改内容时以中文翻译本为准。对中文翻译有异议的</w:t>
      </w:r>
      <w:r>
        <w:rPr>
          <w:rFonts w:hint="eastAsia" w:ascii="宋体" w:hAnsi="宋体" w:cs="宋体"/>
          <w:szCs w:val="21"/>
          <w:highlight w:val="none"/>
        </w:rPr>
        <w:t>，</w:t>
      </w:r>
      <w:r>
        <w:rPr>
          <w:rFonts w:hint="eastAsia" w:ascii="宋体" w:hAnsi="宋体" w:cs="宋体"/>
          <w:szCs w:val="21"/>
          <w:highlight w:val="none"/>
          <w:lang w:eastAsia="zh-TW"/>
        </w:rPr>
        <w:t>以权威机构的译本为准。</w:t>
      </w:r>
    </w:p>
    <w:p w14:paraId="19CCDF7F">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173" w:name="_Toc19503"/>
      <w:bookmarkStart w:id="174" w:name="_Toc12915"/>
      <w:bookmarkStart w:id="175" w:name="_Toc13036"/>
      <w:bookmarkStart w:id="176" w:name="_Toc410722650"/>
      <w:bookmarkStart w:id="177" w:name="_Toc23228"/>
      <w:bookmarkStart w:id="178" w:name="_Toc4099"/>
      <w:bookmarkStart w:id="179" w:name="_Toc17095"/>
      <w:bookmarkStart w:id="180" w:name="_Toc355879679"/>
      <w:r>
        <w:rPr>
          <w:rFonts w:hint="eastAsia" w:ascii="宋体" w:hAnsi="宋体"/>
          <w:b/>
          <w:bCs/>
          <w:szCs w:val="21"/>
          <w:highlight w:val="none"/>
        </w:rPr>
        <w:t>投标文件的构成</w:t>
      </w:r>
      <w:bookmarkEnd w:id="173"/>
      <w:bookmarkEnd w:id="174"/>
      <w:bookmarkEnd w:id="175"/>
      <w:bookmarkEnd w:id="176"/>
      <w:bookmarkEnd w:id="177"/>
      <w:bookmarkEnd w:id="178"/>
      <w:bookmarkEnd w:id="179"/>
      <w:bookmarkEnd w:id="180"/>
    </w:p>
    <w:p w14:paraId="1A9456C4">
      <w:pPr>
        <w:numPr>
          <w:ilvl w:val="1"/>
          <w:numId w:val="34"/>
        </w:numPr>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投标人编写的投标文件应包括</w:t>
      </w:r>
      <w:r>
        <w:rPr>
          <w:rFonts w:hint="eastAsia" w:ascii="宋体" w:hAnsi="宋体" w:cs="宋体"/>
          <w:szCs w:val="21"/>
          <w:highlight w:val="none"/>
        </w:rPr>
        <w:t>初审文件、技术文件、商务文件</w:t>
      </w:r>
      <w:r>
        <w:rPr>
          <w:rFonts w:hint="eastAsia" w:ascii="宋体" w:hAnsi="宋体" w:cs="宋体"/>
          <w:szCs w:val="21"/>
          <w:highlight w:val="none"/>
          <w:lang w:eastAsia="zh-TW"/>
        </w:rPr>
        <w:t>，编排顺序参见投标文件格式</w:t>
      </w:r>
      <w:r>
        <w:rPr>
          <w:rFonts w:hint="eastAsia" w:ascii="宋体" w:hAnsi="宋体" w:cs="宋体"/>
          <w:szCs w:val="21"/>
          <w:highlight w:val="none"/>
        </w:rPr>
        <w:t>。</w:t>
      </w:r>
    </w:p>
    <w:p w14:paraId="3BB49E60">
      <w:pPr>
        <w:numPr>
          <w:ilvl w:val="1"/>
          <w:numId w:val="34"/>
        </w:numPr>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投标文件的构成应符合法律法规及招标文件的要求。</w:t>
      </w:r>
    </w:p>
    <w:p w14:paraId="4668776C">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181" w:name="_Toc17295"/>
      <w:bookmarkStart w:id="182" w:name="_Toc27856"/>
      <w:bookmarkStart w:id="183" w:name="_Toc4456"/>
      <w:bookmarkStart w:id="184" w:name="_Toc19522"/>
      <w:bookmarkStart w:id="185" w:name="_Toc25514"/>
      <w:bookmarkStart w:id="186" w:name="_Toc410722651"/>
      <w:bookmarkStart w:id="187" w:name="_Toc16244"/>
      <w:bookmarkStart w:id="188" w:name="_Toc355879680"/>
      <w:r>
        <w:rPr>
          <w:rFonts w:hint="eastAsia" w:ascii="宋体" w:hAnsi="宋体"/>
          <w:b/>
          <w:bCs/>
          <w:szCs w:val="21"/>
          <w:highlight w:val="none"/>
        </w:rPr>
        <w:t>投标文件的编写</w:t>
      </w:r>
      <w:bookmarkEnd w:id="181"/>
      <w:bookmarkEnd w:id="182"/>
      <w:bookmarkEnd w:id="183"/>
      <w:bookmarkEnd w:id="184"/>
      <w:bookmarkEnd w:id="185"/>
      <w:bookmarkEnd w:id="186"/>
      <w:bookmarkEnd w:id="187"/>
      <w:bookmarkEnd w:id="188"/>
    </w:p>
    <w:p w14:paraId="317FAFEC">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lang w:eastAsia="zh-TW"/>
        </w:rPr>
        <w:t>投标人应完整</w:t>
      </w:r>
      <w:r>
        <w:rPr>
          <w:rFonts w:hint="eastAsia" w:ascii="宋体" w:hAnsi="宋体" w:cs="宋体"/>
          <w:szCs w:val="21"/>
          <w:highlight w:val="none"/>
        </w:rPr>
        <w:t>、真实、准确</w:t>
      </w:r>
      <w:r>
        <w:rPr>
          <w:rFonts w:hint="eastAsia" w:ascii="宋体" w:hAnsi="宋体" w:cs="宋体"/>
          <w:szCs w:val="21"/>
          <w:highlight w:val="none"/>
          <w:lang w:eastAsia="zh-TW"/>
        </w:rPr>
        <w:t>地填写招标文件中提供的投标函以及招标文件中规定的其它</w:t>
      </w:r>
      <w:r>
        <w:rPr>
          <w:rFonts w:hint="eastAsia" w:ascii="宋体" w:hAnsi="宋体" w:cs="宋体"/>
          <w:szCs w:val="21"/>
          <w:highlight w:val="none"/>
        </w:rPr>
        <w:t>所有</w:t>
      </w:r>
      <w:r>
        <w:rPr>
          <w:rFonts w:hint="eastAsia" w:ascii="宋体" w:hAnsi="宋体" w:cs="宋体"/>
          <w:szCs w:val="21"/>
          <w:highlight w:val="none"/>
          <w:lang w:eastAsia="zh-TW"/>
        </w:rPr>
        <w:t>内容。</w:t>
      </w:r>
    </w:p>
    <w:p w14:paraId="4813D71B">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lang w:eastAsia="zh-TW"/>
        </w:rPr>
        <w:t>投标人应当对投标文件进行装订，对未经装订的投标文件可能发生的文件散落或缺损，由此造成的后果</w:t>
      </w:r>
      <w:r>
        <w:rPr>
          <w:rFonts w:hint="eastAsia" w:ascii="宋体" w:hAnsi="宋体" w:cs="宋体"/>
          <w:szCs w:val="21"/>
          <w:highlight w:val="none"/>
        </w:rPr>
        <w:t>和</w:t>
      </w:r>
      <w:r>
        <w:rPr>
          <w:rFonts w:hint="eastAsia" w:ascii="宋体" w:hAnsi="宋体" w:cs="宋体"/>
          <w:szCs w:val="21"/>
          <w:highlight w:val="none"/>
          <w:lang w:eastAsia="zh-TW"/>
        </w:rPr>
        <w:t>责任由投标人承担</w:t>
      </w:r>
      <w:r>
        <w:rPr>
          <w:rFonts w:hint="eastAsia" w:ascii="宋体" w:hAnsi="宋体" w:cs="宋体"/>
          <w:szCs w:val="21"/>
          <w:highlight w:val="none"/>
        </w:rPr>
        <w:t>。</w:t>
      </w:r>
    </w:p>
    <w:p w14:paraId="32311CF0">
      <w:pPr>
        <w:numPr>
          <w:ilvl w:val="1"/>
          <w:numId w:val="34"/>
        </w:numPr>
        <w:tabs>
          <w:tab w:val="left" w:pos="709"/>
        </w:tabs>
        <w:autoSpaceDE w:val="0"/>
        <w:autoSpaceDN w:val="0"/>
        <w:adjustRightInd w:val="0"/>
        <w:snapToGrid w:val="0"/>
        <w:spacing w:line="360" w:lineRule="auto"/>
        <w:rPr>
          <w:rFonts w:ascii="宋体" w:hAnsi="宋体" w:cs="宋体"/>
          <w:szCs w:val="21"/>
          <w:highlight w:val="none"/>
        </w:rPr>
      </w:pPr>
      <w:r>
        <w:rPr>
          <w:rFonts w:hint="eastAsia" w:ascii="宋体" w:hAnsi="宋体" w:cs="宋体"/>
          <w:bCs/>
          <w:szCs w:val="21"/>
          <w:highlight w:val="none"/>
        </w:rPr>
        <w:t>投标人必须对投标文件所提供的全部资料的真实性承担法律责任，并无条件接受招标采购单位及监督管理部门等对其中任何资料进行核实的要求</w:t>
      </w:r>
      <w:r>
        <w:rPr>
          <w:rFonts w:hint="eastAsia" w:ascii="宋体" w:hAnsi="宋体" w:cs="宋体"/>
          <w:szCs w:val="21"/>
          <w:highlight w:val="none"/>
          <w:lang w:eastAsia="zh-TW"/>
        </w:rPr>
        <w:t>。</w:t>
      </w:r>
    </w:p>
    <w:p w14:paraId="0D46F987">
      <w:pPr>
        <w:numPr>
          <w:ilvl w:val="1"/>
          <w:numId w:val="34"/>
        </w:numPr>
        <w:tabs>
          <w:tab w:val="left" w:pos="709"/>
        </w:tabs>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如果因为投标人</w:t>
      </w:r>
      <w:r>
        <w:rPr>
          <w:rFonts w:hint="eastAsia" w:ascii="宋体" w:hAnsi="宋体" w:cs="宋体"/>
          <w:szCs w:val="21"/>
          <w:highlight w:val="none"/>
        </w:rPr>
        <w:t>的</w:t>
      </w:r>
      <w:r>
        <w:rPr>
          <w:rFonts w:hint="eastAsia" w:ascii="宋体" w:hAnsi="宋体" w:cs="宋体"/>
          <w:szCs w:val="21"/>
          <w:highlight w:val="none"/>
          <w:lang w:eastAsia="zh-TW"/>
        </w:rPr>
        <w:t>投标文件只填写和提供了本</w:t>
      </w:r>
      <w:r>
        <w:rPr>
          <w:rFonts w:hint="eastAsia" w:ascii="宋体" w:hAnsi="宋体" w:cs="宋体"/>
          <w:szCs w:val="21"/>
          <w:highlight w:val="none"/>
        </w:rPr>
        <w:t>招标</w:t>
      </w:r>
      <w:r>
        <w:rPr>
          <w:rFonts w:hint="eastAsia" w:ascii="宋体" w:hAnsi="宋体" w:cs="宋体"/>
          <w:szCs w:val="21"/>
          <w:highlight w:val="none"/>
          <w:lang w:eastAsia="zh-TW"/>
        </w:rPr>
        <w:t>文件要求的部分内容和附件，或没有提供招标文件中所要求的全部资料及数据，由此造成的后果</w:t>
      </w:r>
      <w:r>
        <w:rPr>
          <w:rFonts w:hint="eastAsia" w:ascii="宋体" w:hAnsi="宋体" w:cs="宋体"/>
          <w:szCs w:val="21"/>
          <w:highlight w:val="none"/>
        </w:rPr>
        <w:t>和</w:t>
      </w:r>
      <w:r>
        <w:rPr>
          <w:rFonts w:hint="eastAsia" w:ascii="宋体" w:hAnsi="宋体" w:cs="宋体"/>
          <w:szCs w:val="21"/>
          <w:highlight w:val="none"/>
          <w:lang w:eastAsia="zh-TW"/>
        </w:rPr>
        <w:t>责任由投标人承担</w:t>
      </w:r>
      <w:r>
        <w:rPr>
          <w:rFonts w:hint="eastAsia" w:ascii="宋体" w:hAnsi="宋体" w:cs="宋体"/>
          <w:szCs w:val="21"/>
          <w:highlight w:val="none"/>
        </w:rPr>
        <w:t>。</w:t>
      </w:r>
    </w:p>
    <w:p w14:paraId="45931D97">
      <w:pPr>
        <w:numPr>
          <w:ilvl w:val="0"/>
          <w:numId w:val="34"/>
        </w:numPr>
        <w:autoSpaceDE w:val="0"/>
        <w:autoSpaceDN w:val="0"/>
        <w:adjustRightInd w:val="0"/>
        <w:snapToGrid w:val="0"/>
        <w:spacing w:line="360" w:lineRule="auto"/>
        <w:outlineLvl w:val="0"/>
        <w:rPr>
          <w:rFonts w:ascii="宋体" w:hAnsi="宋体" w:cs="黑体"/>
          <w:b/>
          <w:bCs/>
          <w:szCs w:val="21"/>
          <w:highlight w:val="none"/>
        </w:rPr>
      </w:pPr>
      <w:bookmarkStart w:id="189" w:name="_Toc13151"/>
      <w:bookmarkStart w:id="190" w:name="_Toc1974"/>
      <w:bookmarkStart w:id="191" w:name="_Toc6212"/>
      <w:bookmarkStart w:id="192" w:name="_Toc28475"/>
      <w:bookmarkStart w:id="193" w:name="_Toc6177"/>
      <w:r>
        <w:rPr>
          <w:rFonts w:hint="eastAsia" w:ascii="宋体" w:hAnsi="宋体"/>
          <w:b/>
          <w:bCs/>
          <w:szCs w:val="21"/>
          <w:highlight w:val="none"/>
          <w:lang w:eastAsia="zh-TW"/>
        </w:rPr>
        <w:t>投标报价</w:t>
      </w:r>
      <w:bookmarkEnd w:id="189"/>
      <w:bookmarkEnd w:id="190"/>
      <w:bookmarkEnd w:id="191"/>
      <w:bookmarkEnd w:id="192"/>
      <w:bookmarkEnd w:id="193"/>
      <w:bookmarkStart w:id="194" w:name="_Toc5487"/>
      <w:bookmarkStart w:id="195" w:name="_Toc14297"/>
      <w:bookmarkStart w:id="196" w:name="_Toc16674"/>
      <w:bookmarkStart w:id="197" w:name="_Toc5336"/>
      <w:bookmarkStart w:id="198" w:name="_Toc355879682"/>
      <w:bookmarkStart w:id="199" w:name="_Toc410722653"/>
    </w:p>
    <w:p w14:paraId="0CF100DD">
      <w:pPr>
        <w:numPr>
          <w:ilvl w:val="1"/>
          <w:numId w:val="34"/>
        </w:numPr>
        <w:autoSpaceDE w:val="0"/>
        <w:autoSpaceDN w:val="0"/>
        <w:adjustRightInd w:val="0"/>
        <w:snapToGrid w:val="0"/>
        <w:spacing w:line="360" w:lineRule="auto"/>
        <w:outlineLvl w:val="0"/>
        <w:rPr>
          <w:rFonts w:ascii="宋体" w:hAnsi="宋体"/>
          <w:szCs w:val="21"/>
          <w:highlight w:val="none"/>
        </w:rPr>
      </w:pPr>
      <w:bookmarkStart w:id="200" w:name="_Toc25121"/>
      <w:bookmarkStart w:id="201" w:name="_Toc7250"/>
      <w:r>
        <w:rPr>
          <w:rFonts w:hint="eastAsia" w:ascii="宋体" w:hAnsi="宋体" w:cs="宋体"/>
          <w:szCs w:val="21"/>
          <w:highlight w:val="none"/>
          <w:lang w:eastAsia="zh-TW"/>
        </w:rPr>
        <w:t>投标人按年化费率</w:t>
      </w:r>
      <w:r>
        <w:rPr>
          <w:rFonts w:hint="eastAsia" w:ascii="宋体" w:hAnsi="宋体" w:cs="宋体"/>
          <w:szCs w:val="21"/>
          <w:highlight w:val="none"/>
        </w:rPr>
        <w:t>（承销费率）</w:t>
      </w:r>
      <w:r>
        <w:rPr>
          <w:rFonts w:hint="eastAsia" w:ascii="宋体" w:hAnsi="宋体" w:cs="宋体"/>
          <w:szCs w:val="21"/>
          <w:highlight w:val="none"/>
          <w:lang w:eastAsia="zh-TW"/>
        </w:rPr>
        <w:t>进行报价。本次投标报价是唯一固定报价，此报价将作为评</w:t>
      </w:r>
      <w:r>
        <w:rPr>
          <w:rFonts w:hint="eastAsia" w:ascii="宋体" w:hAnsi="宋体" w:cs="宋体"/>
          <w:szCs w:val="21"/>
          <w:highlight w:val="none"/>
        </w:rPr>
        <w:t>标</w:t>
      </w:r>
      <w:r>
        <w:rPr>
          <w:rFonts w:hint="eastAsia" w:ascii="宋体" w:hAnsi="宋体" w:cs="宋体"/>
          <w:szCs w:val="21"/>
          <w:highlight w:val="none"/>
          <w:lang w:eastAsia="zh-TW"/>
        </w:rPr>
        <w:t>的重要依据之一，但并不是确定中标</w:t>
      </w:r>
      <w:r>
        <w:rPr>
          <w:rFonts w:hint="eastAsia" w:ascii="宋体" w:hAnsi="宋体" w:cs="宋体"/>
          <w:szCs w:val="21"/>
          <w:highlight w:val="none"/>
        </w:rPr>
        <w:t>人</w:t>
      </w:r>
      <w:r>
        <w:rPr>
          <w:rFonts w:hint="eastAsia" w:ascii="宋体" w:hAnsi="宋体" w:cs="宋体"/>
          <w:szCs w:val="21"/>
          <w:highlight w:val="none"/>
          <w:lang w:eastAsia="zh-TW"/>
        </w:rPr>
        <w:t>的唯一依据。投标</w:t>
      </w:r>
      <w:r>
        <w:rPr>
          <w:rFonts w:hint="eastAsia" w:ascii="宋体" w:hAnsi="宋体" w:cs="宋体"/>
          <w:szCs w:val="21"/>
          <w:highlight w:val="none"/>
        </w:rPr>
        <w:t>报价</w:t>
      </w:r>
      <w:r>
        <w:rPr>
          <w:rFonts w:hint="eastAsia" w:ascii="宋体" w:hAnsi="宋体" w:cs="宋体"/>
          <w:szCs w:val="21"/>
          <w:highlight w:val="none"/>
          <w:lang w:eastAsia="zh-TW"/>
        </w:rPr>
        <w:t>中不得包含招标文件要求以外的内容。投标</w:t>
      </w:r>
      <w:r>
        <w:rPr>
          <w:rFonts w:hint="eastAsia" w:ascii="宋体" w:hAnsi="宋体" w:cs="宋体"/>
          <w:szCs w:val="21"/>
          <w:highlight w:val="none"/>
        </w:rPr>
        <w:t>报价</w:t>
      </w:r>
      <w:r>
        <w:rPr>
          <w:rFonts w:hint="eastAsia" w:ascii="宋体" w:hAnsi="宋体" w:cs="宋体"/>
          <w:szCs w:val="21"/>
          <w:highlight w:val="none"/>
          <w:lang w:eastAsia="zh-TW"/>
        </w:rPr>
        <w:t>中也不得缺漏招标文件所要求的内容，否则，被视为</w:t>
      </w:r>
      <w:r>
        <w:rPr>
          <w:rFonts w:hint="eastAsia" w:ascii="宋体" w:hAnsi="宋体" w:cs="宋体"/>
          <w:szCs w:val="21"/>
          <w:highlight w:val="none"/>
        </w:rPr>
        <w:t>包含在投标报价中</w:t>
      </w:r>
      <w:r>
        <w:rPr>
          <w:rFonts w:hint="eastAsia" w:ascii="宋体" w:hAnsi="宋体" w:cs="宋体"/>
          <w:szCs w:val="21"/>
          <w:highlight w:val="none"/>
          <w:lang w:eastAsia="zh-TW"/>
        </w:rPr>
        <w:t>。</w:t>
      </w:r>
      <w:bookmarkEnd w:id="200"/>
      <w:bookmarkEnd w:id="201"/>
    </w:p>
    <w:p w14:paraId="641D422B">
      <w:pPr>
        <w:numPr>
          <w:ilvl w:val="1"/>
          <w:numId w:val="34"/>
        </w:numPr>
        <w:autoSpaceDE w:val="0"/>
        <w:autoSpaceDN w:val="0"/>
        <w:adjustRightInd w:val="0"/>
        <w:snapToGrid w:val="0"/>
        <w:spacing w:line="360" w:lineRule="auto"/>
        <w:outlineLvl w:val="0"/>
        <w:rPr>
          <w:rFonts w:ascii="宋体" w:hAnsi="宋体"/>
          <w:szCs w:val="21"/>
          <w:highlight w:val="none"/>
        </w:rPr>
      </w:pPr>
      <w:bookmarkStart w:id="202" w:name="_Toc5707"/>
      <w:bookmarkStart w:id="203" w:name="_Toc22804"/>
      <w:r>
        <w:rPr>
          <w:rFonts w:hint="eastAsia" w:ascii="宋体" w:hAnsi="宋体" w:cs="宋体"/>
          <w:szCs w:val="21"/>
          <w:highlight w:val="none"/>
        </w:rPr>
        <w:t>投</w:t>
      </w:r>
      <w:r>
        <w:rPr>
          <w:rFonts w:hint="eastAsia" w:ascii="宋体" w:hAnsi="宋体" w:cs="宋体"/>
          <w:szCs w:val="21"/>
          <w:highlight w:val="none"/>
          <w:lang w:eastAsia="zh-TW"/>
        </w:rPr>
        <w:t>标报价</w:t>
      </w:r>
      <w:r>
        <w:rPr>
          <w:rFonts w:hint="eastAsia" w:ascii="宋体" w:hAnsi="宋体" w:cs="宋体"/>
          <w:szCs w:val="21"/>
          <w:highlight w:val="none"/>
        </w:rPr>
        <w:t>已包括提供服务过程中可预见和不可预见的费用和合理利润，包括但不限于：申报材料制作费、主承销费用（包括中标人承销佣金、承销团成员的销售佣金等）、差旅费、餐费、办公费以及税金、保险、政策性文件规定费用等为完成本次公司债券注册发行过程中发生的一切费用，以及合同明示或暗示的所有责任、义务和一般风险</w:t>
      </w:r>
      <w:r>
        <w:rPr>
          <w:rFonts w:hint="eastAsia" w:ascii="宋体" w:hAnsi="宋体" w:cs="宋体"/>
          <w:szCs w:val="21"/>
          <w:highlight w:val="none"/>
          <w:lang w:eastAsia="zh-TW"/>
        </w:rPr>
        <w:t>。</w:t>
      </w:r>
      <w:bookmarkEnd w:id="202"/>
      <w:bookmarkEnd w:id="203"/>
    </w:p>
    <w:p w14:paraId="3B0F01B3">
      <w:pPr>
        <w:numPr>
          <w:ilvl w:val="2"/>
          <w:numId w:val="34"/>
        </w:numPr>
        <w:autoSpaceDE w:val="0"/>
        <w:autoSpaceDN w:val="0"/>
        <w:adjustRightInd w:val="0"/>
        <w:snapToGrid w:val="0"/>
        <w:spacing w:line="360" w:lineRule="auto"/>
        <w:outlineLvl w:val="0"/>
        <w:rPr>
          <w:rFonts w:ascii="宋体" w:hAnsi="宋体" w:cs="宋体"/>
          <w:szCs w:val="21"/>
          <w:highlight w:val="none"/>
        </w:rPr>
      </w:pPr>
      <w:bookmarkStart w:id="204" w:name="_Toc7178"/>
      <w:bookmarkStart w:id="205" w:name="_Toc26069"/>
      <w:r>
        <w:rPr>
          <w:rFonts w:hint="eastAsia" w:ascii="宋体" w:hAnsi="宋体" w:cs="宋体"/>
          <w:szCs w:val="21"/>
          <w:highlight w:val="none"/>
        </w:rPr>
        <w:t>招标文件要求全部服务所需的费用；</w:t>
      </w:r>
      <w:bookmarkEnd w:id="204"/>
      <w:bookmarkEnd w:id="205"/>
      <w:r>
        <w:rPr>
          <w:rFonts w:hint="eastAsia" w:ascii="宋体" w:hAnsi="宋体" w:cs="宋体"/>
          <w:szCs w:val="21"/>
          <w:highlight w:val="none"/>
        </w:rPr>
        <w:t xml:space="preserve"> </w:t>
      </w:r>
    </w:p>
    <w:p w14:paraId="16E65917">
      <w:pPr>
        <w:numPr>
          <w:ilvl w:val="2"/>
          <w:numId w:val="34"/>
        </w:numPr>
        <w:autoSpaceDE w:val="0"/>
        <w:autoSpaceDN w:val="0"/>
        <w:adjustRightInd w:val="0"/>
        <w:snapToGrid w:val="0"/>
        <w:spacing w:line="360" w:lineRule="auto"/>
        <w:outlineLvl w:val="0"/>
        <w:rPr>
          <w:rFonts w:ascii="宋体" w:hAnsi="宋体" w:cs="宋体"/>
          <w:szCs w:val="21"/>
          <w:highlight w:val="none"/>
        </w:rPr>
      </w:pPr>
      <w:bookmarkStart w:id="206" w:name="_Toc15177"/>
      <w:bookmarkStart w:id="207" w:name="_Toc11112"/>
      <w:r>
        <w:rPr>
          <w:rFonts w:hint="eastAsia" w:ascii="宋体" w:hAnsi="宋体" w:cs="宋体"/>
          <w:szCs w:val="21"/>
          <w:highlight w:val="none"/>
        </w:rPr>
        <w:t>投标报价包含投标人应承担的所有税费；</w:t>
      </w:r>
      <w:bookmarkEnd w:id="206"/>
      <w:bookmarkEnd w:id="207"/>
    </w:p>
    <w:p w14:paraId="49E5A4E8">
      <w:pPr>
        <w:numPr>
          <w:ilvl w:val="2"/>
          <w:numId w:val="34"/>
        </w:numPr>
        <w:autoSpaceDE w:val="0"/>
        <w:autoSpaceDN w:val="0"/>
        <w:adjustRightInd w:val="0"/>
        <w:snapToGrid w:val="0"/>
        <w:spacing w:line="360" w:lineRule="auto"/>
        <w:outlineLvl w:val="0"/>
        <w:rPr>
          <w:rFonts w:ascii="宋体" w:hAnsi="宋体" w:cs="宋体"/>
          <w:szCs w:val="21"/>
          <w:highlight w:val="none"/>
        </w:rPr>
      </w:pPr>
      <w:bookmarkStart w:id="208" w:name="_Toc17791"/>
      <w:bookmarkStart w:id="209" w:name="_Toc14691"/>
      <w:r>
        <w:rPr>
          <w:rFonts w:hint="eastAsia" w:ascii="宋体" w:hAnsi="宋体" w:cs="宋体"/>
          <w:szCs w:val="21"/>
          <w:highlight w:val="none"/>
        </w:rPr>
        <w:t>其他一切隐含及不可预见的费用。</w:t>
      </w:r>
      <w:bookmarkEnd w:id="208"/>
      <w:bookmarkEnd w:id="209"/>
    </w:p>
    <w:p w14:paraId="1C1DA929">
      <w:pPr>
        <w:numPr>
          <w:ilvl w:val="1"/>
          <w:numId w:val="34"/>
        </w:numPr>
        <w:autoSpaceDE w:val="0"/>
        <w:autoSpaceDN w:val="0"/>
        <w:adjustRightInd w:val="0"/>
        <w:snapToGrid w:val="0"/>
        <w:spacing w:line="360" w:lineRule="auto"/>
        <w:outlineLvl w:val="0"/>
        <w:rPr>
          <w:rFonts w:ascii="宋体" w:hAnsi="宋体" w:cs="宋体"/>
          <w:szCs w:val="21"/>
          <w:highlight w:val="none"/>
          <w:lang w:eastAsia="zh-TW"/>
        </w:rPr>
      </w:pPr>
      <w:bookmarkStart w:id="210" w:name="_Toc9119"/>
      <w:bookmarkStart w:id="211" w:name="_Toc27607"/>
      <w:r>
        <w:rPr>
          <w:rFonts w:hint="eastAsia" w:ascii="宋体" w:hAnsi="宋体" w:cs="宋体"/>
          <w:szCs w:val="21"/>
          <w:highlight w:val="none"/>
        </w:rPr>
        <w:t>投标报价为合同价，投标人不得在中标后提出任何增加费用的要求，投标人在投标时应充分考虑相关风险性因素。</w:t>
      </w:r>
      <w:bookmarkEnd w:id="210"/>
      <w:bookmarkEnd w:id="211"/>
    </w:p>
    <w:p w14:paraId="4259FE6E">
      <w:pPr>
        <w:numPr>
          <w:ilvl w:val="1"/>
          <w:numId w:val="34"/>
        </w:numPr>
        <w:autoSpaceDE w:val="0"/>
        <w:autoSpaceDN w:val="0"/>
        <w:adjustRightInd w:val="0"/>
        <w:snapToGrid w:val="0"/>
        <w:spacing w:line="360" w:lineRule="auto"/>
        <w:outlineLvl w:val="0"/>
        <w:rPr>
          <w:rFonts w:ascii="宋体" w:hAnsi="宋体" w:cs="宋体"/>
          <w:szCs w:val="21"/>
          <w:highlight w:val="none"/>
          <w:lang w:eastAsia="zh-TW"/>
        </w:rPr>
      </w:pPr>
      <w:bookmarkStart w:id="212" w:name="_Toc22397"/>
      <w:bookmarkStart w:id="213" w:name="_Toc29548"/>
      <w:r>
        <w:rPr>
          <w:rFonts w:hint="eastAsia" w:ascii="宋体" w:hAnsi="宋体" w:cs="宋体"/>
          <w:szCs w:val="21"/>
          <w:highlight w:val="none"/>
        </w:rPr>
        <w:t>投标人在中标并签署合同后，服务期限内出现的任何遗漏，均由中标人负责，招标人将不再支付其他任何费用。</w:t>
      </w:r>
      <w:bookmarkEnd w:id="212"/>
      <w:bookmarkEnd w:id="213"/>
    </w:p>
    <w:p w14:paraId="61176FF3">
      <w:pPr>
        <w:numPr>
          <w:ilvl w:val="1"/>
          <w:numId w:val="34"/>
        </w:numPr>
        <w:autoSpaceDE w:val="0"/>
        <w:autoSpaceDN w:val="0"/>
        <w:adjustRightInd w:val="0"/>
        <w:snapToGrid w:val="0"/>
        <w:spacing w:line="360" w:lineRule="auto"/>
        <w:outlineLvl w:val="0"/>
        <w:rPr>
          <w:rFonts w:ascii="宋体" w:hAnsi="宋体" w:cs="宋体"/>
          <w:szCs w:val="21"/>
          <w:highlight w:val="none"/>
          <w:lang w:eastAsia="zh-TW"/>
        </w:rPr>
      </w:pPr>
      <w:bookmarkStart w:id="214" w:name="_Toc9091"/>
      <w:bookmarkStart w:id="215" w:name="_Toc17313"/>
      <w:r>
        <w:rPr>
          <w:rFonts w:hint="eastAsia" w:ascii="宋体" w:hAnsi="宋体"/>
          <w:szCs w:val="21"/>
          <w:highlight w:val="none"/>
        </w:rPr>
        <w:t>对于报价中免费的内容，须标明</w:t>
      </w:r>
      <w:r>
        <w:rPr>
          <w:rFonts w:hint="eastAsia" w:ascii="宋体" w:hAnsi="宋体" w:cs="宋体"/>
          <w:szCs w:val="21"/>
          <w:highlight w:val="none"/>
          <w:lang w:eastAsia="zh-TW"/>
        </w:rPr>
        <w:t>“免费”。</w:t>
      </w:r>
      <w:bookmarkEnd w:id="214"/>
      <w:bookmarkEnd w:id="215"/>
    </w:p>
    <w:p w14:paraId="17E98FC0">
      <w:pPr>
        <w:numPr>
          <w:ilvl w:val="1"/>
          <w:numId w:val="34"/>
        </w:numPr>
        <w:autoSpaceDE w:val="0"/>
        <w:autoSpaceDN w:val="0"/>
        <w:adjustRightInd w:val="0"/>
        <w:snapToGrid w:val="0"/>
        <w:spacing w:line="360" w:lineRule="auto"/>
        <w:outlineLvl w:val="0"/>
        <w:rPr>
          <w:rFonts w:ascii="宋体" w:hAnsi="宋体" w:cs="宋体"/>
          <w:szCs w:val="21"/>
          <w:highlight w:val="none"/>
        </w:rPr>
      </w:pPr>
      <w:bookmarkStart w:id="216" w:name="_Toc23210"/>
      <w:bookmarkStart w:id="217" w:name="_Toc2479"/>
      <w:r>
        <w:rPr>
          <w:rFonts w:hint="eastAsia" w:ascii="宋体" w:hAnsi="宋体"/>
          <w:szCs w:val="21"/>
          <w:highlight w:val="none"/>
        </w:rPr>
        <w:t>除</w:t>
      </w:r>
      <w:r>
        <w:rPr>
          <w:rFonts w:hint="eastAsia" w:ascii="宋体" w:hAnsi="宋体"/>
          <w:b/>
          <w:szCs w:val="21"/>
          <w:highlight w:val="none"/>
        </w:rPr>
        <w:t>投标资料表</w:t>
      </w:r>
      <w:r>
        <w:rPr>
          <w:rFonts w:hint="eastAsia" w:ascii="宋体" w:hAnsi="宋体"/>
          <w:szCs w:val="21"/>
          <w:highlight w:val="none"/>
        </w:rPr>
        <w:t>中另有规定，</w:t>
      </w:r>
      <w:r>
        <w:rPr>
          <w:rFonts w:hint="eastAsia" w:ascii="宋体" w:hAnsi="宋体" w:cs="宋体"/>
          <w:szCs w:val="21"/>
          <w:highlight w:val="none"/>
          <w:lang w:eastAsia="zh-TW"/>
        </w:rPr>
        <w:t>投标人所报的投标价在合同执行过程中是固定不变的</w:t>
      </w:r>
      <w:r>
        <w:rPr>
          <w:rFonts w:hint="eastAsia" w:ascii="宋体" w:hAnsi="宋体" w:cs="宋体"/>
          <w:szCs w:val="21"/>
          <w:highlight w:val="none"/>
        </w:rPr>
        <w:t>，</w:t>
      </w:r>
      <w:r>
        <w:rPr>
          <w:rFonts w:hint="eastAsia" w:ascii="宋体" w:hAnsi="宋体" w:cs="宋体"/>
          <w:szCs w:val="21"/>
          <w:highlight w:val="none"/>
          <w:lang w:eastAsia="zh-TW"/>
        </w:rPr>
        <w:t>不得以任何理由予以变更。任何包含价格调整要求的投标被认为是非实质性响应投标而予以拒绝。</w:t>
      </w:r>
      <w:bookmarkEnd w:id="216"/>
      <w:bookmarkEnd w:id="217"/>
    </w:p>
    <w:p w14:paraId="3D1799D7">
      <w:pPr>
        <w:numPr>
          <w:ilvl w:val="1"/>
          <w:numId w:val="34"/>
        </w:numPr>
        <w:autoSpaceDE w:val="0"/>
        <w:autoSpaceDN w:val="0"/>
        <w:adjustRightInd w:val="0"/>
        <w:snapToGrid w:val="0"/>
        <w:spacing w:line="360" w:lineRule="auto"/>
        <w:outlineLvl w:val="0"/>
        <w:rPr>
          <w:rFonts w:ascii="宋体" w:hAnsi="宋体"/>
          <w:szCs w:val="21"/>
          <w:highlight w:val="none"/>
        </w:rPr>
      </w:pPr>
      <w:bookmarkStart w:id="218" w:name="_Toc29447"/>
      <w:bookmarkStart w:id="219" w:name="_Toc19230"/>
      <w:r>
        <w:rPr>
          <w:rFonts w:hint="eastAsia" w:ascii="宋体" w:hAnsi="宋体"/>
          <w:szCs w:val="21"/>
          <w:highlight w:val="none"/>
        </w:rPr>
        <w:t>除</w:t>
      </w:r>
      <w:r>
        <w:rPr>
          <w:rFonts w:hint="eastAsia" w:ascii="宋体" w:hAnsi="宋体"/>
          <w:b/>
          <w:szCs w:val="21"/>
          <w:highlight w:val="none"/>
        </w:rPr>
        <w:t>投标资料表</w:t>
      </w:r>
      <w:r>
        <w:rPr>
          <w:rFonts w:hint="eastAsia" w:ascii="宋体" w:hAnsi="宋体"/>
          <w:szCs w:val="21"/>
          <w:highlight w:val="none"/>
        </w:rPr>
        <w:t>中允许有备选方案外，本次招标不接受选择性报价，</w:t>
      </w:r>
      <w:r>
        <w:rPr>
          <w:rFonts w:hint="eastAsia" w:ascii="宋体" w:hAnsi="宋体" w:cs="宋体"/>
          <w:szCs w:val="21"/>
          <w:highlight w:val="none"/>
        </w:rPr>
        <w:t>否则将被视为无效投标。</w:t>
      </w:r>
      <w:bookmarkEnd w:id="218"/>
      <w:bookmarkEnd w:id="219"/>
    </w:p>
    <w:p w14:paraId="4D4F2CE8">
      <w:pPr>
        <w:numPr>
          <w:ilvl w:val="1"/>
          <w:numId w:val="34"/>
        </w:numPr>
        <w:autoSpaceDE w:val="0"/>
        <w:autoSpaceDN w:val="0"/>
        <w:adjustRightInd w:val="0"/>
        <w:snapToGrid w:val="0"/>
        <w:spacing w:line="360" w:lineRule="auto"/>
        <w:outlineLvl w:val="0"/>
        <w:rPr>
          <w:rFonts w:ascii="宋体" w:hAnsi="宋体"/>
          <w:szCs w:val="21"/>
          <w:highlight w:val="none"/>
        </w:rPr>
      </w:pPr>
      <w:bookmarkStart w:id="220" w:name="_Toc13225"/>
      <w:bookmarkStart w:id="221" w:name="_Toc13178"/>
      <w:r>
        <w:rPr>
          <w:rFonts w:hint="eastAsia" w:ascii="宋体" w:hAnsi="宋体"/>
          <w:szCs w:val="21"/>
          <w:highlight w:val="none"/>
        </w:rPr>
        <w:t>除</w:t>
      </w:r>
      <w:r>
        <w:rPr>
          <w:rFonts w:hint="eastAsia" w:ascii="宋体" w:hAnsi="宋体"/>
          <w:b/>
          <w:szCs w:val="21"/>
          <w:highlight w:val="none"/>
        </w:rPr>
        <w:t>投标资料表</w:t>
      </w:r>
      <w:r>
        <w:rPr>
          <w:rFonts w:hint="eastAsia" w:ascii="宋体" w:hAnsi="宋体" w:cs="宋体"/>
          <w:szCs w:val="21"/>
          <w:highlight w:val="none"/>
        </w:rPr>
        <w:t>另</w:t>
      </w:r>
      <w:r>
        <w:rPr>
          <w:rFonts w:hint="eastAsia" w:ascii="宋体" w:hAnsi="宋体"/>
          <w:szCs w:val="21"/>
          <w:highlight w:val="none"/>
        </w:rPr>
        <w:t>有规定外，本次招标不接受具有附加条件的报价，</w:t>
      </w:r>
      <w:r>
        <w:rPr>
          <w:rFonts w:hint="eastAsia" w:ascii="宋体" w:hAnsi="宋体" w:cs="宋体"/>
          <w:szCs w:val="21"/>
          <w:highlight w:val="none"/>
        </w:rPr>
        <w:t>否则将被视为无效投标。</w:t>
      </w:r>
      <w:bookmarkEnd w:id="220"/>
      <w:bookmarkEnd w:id="221"/>
    </w:p>
    <w:p w14:paraId="21449900">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222" w:name="_Toc6894"/>
      <w:bookmarkStart w:id="223" w:name="_Toc11830"/>
      <w:r>
        <w:rPr>
          <w:rFonts w:hint="eastAsia" w:ascii="宋体" w:hAnsi="宋体"/>
          <w:b/>
          <w:bCs/>
          <w:szCs w:val="21"/>
          <w:highlight w:val="none"/>
        </w:rPr>
        <w:t>投标货币</w:t>
      </w:r>
      <w:bookmarkEnd w:id="194"/>
      <w:bookmarkEnd w:id="195"/>
      <w:bookmarkEnd w:id="196"/>
      <w:bookmarkEnd w:id="197"/>
      <w:bookmarkEnd w:id="198"/>
      <w:bookmarkEnd w:id="199"/>
      <w:bookmarkEnd w:id="222"/>
      <w:bookmarkEnd w:id="223"/>
    </w:p>
    <w:p w14:paraId="37608F70">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szCs w:val="21"/>
          <w:highlight w:val="none"/>
        </w:rPr>
        <w:t>投标人所提供的货物和服务均应以人民币报价。</w:t>
      </w:r>
    </w:p>
    <w:p w14:paraId="58A07131">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224" w:name="_Toc32602"/>
      <w:bookmarkStart w:id="225" w:name="_Toc22191"/>
      <w:bookmarkStart w:id="226" w:name="_Toc355879683"/>
      <w:bookmarkStart w:id="227" w:name="_Toc3695"/>
      <w:bookmarkStart w:id="228" w:name="_Toc410722654"/>
      <w:bookmarkStart w:id="229" w:name="_Toc23014"/>
      <w:bookmarkStart w:id="230" w:name="_Toc2414"/>
      <w:bookmarkStart w:id="231" w:name="_Toc12775"/>
      <w:r>
        <w:rPr>
          <w:rFonts w:hint="eastAsia" w:ascii="宋体" w:hAnsi="宋体"/>
          <w:b/>
          <w:bCs/>
          <w:szCs w:val="21"/>
          <w:highlight w:val="none"/>
        </w:rPr>
        <w:t>联合体投标</w:t>
      </w:r>
      <w:bookmarkEnd w:id="224"/>
      <w:bookmarkEnd w:id="225"/>
      <w:bookmarkEnd w:id="226"/>
      <w:bookmarkEnd w:id="227"/>
      <w:bookmarkEnd w:id="228"/>
      <w:bookmarkEnd w:id="229"/>
      <w:bookmarkEnd w:id="230"/>
      <w:r>
        <w:rPr>
          <w:rFonts w:hint="eastAsia" w:ascii="宋体" w:hAnsi="宋体"/>
          <w:b/>
          <w:bCs/>
          <w:szCs w:val="21"/>
          <w:highlight w:val="none"/>
        </w:rPr>
        <w:t>（本项目不适用）</w:t>
      </w:r>
      <w:bookmarkEnd w:id="231"/>
    </w:p>
    <w:p w14:paraId="047779E4">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232" w:name="_Toc355879684"/>
      <w:bookmarkStart w:id="233" w:name="_Toc4793"/>
      <w:bookmarkStart w:id="234" w:name="_Toc28682"/>
      <w:bookmarkStart w:id="235" w:name="_Toc30731"/>
      <w:bookmarkStart w:id="236" w:name="_Toc1681"/>
      <w:bookmarkStart w:id="237" w:name="_Toc30767"/>
      <w:bookmarkStart w:id="238" w:name="_Toc410722655"/>
      <w:bookmarkStart w:id="239" w:name="_Toc30126"/>
      <w:r>
        <w:rPr>
          <w:rFonts w:hint="eastAsia" w:ascii="宋体" w:hAnsi="宋体"/>
          <w:b/>
          <w:bCs/>
          <w:szCs w:val="21"/>
          <w:highlight w:val="none"/>
        </w:rPr>
        <w:t>证明投标人合格和资格的文件</w:t>
      </w:r>
      <w:bookmarkEnd w:id="232"/>
      <w:bookmarkEnd w:id="233"/>
      <w:bookmarkEnd w:id="234"/>
      <w:bookmarkEnd w:id="235"/>
      <w:bookmarkEnd w:id="236"/>
      <w:bookmarkEnd w:id="237"/>
      <w:bookmarkEnd w:id="238"/>
      <w:bookmarkEnd w:id="239"/>
    </w:p>
    <w:p w14:paraId="091215F5">
      <w:pPr>
        <w:numPr>
          <w:ilvl w:val="1"/>
          <w:numId w:val="34"/>
        </w:numPr>
        <w:autoSpaceDE w:val="0"/>
        <w:autoSpaceDN w:val="0"/>
        <w:adjustRightInd w:val="0"/>
        <w:snapToGrid w:val="0"/>
        <w:spacing w:line="360" w:lineRule="auto"/>
        <w:jc w:val="left"/>
        <w:rPr>
          <w:rFonts w:ascii="宋体" w:hAnsi="宋体" w:cs="黑体"/>
          <w:b/>
          <w:bCs/>
          <w:szCs w:val="21"/>
          <w:highlight w:val="none"/>
        </w:rPr>
      </w:pPr>
      <w:r>
        <w:rPr>
          <w:rFonts w:hint="eastAsia" w:ascii="宋体" w:hAnsi="宋体" w:cs="宋体"/>
          <w:szCs w:val="21"/>
          <w:highlight w:val="none"/>
          <w:lang w:eastAsia="zh-TW"/>
        </w:rPr>
        <w:t>投标人应提交证明其有资格参加投标和中标后有能力履行合同的文件</w:t>
      </w:r>
      <w:r>
        <w:rPr>
          <w:rFonts w:hint="eastAsia" w:ascii="宋体" w:hAnsi="宋体" w:cs="宋体"/>
          <w:szCs w:val="21"/>
          <w:highlight w:val="none"/>
        </w:rPr>
        <w:t>，</w:t>
      </w:r>
      <w:r>
        <w:rPr>
          <w:rFonts w:hint="eastAsia" w:ascii="宋体" w:hAnsi="宋体" w:cs="宋体"/>
          <w:szCs w:val="21"/>
          <w:highlight w:val="none"/>
          <w:lang w:eastAsia="zh-TW"/>
        </w:rPr>
        <w:t>并作为其投标文件的一部分。</w:t>
      </w:r>
    </w:p>
    <w:p w14:paraId="60ED3F3B">
      <w:pPr>
        <w:numPr>
          <w:ilvl w:val="1"/>
          <w:numId w:val="34"/>
        </w:numPr>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投标人提交的资格证明文件应证明其</w:t>
      </w:r>
      <w:r>
        <w:rPr>
          <w:rFonts w:hint="eastAsia" w:ascii="宋体" w:hAnsi="宋体" w:cs="宋体"/>
          <w:szCs w:val="21"/>
          <w:highlight w:val="none"/>
        </w:rPr>
        <w:t>满足</w:t>
      </w:r>
      <w:r>
        <w:rPr>
          <w:rFonts w:hint="eastAsia" w:ascii="宋体" w:hAnsi="宋体" w:cs="宋体"/>
          <w:szCs w:val="21"/>
          <w:highlight w:val="none"/>
          <w:lang w:eastAsia="zh-TW"/>
        </w:rPr>
        <w:t>本须知定义的合格投标人。</w:t>
      </w:r>
    </w:p>
    <w:p w14:paraId="6E450C4C">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240" w:name="_Toc11606"/>
      <w:bookmarkStart w:id="241" w:name="_Toc410722657"/>
      <w:bookmarkStart w:id="242" w:name="_Toc6706"/>
      <w:bookmarkStart w:id="243" w:name="_Toc6850"/>
      <w:bookmarkStart w:id="244" w:name="_Toc9935"/>
      <w:bookmarkStart w:id="245" w:name="_Toc22221"/>
      <w:bookmarkStart w:id="246" w:name="_Toc355879686"/>
      <w:bookmarkStart w:id="247" w:name="_Toc26470"/>
      <w:r>
        <w:rPr>
          <w:rFonts w:hint="eastAsia" w:ascii="宋体" w:hAnsi="宋体"/>
          <w:b/>
          <w:bCs/>
          <w:szCs w:val="21"/>
          <w:highlight w:val="none"/>
        </w:rPr>
        <w:t>投标保证金</w:t>
      </w:r>
      <w:bookmarkEnd w:id="240"/>
      <w:bookmarkEnd w:id="241"/>
      <w:bookmarkEnd w:id="242"/>
      <w:bookmarkEnd w:id="243"/>
      <w:bookmarkEnd w:id="244"/>
      <w:bookmarkEnd w:id="245"/>
      <w:bookmarkEnd w:id="246"/>
      <w:bookmarkEnd w:id="247"/>
    </w:p>
    <w:p w14:paraId="67C9B5F0">
      <w:pPr>
        <w:numPr>
          <w:ilvl w:val="1"/>
          <w:numId w:val="34"/>
        </w:numPr>
        <w:autoSpaceDE w:val="0"/>
        <w:autoSpaceDN w:val="0"/>
        <w:adjustRightInd w:val="0"/>
        <w:snapToGrid w:val="0"/>
        <w:spacing w:line="360" w:lineRule="auto"/>
        <w:jc w:val="left"/>
        <w:rPr>
          <w:rFonts w:ascii="宋体" w:hAnsi="宋体" w:cs="黑体"/>
          <w:b/>
          <w:bCs/>
          <w:szCs w:val="21"/>
          <w:highlight w:val="none"/>
        </w:rPr>
      </w:pPr>
      <w:bookmarkStart w:id="248" w:name="_Toc355879687"/>
      <w:r>
        <w:rPr>
          <w:rFonts w:hint="eastAsia" w:ascii="宋体" w:hAnsi="宋体" w:cs="宋体"/>
          <w:szCs w:val="21"/>
          <w:highlight w:val="none"/>
          <w:lang w:eastAsia="zh-TW"/>
        </w:rPr>
        <w:t>投标人应</w:t>
      </w:r>
      <w:r>
        <w:rPr>
          <w:rFonts w:hint="eastAsia" w:ascii="宋体" w:hAnsi="宋体" w:cs="宋体"/>
          <w:szCs w:val="21"/>
          <w:highlight w:val="none"/>
        </w:rPr>
        <w:t>按</w:t>
      </w:r>
      <w:r>
        <w:rPr>
          <w:rFonts w:hint="eastAsia" w:ascii="宋体" w:hAnsi="宋体" w:cs="宋体"/>
          <w:b/>
          <w:szCs w:val="21"/>
          <w:highlight w:val="none"/>
          <w:lang w:eastAsia="zh-CN"/>
        </w:rPr>
        <w:t>采购公告</w:t>
      </w:r>
      <w:r>
        <w:rPr>
          <w:rFonts w:hint="eastAsia" w:ascii="宋体" w:hAnsi="宋体" w:cs="宋体"/>
          <w:szCs w:val="21"/>
          <w:highlight w:val="none"/>
          <w:lang w:eastAsia="zh-TW"/>
        </w:rPr>
        <w:t>中规定</w:t>
      </w:r>
      <w:r>
        <w:rPr>
          <w:rFonts w:hint="eastAsia" w:ascii="宋体" w:hAnsi="宋体" w:cs="宋体"/>
          <w:szCs w:val="21"/>
          <w:highlight w:val="none"/>
        </w:rPr>
        <w:t>的金</w:t>
      </w:r>
      <w:r>
        <w:rPr>
          <w:rFonts w:hint="eastAsia" w:ascii="宋体" w:hAnsi="宋体" w:cs="宋体"/>
          <w:szCs w:val="21"/>
          <w:highlight w:val="none"/>
          <w:lang w:eastAsia="zh-TW"/>
        </w:rPr>
        <w:t>额</w:t>
      </w:r>
      <w:r>
        <w:rPr>
          <w:rFonts w:hint="eastAsia" w:ascii="宋体" w:hAnsi="宋体" w:cs="宋体"/>
          <w:szCs w:val="21"/>
          <w:highlight w:val="none"/>
        </w:rPr>
        <w:t>、期限缴纳</w:t>
      </w:r>
      <w:r>
        <w:rPr>
          <w:rFonts w:hint="eastAsia" w:ascii="宋体" w:hAnsi="宋体" w:cs="宋体"/>
          <w:szCs w:val="21"/>
          <w:highlight w:val="none"/>
          <w:lang w:eastAsia="zh-TW"/>
        </w:rPr>
        <w:t>投标保证金</w:t>
      </w:r>
      <w:r>
        <w:rPr>
          <w:rFonts w:hint="eastAsia" w:ascii="宋体" w:hAnsi="宋体" w:cs="宋体"/>
          <w:szCs w:val="21"/>
          <w:highlight w:val="none"/>
        </w:rPr>
        <w:t>，</w:t>
      </w:r>
      <w:r>
        <w:rPr>
          <w:rFonts w:hint="eastAsia" w:ascii="宋体" w:hAnsi="宋体" w:cs="宋体"/>
          <w:szCs w:val="21"/>
          <w:highlight w:val="none"/>
          <w:lang w:eastAsia="zh-TW"/>
        </w:rPr>
        <w:t>并作为其投标</w:t>
      </w:r>
      <w:r>
        <w:rPr>
          <w:rFonts w:hint="eastAsia" w:ascii="宋体" w:hAnsi="宋体" w:cs="宋体"/>
          <w:szCs w:val="21"/>
          <w:highlight w:val="none"/>
        </w:rPr>
        <w:t>文件的组成</w:t>
      </w:r>
      <w:r>
        <w:rPr>
          <w:rFonts w:hint="eastAsia" w:ascii="宋体" w:hAnsi="宋体" w:cs="宋体"/>
          <w:szCs w:val="21"/>
          <w:highlight w:val="none"/>
          <w:lang w:eastAsia="zh-TW"/>
        </w:rPr>
        <w:t>部分。</w:t>
      </w:r>
    </w:p>
    <w:p w14:paraId="53581807">
      <w:pPr>
        <w:numPr>
          <w:ilvl w:val="1"/>
          <w:numId w:val="34"/>
        </w:numPr>
        <w:autoSpaceDE w:val="0"/>
        <w:autoSpaceDN w:val="0"/>
        <w:adjustRightInd w:val="0"/>
        <w:snapToGrid w:val="0"/>
        <w:spacing w:line="360" w:lineRule="auto"/>
        <w:jc w:val="left"/>
        <w:rPr>
          <w:rFonts w:ascii="宋体" w:hAnsi="宋体" w:cs="宋体"/>
          <w:b/>
          <w:bCs/>
          <w:szCs w:val="21"/>
          <w:highlight w:val="none"/>
          <w:lang w:eastAsia="zh-TW"/>
        </w:rPr>
      </w:pPr>
      <w:r>
        <w:rPr>
          <w:rFonts w:hint="eastAsia" w:ascii="宋体" w:hAnsi="宋体" w:cs="宋体"/>
          <w:b/>
          <w:bCs/>
          <w:szCs w:val="21"/>
          <w:highlight w:val="none"/>
          <w:lang w:eastAsia="zh-TW"/>
        </w:rPr>
        <w:t>投标人撤回已提交的投标文件，应当在投标截止时间前书面通知招标人。佛山市南海公有资产流转服务有限公司已收取投标保证金的，应当自收到投标人《企业采购保证金退付委托书》和营业执照复印件（盖公章）起5个工作日内退还</w:t>
      </w:r>
      <w:r>
        <w:rPr>
          <w:rFonts w:hint="eastAsia" w:ascii="宋体" w:hAnsi="宋体" w:cs="宋体"/>
          <w:b/>
          <w:bCs/>
          <w:szCs w:val="21"/>
          <w:highlight w:val="none"/>
        </w:rPr>
        <w:t>（不计利息）</w:t>
      </w:r>
      <w:r>
        <w:rPr>
          <w:rFonts w:hint="eastAsia" w:ascii="宋体" w:hAnsi="宋体" w:cs="宋体"/>
          <w:b/>
          <w:bCs/>
          <w:szCs w:val="21"/>
          <w:highlight w:val="none"/>
          <w:lang w:eastAsia="zh-TW"/>
        </w:rPr>
        <w:t>。</w:t>
      </w:r>
    </w:p>
    <w:p w14:paraId="217EF3A8">
      <w:pPr>
        <w:numPr>
          <w:ilvl w:val="1"/>
          <w:numId w:val="34"/>
        </w:numPr>
        <w:autoSpaceDE w:val="0"/>
        <w:autoSpaceDN w:val="0"/>
        <w:adjustRightInd w:val="0"/>
        <w:snapToGrid w:val="0"/>
        <w:spacing w:line="360" w:lineRule="auto"/>
        <w:jc w:val="left"/>
        <w:rPr>
          <w:rFonts w:ascii="宋体" w:hAnsi="宋体" w:cs="宋体"/>
          <w:b/>
          <w:bCs/>
          <w:szCs w:val="21"/>
          <w:highlight w:val="none"/>
          <w:lang w:eastAsia="zh-TW"/>
        </w:rPr>
      </w:pPr>
      <w:r>
        <w:rPr>
          <w:rFonts w:hint="eastAsia" w:ascii="宋体" w:hAnsi="宋体" w:cs="宋体"/>
          <w:b/>
          <w:bCs/>
          <w:szCs w:val="21"/>
          <w:highlight w:val="none"/>
          <w:lang w:eastAsia="zh-TW"/>
        </w:rPr>
        <w:t>未中标投标人的投标保证金由佛山市南海公有资产流转服务有限公司在发布采购结果公告后的5个工作日内退回（不计利息）；招标人在与中标人签署采购合同后7个工作日内，凭有效的合同原件到佛山市南海公有资产流转服务有限公司进行备案。佛山市南海公有资产流转服务有限公司自收到合同原件后5个工作日内退回中标人的投标保证金（不计利息）。</w:t>
      </w:r>
    </w:p>
    <w:p w14:paraId="6FCBF042">
      <w:pPr>
        <w:numPr>
          <w:ilvl w:val="1"/>
          <w:numId w:val="34"/>
        </w:numPr>
        <w:autoSpaceDE w:val="0"/>
        <w:autoSpaceDN w:val="0"/>
        <w:adjustRightInd w:val="0"/>
        <w:snapToGrid w:val="0"/>
        <w:spacing w:line="360" w:lineRule="auto"/>
        <w:jc w:val="left"/>
        <w:rPr>
          <w:rFonts w:ascii="宋体" w:hAnsi="宋体"/>
          <w:szCs w:val="21"/>
          <w:highlight w:val="none"/>
        </w:rPr>
      </w:pPr>
      <w:r>
        <w:rPr>
          <w:rFonts w:hint="eastAsia" w:ascii="宋体" w:hAnsi="宋体" w:cs="宋体"/>
          <w:szCs w:val="21"/>
          <w:highlight w:val="none"/>
          <w:lang w:eastAsia="zh-TW"/>
        </w:rPr>
        <w:t>下列任一情况发生时</w:t>
      </w:r>
      <w:r>
        <w:rPr>
          <w:rFonts w:hint="eastAsia" w:ascii="宋体" w:hAnsi="宋体" w:cs="宋体"/>
          <w:szCs w:val="21"/>
          <w:highlight w:val="none"/>
        </w:rPr>
        <w:t>，</w:t>
      </w:r>
      <w:r>
        <w:rPr>
          <w:rFonts w:hint="eastAsia" w:ascii="宋体" w:hAnsi="宋体" w:cs="宋体"/>
          <w:szCs w:val="21"/>
          <w:highlight w:val="none"/>
          <w:lang w:eastAsia="zh-TW"/>
        </w:rPr>
        <w:t>投标保证金将被没收</w:t>
      </w:r>
      <w:r>
        <w:rPr>
          <w:rFonts w:hint="eastAsia" w:ascii="宋体" w:hAnsi="宋体" w:cs="宋体"/>
          <w:szCs w:val="21"/>
          <w:highlight w:val="none"/>
        </w:rPr>
        <w:t>：</w:t>
      </w:r>
    </w:p>
    <w:p w14:paraId="011D74F8">
      <w:pPr>
        <w:numPr>
          <w:ilvl w:val="2"/>
          <w:numId w:val="34"/>
        </w:numPr>
        <w:tabs>
          <w:tab w:val="left" w:pos="851"/>
          <w:tab w:val="left" w:pos="1418"/>
        </w:tabs>
        <w:autoSpaceDE w:val="0"/>
        <w:autoSpaceDN w:val="0"/>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投标人在招标文件中规定的投标有效期内撤回其投标；</w:t>
      </w:r>
    </w:p>
    <w:p w14:paraId="159F25CA">
      <w:pPr>
        <w:numPr>
          <w:ilvl w:val="2"/>
          <w:numId w:val="34"/>
        </w:numPr>
        <w:tabs>
          <w:tab w:val="left" w:pos="851"/>
          <w:tab w:val="left" w:pos="1418"/>
        </w:tabs>
        <w:autoSpaceDE w:val="0"/>
        <w:autoSpaceDN w:val="0"/>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lang w:eastAsia="zh-TW"/>
        </w:rPr>
        <w:t>在</w:t>
      </w:r>
      <w:r>
        <w:rPr>
          <w:rFonts w:hint="eastAsia" w:ascii="宋体" w:hAnsi="宋体" w:cs="宋体"/>
          <w:szCs w:val="21"/>
          <w:highlight w:val="none"/>
        </w:rPr>
        <w:t>招标</w:t>
      </w:r>
      <w:r>
        <w:rPr>
          <w:rFonts w:hint="eastAsia" w:ascii="宋体" w:hAnsi="宋体" w:cs="宋体"/>
          <w:szCs w:val="21"/>
          <w:highlight w:val="none"/>
          <w:lang w:eastAsia="zh-TW"/>
        </w:rPr>
        <w:t>文件中提供虚假材料的；</w:t>
      </w:r>
    </w:p>
    <w:p w14:paraId="14949BE3">
      <w:pPr>
        <w:numPr>
          <w:ilvl w:val="2"/>
          <w:numId w:val="34"/>
        </w:numPr>
        <w:tabs>
          <w:tab w:val="left" w:pos="851"/>
          <w:tab w:val="left" w:pos="1418"/>
        </w:tabs>
        <w:autoSpaceDE w:val="0"/>
        <w:autoSpaceDN w:val="0"/>
        <w:adjustRightInd w:val="0"/>
        <w:snapToGrid w:val="0"/>
        <w:spacing w:line="360" w:lineRule="auto"/>
        <w:jc w:val="left"/>
        <w:rPr>
          <w:rFonts w:ascii="宋体" w:hAnsi="宋体" w:cs="宋体"/>
          <w:szCs w:val="21"/>
          <w:highlight w:val="none"/>
        </w:rPr>
      </w:pPr>
      <w:r>
        <w:rPr>
          <w:rFonts w:hint="eastAsia" w:ascii="宋体" w:hAnsi="宋体"/>
          <w:szCs w:val="21"/>
          <w:highlight w:val="none"/>
        </w:rPr>
        <w:t>除因不可抗力或招标文件认可的情形以外，中标人不与招标人签订合同的</w:t>
      </w:r>
      <w:r>
        <w:rPr>
          <w:rFonts w:hint="eastAsia" w:ascii="宋体" w:hAnsi="宋体" w:cs="宋体"/>
          <w:szCs w:val="21"/>
          <w:highlight w:val="none"/>
        </w:rPr>
        <w:t>；</w:t>
      </w:r>
    </w:p>
    <w:p w14:paraId="153814B2">
      <w:pPr>
        <w:numPr>
          <w:ilvl w:val="2"/>
          <w:numId w:val="34"/>
        </w:numPr>
        <w:tabs>
          <w:tab w:val="left" w:pos="1418"/>
          <w:tab w:val="clear" w:pos="1135"/>
        </w:tabs>
        <w:autoSpaceDE w:val="0"/>
        <w:autoSpaceDN w:val="0"/>
        <w:adjustRightInd w:val="0"/>
        <w:snapToGrid w:val="0"/>
        <w:spacing w:line="360" w:lineRule="auto"/>
        <w:ind w:left="1418" w:hanging="850"/>
        <w:jc w:val="left"/>
        <w:rPr>
          <w:rFonts w:ascii="宋体" w:hAnsi="宋体" w:cs="宋体"/>
          <w:szCs w:val="21"/>
          <w:highlight w:val="none"/>
        </w:rPr>
      </w:pPr>
      <w:r>
        <w:rPr>
          <w:rFonts w:hint="eastAsia" w:ascii="宋体" w:hAnsi="宋体" w:cs="宋体"/>
          <w:szCs w:val="21"/>
          <w:highlight w:val="none"/>
        </w:rPr>
        <w:t>将中标项目转让给他人，或者在投标文件中未说明，且未经招标人同意，违反招标文件规定，将中标项目分包给他人的；</w:t>
      </w:r>
    </w:p>
    <w:p w14:paraId="0819BAE0">
      <w:pPr>
        <w:numPr>
          <w:ilvl w:val="2"/>
          <w:numId w:val="34"/>
        </w:numPr>
        <w:tabs>
          <w:tab w:val="left" w:pos="851"/>
          <w:tab w:val="left" w:pos="1418"/>
        </w:tabs>
        <w:autoSpaceDE w:val="0"/>
        <w:autoSpaceDN w:val="0"/>
        <w:adjustRightInd w:val="0"/>
        <w:snapToGrid w:val="0"/>
        <w:spacing w:line="360" w:lineRule="auto"/>
        <w:jc w:val="left"/>
        <w:rPr>
          <w:rFonts w:ascii="宋体" w:hAnsi="宋体" w:cs="宋体"/>
          <w:szCs w:val="21"/>
          <w:highlight w:val="none"/>
        </w:rPr>
      </w:pPr>
      <w:r>
        <w:rPr>
          <w:rFonts w:hint="eastAsia" w:ascii="宋体" w:hAnsi="宋体"/>
          <w:szCs w:val="21"/>
          <w:highlight w:val="none"/>
        </w:rPr>
        <w:t>投标人与招标人、</w:t>
      </w:r>
      <w:r>
        <w:rPr>
          <w:rFonts w:hint="eastAsia" w:ascii="宋体" w:hAnsi="宋体" w:cs="宋体"/>
          <w:szCs w:val="21"/>
          <w:highlight w:val="none"/>
          <w:lang w:eastAsia="zh-TW"/>
        </w:rPr>
        <w:t>其他</w:t>
      </w:r>
      <w:r>
        <w:rPr>
          <w:rFonts w:hint="eastAsia" w:ascii="宋体" w:hAnsi="宋体"/>
          <w:szCs w:val="21"/>
          <w:highlight w:val="none"/>
        </w:rPr>
        <w:t>投标人或者招标代理机构恶意串通的；</w:t>
      </w:r>
    </w:p>
    <w:p w14:paraId="603D5487">
      <w:pPr>
        <w:numPr>
          <w:ilvl w:val="2"/>
          <w:numId w:val="34"/>
        </w:numPr>
        <w:tabs>
          <w:tab w:val="left" w:pos="851"/>
          <w:tab w:val="left" w:pos="1418"/>
        </w:tabs>
        <w:autoSpaceDE w:val="0"/>
        <w:autoSpaceDN w:val="0"/>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中标人未按本须知规定交纳招标代理服务费。</w:t>
      </w:r>
    </w:p>
    <w:p w14:paraId="327CD7F6">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249" w:name="_Toc410722658"/>
      <w:bookmarkStart w:id="250" w:name="_Toc30876"/>
      <w:bookmarkStart w:id="251" w:name="_Toc2167"/>
      <w:bookmarkStart w:id="252" w:name="_Toc21057"/>
      <w:bookmarkStart w:id="253" w:name="_Toc6678"/>
      <w:bookmarkStart w:id="254" w:name="_Toc12787"/>
      <w:bookmarkStart w:id="255" w:name="_Toc31451"/>
      <w:r>
        <w:rPr>
          <w:rFonts w:hint="eastAsia" w:ascii="宋体" w:hAnsi="宋体"/>
          <w:b/>
          <w:bCs/>
          <w:szCs w:val="21"/>
          <w:highlight w:val="none"/>
        </w:rPr>
        <w:t>投标有效期</w:t>
      </w:r>
      <w:bookmarkEnd w:id="248"/>
      <w:bookmarkEnd w:id="249"/>
      <w:bookmarkEnd w:id="250"/>
      <w:bookmarkEnd w:id="251"/>
      <w:bookmarkEnd w:id="252"/>
      <w:bookmarkEnd w:id="253"/>
      <w:bookmarkEnd w:id="254"/>
      <w:bookmarkEnd w:id="255"/>
    </w:p>
    <w:p w14:paraId="65450C39">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投标应自</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中规定的</w:t>
      </w:r>
      <w:r>
        <w:rPr>
          <w:rFonts w:hint="eastAsia" w:ascii="宋体" w:hAnsi="宋体" w:cs="宋体"/>
          <w:szCs w:val="21"/>
          <w:highlight w:val="none"/>
        </w:rPr>
        <w:t>投标文件递交截止时间</w:t>
      </w:r>
      <w:r>
        <w:rPr>
          <w:rFonts w:hint="eastAsia" w:ascii="宋体" w:hAnsi="宋体" w:cs="宋体"/>
          <w:szCs w:val="21"/>
          <w:highlight w:val="none"/>
          <w:lang w:eastAsia="zh-TW"/>
        </w:rPr>
        <w:t>起</w:t>
      </w:r>
      <w:r>
        <w:rPr>
          <w:rFonts w:hint="eastAsia" w:ascii="宋体" w:hAnsi="宋体" w:cs="宋体"/>
          <w:szCs w:val="21"/>
          <w:highlight w:val="none"/>
        </w:rPr>
        <w:t>，</w:t>
      </w:r>
      <w:r>
        <w:rPr>
          <w:rFonts w:hint="eastAsia" w:ascii="宋体" w:hAnsi="宋体" w:cs="宋体"/>
          <w:szCs w:val="21"/>
          <w:highlight w:val="none"/>
          <w:lang w:eastAsia="zh-TW"/>
        </w:rPr>
        <w:t>并在</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中所述期限内保持有效。投标有效期不足的投标将被视为非实质性响应</w:t>
      </w:r>
      <w:r>
        <w:rPr>
          <w:rFonts w:hint="eastAsia" w:ascii="宋体" w:hAnsi="宋体"/>
          <w:szCs w:val="21"/>
          <w:highlight w:val="none"/>
        </w:rPr>
        <w:t>，</w:t>
      </w:r>
      <w:r>
        <w:rPr>
          <w:rFonts w:hint="eastAsia" w:ascii="宋体" w:hAnsi="宋体" w:cs="宋体"/>
          <w:szCs w:val="21"/>
          <w:highlight w:val="none"/>
        </w:rPr>
        <w:t>视为无效投标</w:t>
      </w:r>
      <w:r>
        <w:rPr>
          <w:rFonts w:hint="eastAsia" w:ascii="宋体" w:hAnsi="宋体" w:cs="宋体"/>
          <w:szCs w:val="21"/>
          <w:highlight w:val="none"/>
          <w:lang w:eastAsia="zh-TW"/>
        </w:rPr>
        <w:t>。</w:t>
      </w:r>
    </w:p>
    <w:p w14:paraId="4A15E35B">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TW"/>
        </w:rPr>
        <w:t>特殊情况下</w:t>
      </w:r>
      <w:r>
        <w:rPr>
          <w:rFonts w:hint="eastAsia" w:ascii="宋体" w:hAnsi="宋体" w:cs="宋体"/>
          <w:szCs w:val="21"/>
          <w:highlight w:val="none"/>
        </w:rPr>
        <w:t>，</w:t>
      </w:r>
      <w:r>
        <w:rPr>
          <w:rFonts w:hint="eastAsia" w:ascii="宋体" w:hAnsi="宋体" w:cs="宋体"/>
          <w:szCs w:val="21"/>
          <w:highlight w:val="none"/>
          <w:lang w:eastAsia="zh-TW"/>
        </w:rPr>
        <w:t>在原投标有效期截止之前</w:t>
      </w:r>
      <w:r>
        <w:rPr>
          <w:rFonts w:hint="eastAsia" w:ascii="宋体" w:hAnsi="宋体" w:cs="宋体"/>
          <w:szCs w:val="21"/>
          <w:highlight w:val="none"/>
        </w:rPr>
        <w:t>，</w:t>
      </w:r>
      <w:r>
        <w:rPr>
          <w:rFonts w:hint="eastAsia" w:ascii="宋体" w:hAnsi="宋体" w:cs="宋体"/>
          <w:szCs w:val="21"/>
          <w:highlight w:val="none"/>
          <w:lang w:eastAsia="zh-TW"/>
        </w:rPr>
        <w:t>招标代理机构可要求投标人延长投标有效期。这种要求与答复均应以书面形式提交。投标人可拒绝招标代理机构的这种要求</w:t>
      </w:r>
      <w:r>
        <w:rPr>
          <w:rFonts w:hint="eastAsia" w:ascii="宋体" w:hAnsi="宋体" w:cs="宋体"/>
          <w:szCs w:val="21"/>
          <w:highlight w:val="none"/>
        </w:rPr>
        <w:t>，</w:t>
      </w:r>
      <w:r>
        <w:rPr>
          <w:rFonts w:hint="eastAsia" w:ascii="宋体" w:hAnsi="宋体" w:cs="宋体"/>
          <w:szCs w:val="21"/>
          <w:highlight w:val="none"/>
          <w:lang w:eastAsia="zh-TW"/>
        </w:rPr>
        <w:t>其投标保证金将不会被没收</w:t>
      </w:r>
      <w:r>
        <w:rPr>
          <w:rFonts w:hint="eastAsia" w:ascii="宋体" w:hAnsi="宋体" w:cs="宋体"/>
          <w:szCs w:val="21"/>
          <w:highlight w:val="none"/>
        </w:rPr>
        <w:t>，</w:t>
      </w:r>
      <w:r>
        <w:rPr>
          <w:rFonts w:hint="eastAsia" w:ascii="宋体" w:hAnsi="宋体" w:cs="宋体"/>
          <w:szCs w:val="21"/>
          <w:highlight w:val="none"/>
          <w:lang w:eastAsia="zh-TW"/>
        </w:rPr>
        <w:t>但其投标在原投标有效期期满后将不再有效。同意延长投标有效期的投标人将不会被要求和允许修正其投标</w:t>
      </w:r>
      <w:r>
        <w:rPr>
          <w:rFonts w:hint="eastAsia" w:ascii="宋体" w:hAnsi="宋体" w:cs="宋体"/>
          <w:szCs w:val="21"/>
          <w:highlight w:val="none"/>
        </w:rPr>
        <w:t>，</w:t>
      </w:r>
      <w:r>
        <w:rPr>
          <w:rFonts w:hint="eastAsia" w:ascii="宋体" w:hAnsi="宋体" w:cs="宋体"/>
          <w:szCs w:val="21"/>
          <w:highlight w:val="none"/>
          <w:lang w:eastAsia="zh-TW"/>
        </w:rPr>
        <w:t>而只会被要求相应地延长其投标保证金的有效期。在这种情况下</w:t>
      </w:r>
      <w:r>
        <w:rPr>
          <w:rFonts w:hint="eastAsia" w:ascii="宋体" w:hAnsi="宋体" w:cs="宋体"/>
          <w:szCs w:val="21"/>
          <w:highlight w:val="none"/>
        </w:rPr>
        <w:t>，</w:t>
      </w:r>
      <w:r>
        <w:rPr>
          <w:rFonts w:hint="eastAsia" w:ascii="宋体" w:hAnsi="宋体" w:cs="宋体"/>
          <w:szCs w:val="21"/>
          <w:highlight w:val="none"/>
          <w:lang w:eastAsia="zh-TW"/>
        </w:rPr>
        <w:t>本须知有关投标保证金的退还和没收的规定将在延长了的有效期内继续有效。</w:t>
      </w:r>
    </w:p>
    <w:p w14:paraId="0DB888E6">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256" w:name="_Toc20924"/>
      <w:bookmarkStart w:id="257" w:name="_Toc27055"/>
      <w:bookmarkStart w:id="258" w:name="_Toc21846"/>
      <w:bookmarkStart w:id="259" w:name="_Toc410722659"/>
      <w:bookmarkStart w:id="260" w:name="_Toc1482"/>
      <w:bookmarkStart w:id="261" w:name="_Toc23777"/>
      <w:bookmarkStart w:id="262" w:name="_Toc2819"/>
      <w:bookmarkStart w:id="263" w:name="_Toc355879688"/>
      <w:r>
        <w:rPr>
          <w:rFonts w:hint="eastAsia" w:ascii="宋体" w:hAnsi="宋体"/>
          <w:b/>
          <w:bCs/>
          <w:szCs w:val="21"/>
          <w:highlight w:val="none"/>
        </w:rPr>
        <w:t>投标文件的式样和签署</w:t>
      </w:r>
      <w:bookmarkEnd w:id="256"/>
      <w:bookmarkEnd w:id="257"/>
      <w:bookmarkEnd w:id="258"/>
      <w:bookmarkEnd w:id="259"/>
      <w:bookmarkEnd w:id="260"/>
      <w:bookmarkEnd w:id="261"/>
      <w:bookmarkEnd w:id="262"/>
      <w:bookmarkEnd w:id="263"/>
    </w:p>
    <w:p w14:paraId="3877B1F6">
      <w:pPr>
        <w:numPr>
          <w:ilvl w:val="1"/>
          <w:numId w:val="34"/>
        </w:numPr>
        <w:autoSpaceDE w:val="0"/>
        <w:autoSpaceDN w:val="0"/>
        <w:adjustRightInd w:val="0"/>
        <w:snapToGrid w:val="0"/>
        <w:spacing w:line="360" w:lineRule="auto"/>
        <w:rPr>
          <w:highlight w:val="none"/>
        </w:rPr>
      </w:pPr>
      <w:r>
        <w:rPr>
          <w:rFonts w:hint="eastAsia" w:ascii="宋体" w:hAnsi="宋体" w:cs="宋体"/>
          <w:szCs w:val="21"/>
          <w:highlight w:val="none"/>
          <w:lang w:eastAsia="zh-TW"/>
        </w:rPr>
        <w:t>投标文件的式样：投标人应准备一份投标文件正本</w:t>
      </w:r>
      <w:r>
        <w:rPr>
          <w:rFonts w:hint="eastAsia" w:ascii="宋体" w:hAnsi="宋体" w:cs="宋体"/>
          <w:szCs w:val="21"/>
          <w:highlight w:val="none"/>
        </w:rPr>
        <w:t>、电子文件【1份，内有整套投标文件资料，电子文件要求光盘或U盘作为储存介质，可编辑文档格式及正本（已签字（章）及盖章）的 pdf 扫描版，不留密码，无病毒】</w:t>
      </w:r>
      <w:r>
        <w:rPr>
          <w:rFonts w:hint="eastAsia" w:ascii="宋体" w:hAnsi="宋体" w:cs="宋体"/>
          <w:szCs w:val="21"/>
          <w:highlight w:val="none"/>
          <w:lang w:eastAsia="zh-TW"/>
        </w:rPr>
        <w:t>和</w:t>
      </w:r>
      <w:r>
        <w:rPr>
          <w:rFonts w:hint="eastAsia" w:ascii="宋体" w:hAnsi="宋体" w:cs="宋体"/>
          <w:b/>
          <w:szCs w:val="21"/>
          <w:highlight w:val="none"/>
        </w:rPr>
        <w:t xml:space="preserve">“第二章 </w:t>
      </w:r>
      <w:r>
        <w:rPr>
          <w:rFonts w:hint="eastAsia" w:ascii="宋体" w:hAnsi="宋体" w:cs="黑体"/>
          <w:b/>
          <w:szCs w:val="21"/>
          <w:highlight w:val="none"/>
        </w:rPr>
        <w:t>投标资料表”</w:t>
      </w:r>
      <w:r>
        <w:rPr>
          <w:rFonts w:hint="eastAsia" w:ascii="宋体" w:hAnsi="宋体" w:cs="宋体"/>
          <w:szCs w:val="21"/>
          <w:highlight w:val="none"/>
          <w:lang w:eastAsia="zh-TW"/>
        </w:rPr>
        <w:t>中规定数目的副本</w:t>
      </w:r>
      <w:r>
        <w:rPr>
          <w:rFonts w:hint="eastAsia" w:ascii="宋体" w:hAnsi="宋体" w:cs="宋体"/>
          <w:szCs w:val="21"/>
          <w:highlight w:val="none"/>
        </w:rPr>
        <w:t>，</w:t>
      </w:r>
      <w:r>
        <w:rPr>
          <w:rFonts w:hint="eastAsia" w:ascii="宋体" w:hAnsi="宋体" w:cs="宋体"/>
          <w:szCs w:val="21"/>
          <w:highlight w:val="none"/>
          <w:lang w:eastAsia="zh-TW"/>
        </w:rPr>
        <w:t>投标文件的副本可采用正本的复印件。每套投标文件须清楚地标明“正本”或</w:t>
      </w:r>
      <w:r>
        <w:rPr>
          <w:rFonts w:hint="eastAsia" w:ascii="宋体" w:hAnsi="宋体" w:cs="宋体"/>
          <w:szCs w:val="21"/>
          <w:highlight w:val="none"/>
        </w:rPr>
        <w:t>“副</w:t>
      </w:r>
      <w:r>
        <w:rPr>
          <w:rFonts w:hint="eastAsia" w:ascii="宋体" w:hAnsi="宋体" w:cs="宋体"/>
          <w:szCs w:val="21"/>
          <w:highlight w:val="none"/>
          <w:lang w:eastAsia="zh-TW"/>
        </w:rPr>
        <w:t>本</w:t>
      </w:r>
      <w:r>
        <w:rPr>
          <w:rFonts w:hint="eastAsia" w:ascii="宋体" w:hAnsi="宋体" w:cs="宋体"/>
          <w:szCs w:val="21"/>
          <w:highlight w:val="none"/>
        </w:rPr>
        <w:t>”</w:t>
      </w:r>
      <w:r>
        <w:rPr>
          <w:rFonts w:hint="eastAsia" w:ascii="宋体" w:hAnsi="宋体" w:cs="宋体"/>
          <w:szCs w:val="21"/>
          <w:highlight w:val="none"/>
          <w:lang w:eastAsia="zh-TW"/>
        </w:rPr>
        <w:t>。若副本与正本不符</w:t>
      </w:r>
      <w:r>
        <w:rPr>
          <w:rFonts w:hint="eastAsia" w:ascii="宋体" w:hAnsi="宋体" w:cs="宋体"/>
          <w:szCs w:val="21"/>
          <w:highlight w:val="none"/>
        </w:rPr>
        <w:t>，</w:t>
      </w:r>
      <w:r>
        <w:rPr>
          <w:rFonts w:hint="eastAsia" w:ascii="宋体" w:hAnsi="宋体" w:cs="宋体"/>
          <w:szCs w:val="21"/>
          <w:highlight w:val="none"/>
          <w:lang w:eastAsia="zh-TW"/>
        </w:rPr>
        <w:t>以正本为准</w:t>
      </w:r>
      <w:r>
        <w:rPr>
          <w:rFonts w:hint="eastAsia" w:ascii="宋体" w:hAnsi="宋体"/>
          <w:szCs w:val="21"/>
          <w:highlight w:val="none"/>
        </w:rPr>
        <w:t>。</w:t>
      </w:r>
    </w:p>
    <w:p w14:paraId="4C33B7D0">
      <w:pPr>
        <w:numPr>
          <w:ilvl w:val="1"/>
          <w:numId w:val="34"/>
        </w:numPr>
        <w:autoSpaceDE w:val="0"/>
        <w:autoSpaceDN w:val="0"/>
        <w:adjustRightInd w:val="0"/>
        <w:snapToGrid w:val="0"/>
        <w:spacing w:line="360" w:lineRule="auto"/>
        <w:rPr>
          <w:highlight w:val="none"/>
        </w:rPr>
      </w:pPr>
      <w:r>
        <w:rPr>
          <w:rFonts w:hint="eastAsia"/>
          <w:highlight w:val="none"/>
        </w:rPr>
        <w:t>电子介质的投标文件：是指将按招标文件要求签署、盖章后的正本投标文件扫描成PDF格式后拷贝至无病毒无密码的U盘或光盘。电子介质与投标保证金缴付凭证、退投标保证金说明一起密封。</w:t>
      </w:r>
    </w:p>
    <w:p w14:paraId="6E0EC217">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投标文件的签署：</w:t>
      </w:r>
    </w:p>
    <w:p w14:paraId="68A8FD0D">
      <w:pPr>
        <w:numPr>
          <w:ilvl w:val="2"/>
          <w:numId w:val="34"/>
        </w:numPr>
        <w:tabs>
          <w:tab w:val="left" w:pos="851"/>
          <w:tab w:val="left" w:pos="1418"/>
          <w:tab w:val="clear" w:pos="1135"/>
        </w:tabs>
        <w:autoSpaceDE w:val="0"/>
        <w:autoSpaceDN w:val="0"/>
        <w:adjustRightInd w:val="0"/>
        <w:snapToGrid w:val="0"/>
        <w:spacing w:line="360" w:lineRule="auto"/>
        <w:ind w:left="1418" w:hanging="850"/>
        <w:rPr>
          <w:rFonts w:ascii="宋体" w:hAnsi="宋体" w:cs="宋体"/>
          <w:szCs w:val="21"/>
          <w:highlight w:val="none"/>
        </w:rPr>
      </w:pPr>
      <w:r>
        <w:rPr>
          <w:rFonts w:hint="eastAsia" w:ascii="宋体" w:hAnsi="宋体"/>
          <w:szCs w:val="21"/>
          <w:highlight w:val="none"/>
        </w:rPr>
        <w:t>投标文件正本须用不褪色墨水书写或打印，投标文件格式规定签字或盖章处须由投标人的法定代表人或经其正式授权的代表亲笔签署本人姓名或印盖本人姓名章，</w:t>
      </w:r>
      <w:r>
        <w:rPr>
          <w:rFonts w:hint="eastAsia"/>
          <w:highlight w:val="none"/>
        </w:rPr>
        <w:t>涉及签字的，应使用正楷签字。</w:t>
      </w:r>
      <w:r>
        <w:rPr>
          <w:rFonts w:hint="eastAsia" w:ascii="宋体" w:hAnsi="宋体"/>
          <w:szCs w:val="21"/>
          <w:highlight w:val="none"/>
        </w:rPr>
        <w:t>投标文件不得加盖合同专用章、投标人专用章、或其他电子制版章等各种形式的专用章。投标文件每一页均要求加盖投标人公章，</w:t>
      </w:r>
      <w:r>
        <w:rPr>
          <w:rFonts w:hint="eastAsia" w:ascii="宋体" w:hAnsi="宋体" w:cs="宋体"/>
          <w:szCs w:val="21"/>
          <w:highlight w:val="none"/>
        </w:rPr>
        <w:t>副本可以为正本签字盖章后的复印件，与正本具有同等法律效力</w:t>
      </w:r>
      <w:r>
        <w:rPr>
          <w:rFonts w:hint="eastAsia" w:ascii="宋体" w:hAnsi="宋体" w:cs="宋体"/>
          <w:szCs w:val="21"/>
          <w:highlight w:val="none"/>
          <w:lang w:eastAsia="zh-TW"/>
        </w:rPr>
        <w:t>。</w:t>
      </w:r>
      <w:r>
        <w:rPr>
          <w:rFonts w:hint="eastAsia" w:ascii="宋体" w:hAnsi="宋体"/>
          <w:szCs w:val="21"/>
          <w:highlight w:val="none"/>
        </w:rPr>
        <w:t>授权代表须将以书面形式出具的</w:t>
      </w:r>
      <w:r>
        <w:rPr>
          <w:rFonts w:hint="eastAsia" w:ascii="宋体" w:hAnsi="宋体" w:cs="宋体"/>
          <w:szCs w:val="21"/>
          <w:highlight w:val="none"/>
        </w:rPr>
        <w:t>《法定代表人授权委托书》</w:t>
      </w:r>
      <w:r>
        <w:rPr>
          <w:rFonts w:hint="eastAsia" w:ascii="宋体" w:hAnsi="宋体"/>
          <w:szCs w:val="21"/>
          <w:highlight w:val="none"/>
        </w:rPr>
        <w:t>附在投标文件中</w:t>
      </w:r>
      <w:r>
        <w:rPr>
          <w:rFonts w:hint="eastAsia" w:ascii="宋体" w:hAnsi="宋体" w:cs="宋体"/>
          <w:szCs w:val="21"/>
          <w:highlight w:val="none"/>
          <w:lang w:eastAsia="zh-TW"/>
        </w:rPr>
        <w:t>。</w:t>
      </w:r>
    </w:p>
    <w:p w14:paraId="77DBB75C">
      <w:pPr>
        <w:numPr>
          <w:ilvl w:val="2"/>
          <w:numId w:val="34"/>
        </w:numPr>
        <w:tabs>
          <w:tab w:val="left" w:pos="709"/>
          <w:tab w:val="left" w:pos="1418"/>
        </w:tabs>
        <w:autoSpaceDE w:val="0"/>
        <w:autoSpaceDN w:val="0"/>
        <w:adjustRightInd w:val="0"/>
        <w:snapToGrid w:val="0"/>
        <w:spacing w:line="360" w:lineRule="auto"/>
        <w:ind w:left="1418" w:hanging="851"/>
        <w:rPr>
          <w:rFonts w:ascii="宋体" w:hAnsi="宋体" w:cs="宋体"/>
          <w:szCs w:val="21"/>
          <w:highlight w:val="none"/>
          <w:lang w:eastAsia="zh-TW"/>
        </w:rPr>
      </w:pPr>
      <w:r>
        <w:rPr>
          <w:rFonts w:hint="eastAsia" w:ascii="宋体" w:hAnsi="宋体" w:cs="宋体"/>
          <w:szCs w:val="21"/>
          <w:highlight w:val="none"/>
          <w:lang w:eastAsia="zh-TW"/>
        </w:rPr>
        <w:t>投标文件中的任何重要的插字、涂改和增删，必须由法定代表人或经其正式授权的代表在</w:t>
      </w:r>
      <w:r>
        <w:rPr>
          <w:rFonts w:hint="eastAsia" w:ascii="宋体" w:hAnsi="宋体" w:cs="宋体"/>
          <w:szCs w:val="21"/>
          <w:highlight w:val="none"/>
        </w:rPr>
        <w:t>修改处</w:t>
      </w:r>
      <w:r>
        <w:rPr>
          <w:rFonts w:hint="eastAsia" w:ascii="宋体" w:hAnsi="宋体" w:cs="宋体"/>
          <w:szCs w:val="21"/>
          <w:highlight w:val="none"/>
          <w:lang w:eastAsia="zh-TW"/>
        </w:rPr>
        <w:t>旁边</w:t>
      </w:r>
      <w:r>
        <w:rPr>
          <w:rFonts w:hint="eastAsia" w:ascii="宋体" w:hAnsi="宋体" w:cs="宋体"/>
          <w:szCs w:val="21"/>
          <w:highlight w:val="none"/>
        </w:rPr>
        <w:t>签章或签字并加盖投标人公章</w:t>
      </w:r>
      <w:r>
        <w:rPr>
          <w:rFonts w:hint="eastAsia" w:ascii="宋体" w:hAnsi="宋体" w:cs="宋体"/>
          <w:szCs w:val="21"/>
          <w:highlight w:val="none"/>
          <w:lang w:eastAsia="zh-TW"/>
        </w:rPr>
        <w:t>才有效。</w:t>
      </w:r>
    </w:p>
    <w:p w14:paraId="76993F8C">
      <w:pPr>
        <w:tabs>
          <w:tab w:val="left" w:pos="709"/>
          <w:tab w:val="left" w:pos="851"/>
          <w:tab w:val="left" w:pos="1135"/>
        </w:tabs>
        <w:autoSpaceDE w:val="0"/>
        <w:autoSpaceDN w:val="0"/>
        <w:adjustRightInd w:val="0"/>
        <w:snapToGrid w:val="0"/>
        <w:spacing w:line="360" w:lineRule="auto"/>
        <w:ind w:left="851"/>
        <w:rPr>
          <w:rFonts w:ascii="宋体" w:hAnsi="宋体" w:cs="宋体"/>
          <w:szCs w:val="21"/>
          <w:highlight w:val="none"/>
          <w:lang w:eastAsia="zh-TW"/>
        </w:rPr>
      </w:pPr>
    </w:p>
    <w:p w14:paraId="5519ACB7">
      <w:pPr>
        <w:numPr>
          <w:ilvl w:val="0"/>
          <w:numId w:val="33"/>
        </w:numPr>
        <w:autoSpaceDE w:val="0"/>
        <w:autoSpaceDN w:val="0"/>
        <w:adjustRightInd w:val="0"/>
        <w:snapToGrid w:val="0"/>
        <w:spacing w:before="312" w:beforeLines="100" w:after="312" w:afterLines="100" w:line="360" w:lineRule="auto"/>
        <w:jc w:val="center"/>
        <w:outlineLvl w:val="0"/>
        <w:rPr>
          <w:rFonts w:ascii="宋体" w:hAnsi="宋体"/>
          <w:b/>
          <w:sz w:val="28"/>
          <w:szCs w:val="28"/>
          <w:highlight w:val="none"/>
          <w:lang w:eastAsia="zh-TW"/>
        </w:rPr>
      </w:pPr>
      <w:bookmarkStart w:id="264" w:name="_Toc8815"/>
      <w:bookmarkStart w:id="265" w:name="_Toc6658"/>
      <w:bookmarkStart w:id="266" w:name="_Toc355879689"/>
      <w:bookmarkStart w:id="267" w:name="_Toc22406"/>
      <w:bookmarkStart w:id="268" w:name="_Toc5762"/>
      <w:bookmarkStart w:id="269" w:name="_Toc2435"/>
      <w:bookmarkStart w:id="270" w:name="_Toc410722660"/>
      <w:bookmarkStart w:id="271" w:name="_Toc30454"/>
      <w:r>
        <w:rPr>
          <w:rFonts w:hint="eastAsia" w:ascii="宋体" w:hAnsi="宋体"/>
          <w:b/>
          <w:sz w:val="28"/>
          <w:szCs w:val="28"/>
          <w:highlight w:val="none"/>
          <w:lang w:eastAsia="zh-TW"/>
        </w:rPr>
        <w:t>投标文件的递交</w:t>
      </w:r>
      <w:bookmarkEnd w:id="264"/>
      <w:bookmarkEnd w:id="265"/>
      <w:bookmarkEnd w:id="266"/>
      <w:bookmarkEnd w:id="267"/>
      <w:bookmarkEnd w:id="268"/>
      <w:bookmarkEnd w:id="269"/>
      <w:bookmarkEnd w:id="270"/>
      <w:bookmarkEnd w:id="271"/>
    </w:p>
    <w:p w14:paraId="539394B4">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272" w:name="_Toc20070"/>
      <w:bookmarkStart w:id="273" w:name="_Toc4096"/>
      <w:bookmarkStart w:id="274" w:name="_Toc27082"/>
      <w:bookmarkStart w:id="275" w:name="_Toc355879690"/>
      <w:bookmarkStart w:id="276" w:name="_Toc8079"/>
      <w:bookmarkStart w:id="277" w:name="_Toc23439"/>
      <w:bookmarkStart w:id="278" w:name="_Toc410722661"/>
      <w:bookmarkStart w:id="279" w:name="_Toc1606"/>
      <w:r>
        <w:rPr>
          <w:rFonts w:hint="eastAsia" w:ascii="宋体" w:hAnsi="宋体"/>
          <w:b/>
          <w:bCs/>
          <w:szCs w:val="21"/>
          <w:highlight w:val="none"/>
        </w:rPr>
        <w:t>投标文件的密封和标记</w:t>
      </w:r>
      <w:bookmarkEnd w:id="272"/>
      <w:bookmarkEnd w:id="273"/>
      <w:bookmarkEnd w:id="274"/>
      <w:bookmarkEnd w:id="275"/>
      <w:bookmarkEnd w:id="276"/>
      <w:bookmarkEnd w:id="277"/>
      <w:bookmarkEnd w:id="278"/>
      <w:bookmarkEnd w:id="279"/>
    </w:p>
    <w:p w14:paraId="640428F1">
      <w:pPr>
        <w:numPr>
          <w:ilvl w:val="1"/>
          <w:numId w:val="34"/>
        </w:numPr>
        <w:autoSpaceDE w:val="0"/>
        <w:autoSpaceDN w:val="0"/>
        <w:adjustRightInd w:val="0"/>
        <w:snapToGrid w:val="0"/>
        <w:spacing w:line="360" w:lineRule="auto"/>
        <w:rPr>
          <w:rFonts w:ascii="宋体" w:hAnsi="宋体" w:cs="黑体"/>
          <w:b/>
          <w:bCs/>
          <w:dstrike/>
          <w:szCs w:val="21"/>
          <w:highlight w:val="none"/>
        </w:rPr>
      </w:pPr>
      <w:r>
        <w:rPr>
          <w:rFonts w:hint="eastAsia" w:ascii="宋体" w:hAnsi="宋体" w:cs="宋体"/>
          <w:szCs w:val="21"/>
          <w:highlight w:val="none"/>
          <w:lang w:eastAsia="zh-TW"/>
        </w:rPr>
        <w:t>为方便开标唱标</w:t>
      </w:r>
      <w:r>
        <w:rPr>
          <w:rFonts w:hint="eastAsia" w:ascii="宋体" w:hAnsi="宋体" w:cs="宋体"/>
          <w:szCs w:val="21"/>
          <w:highlight w:val="none"/>
        </w:rPr>
        <w:t>，</w:t>
      </w:r>
      <w:r>
        <w:rPr>
          <w:rFonts w:hint="eastAsia" w:ascii="宋体" w:hAnsi="宋体" w:cs="宋体"/>
          <w:szCs w:val="21"/>
          <w:highlight w:val="none"/>
          <w:lang w:eastAsia="zh-TW"/>
        </w:rPr>
        <w:t>投标人应将</w:t>
      </w:r>
      <w:r>
        <w:rPr>
          <w:rFonts w:hint="eastAsia" w:ascii="宋体" w:hAnsi="宋体" w:cs="宋体"/>
          <w:b/>
          <w:bCs/>
          <w:szCs w:val="21"/>
          <w:highlight w:val="none"/>
          <w:lang w:eastAsia="zh-TW"/>
        </w:rPr>
        <w:t>投标保证金</w:t>
      </w:r>
      <w:r>
        <w:rPr>
          <w:rFonts w:hint="eastAsia" w:ascii="宋体" w:hAnsi="宋体" w:cs="宋体"/>
          <w:b/>
          <w:bCs/>
          <w:szCs w:val="21"/>
          <w:highlight w:val="none"/>
        </w:rPr>
        <w:t>缴付凭证、</w:t>
      </w:r>
      <w:r>
        <w:rPr>
          <w:rFonts w:hint="eastAsia" w:ascii="宋体" w:hAnsi="宋体" w:cs="宋体"/>
          <w:b/>
          <w:bCs/>
          <w:szCs w:val="21"/>
          <w:highlight w:val="none"/>
          <w:lang w:eastAsia="zh-TW"/>
        </w:rPr>
        <w:t>法定代表人证明书或法定代表人授权委托书</w:t>
      </w:r>
      <w:r>
        <w:rPr>
          <w:rFonts w:hint="eastAsia" w:ascii="宋体" w:hAnsi="宋体" w:cs="宋体"/>
          <w:b/>
          <w:bCs/>
          <w:szCs w:val="21"/>
          <w:highlight w:val="none"/>
        </w:rPr>
        <w:t>、</w:t>
      </w:r>
      <w:r>
        <w:rPr>
          <w:rFonts w:hint="eastAsia" w:ascii="宋体" w:hAnsi="宋体" w:cs="宋体"/>
          <w:b/>
          <w:bCs/>
          <w:szCs w:val="21"/>
          <w:highlight w:val="none"/>
          <w:lang w:eastAsia="zh-TW"/>
        </w:rPr>
        <w:t>电子文件、营业执照和企业采购保证金退付委托书</w:t>
      </w:r>
      <w:r>
        <w:rPr>
          <w:rFonts w:hint="eastAsia" w:ascii="宋体" w:hAnsi="宋体" w:cs="宋体"/>
          <w:szCs w:val="21"/>
          <w:highlight w:val="none"/>
        </w:rPr>
        <w:t>一起</w:t>
      </w:r>
      <w:r>
        <w:rPr>
          <w:rFonts w:hint="eastAsia" w:ascii="宋体" w:hAnsi="宋体" w:cs="宋体"/>
          <w:szCs w:val="21"/>
          <w:highlight w:val="none"/>
          <w:lang w:eastAsia="zh-TW"/>
        </w:rPr>
        <w:t>密封提交</w:t>
      </w:r>
      <w:r>
        <w:rPr>
          <w:rFonts w:hint="eastAsia" w:ascii="宋体" w:hAnsi="宋体" w:cs="宋体"/>
          <w:szCs w:val="21"/>
          <w:highlight w:val="none"/>
        </w:rPr>
        <w:t>。</w:t>
      </w:r>
      <w:r>
        <w:rPr>
          <w:rFonts w:hint="eastAsia" w:ascii="宋体" w:hAnsi="宋体" w:cs="宋体"/>
          <w:szCs w:val="21"/>
          <w:highlight w:val="none"/>
          <w:lang w:eastAsia="zh-TW"/>
        </w:rPr>
        <w:t>投标人应将投标文件正本和所有的副本分开密封装在单独的信封中</w:t>
      </w:r>
      <w:r>
        <w:rPr>
          <w:rFonts w:hint="eastAsia" w:ascii="宋体" w:hAnsi="宋体" w:cs="宋体"/>
          <w:szCs w:val="21"/>
          <w:highlight w:val="none"/>
        </w:rPr>
        <w:t>，</w:t>
      </w:r>
      <w:r>
        <w:rPr>
          <w:rFonts w:hint="eastAsia" w:ascii="宋体" w:hAnsi="宋体" w:cs="宋体"/>
          <w:szCs w:val="21"/>
          <w:highlight w:val="none"/>
          <w:lang w:eastAsia="zh-TW"/>
        </w:rPr>
        <w:t>且在信封</w:t>
      </w:r>
      <w:r>
        <w:rPr>
          <w:rFonts w:hint="eastAsia" w:ascii="宋体" w:hAnsi="宋体" w:cs="宋体"/>
          <w:szCs w:val="21"/>
          <w:highlight w:val="none"/>
        </w:rPr>
        <w:t>上</w:t>
      </w:r>
      <w:r>
        <w:rPr>
          <w:rFonts w:hint="eastAsia" w:ascii="宋体" w:hAnsi="宋体" w:cs="宋体"/>
          <w:szCs w:val="21"/>
          <w:highlight w:val="none"/>
          <w:lang w:eastAsia="zh-TW"/>
        </w:rPr>
        <w:t>标明</w:t>
      </w:r>
      <w:r>
        <w:rPr>
          <w:rFonts w:hint="eastAsia" w:ascii="宋体" w:hAnsi="宋体" w:cs="宋体"/>
          <w:szCs w:val="21"/>
          <w:highlight w:val="none"/>
        </w:rPr>
        <w:t>“</w:t>
      </w:r>
      <w:r>
        <w:rPr>
          <w:rFonts w:hint="eastAsia" w:ascii="宋体" w:hAnsi="宋体" w:cs="宋体"/>
          <w:szCs w:val="21"/>
          <w:highlight w:val="none"/>
          <w:lang w:eastAsia="zh-TW"/>
        </w:rPr>
        <w:t>正本</w:t>
      </w:r>
      <w:r>
        <w:rPr>
          <w:rFonts w:hint="eastAsia" w:ascii="宋体" w:hAnsi="宋体" w:cs="宋体"/>
          <w:szCs w:val="21"/>
          <w:highlight w:val="none"/>
        </w:rPr>
        <w:t>”“</w:t>
      </w:r>
      <w:r>
        <w:rPr>
          <w:rFonts w:hint="eastAsia" w:ascii="宋体" w:hAnsi="宋体"/>
          <w:szCs w:val="21"/>
          <w:highlight w:val="none"/>
        </w:rPr>
        <w:t>副</w:t>
      </w:r>
      <w:r>
        <w:rPr>
          <w:rFonts w:hint="eastAsia" w:ascii="宋体" w:hAnsi="宋体" w:cs="宋体"/>
          <w:szCs w:val="21"/>
          <w:highlight w:val="none"/>
          <w:lang w:eastAsia="zh-TW"/>
        </w:rPr>
        <w:t>本</w:t>
      </w:r>
      <w:r>
        <w:rPr>
          <w:rFonts w:hint="eastAsia" w:ascii="宋体" w:hAnsi="宋体" w:cs="宋体"/>
          <w:szCs w:val="21"/>
          <w:highlight w:val="none"/>
        </w:rPr>
        <w:t>”</w:t>
      </w:r>
      <w:r>
        <w:rPr>
          <w:rFonts w:hint="eastAsia" w:ascii="宋体" w:hAnsi="宋体" w:cs="宋体"/>
          <w:szCs w:val="21"/>
          <w:highlight w:val="none"/>
          <w:lang w:eastAsia="zh-TW"/>
        </w:rPr>
        <w:t>字样。</w:t>
      </w:r>
    </w:p>
    <w:p w14:paraId="170ADF3E">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rPr>
        <w:t>投标文件封装：</w:t>
      </w:r>
    </w:p>
    <w:p w14:paraId="3712C097">
      <w:pPr>
        <w:numPr>
          <w:ilvl w:val="2"/>
          <w:numId w:val="34"/>
        </w:numPr>
        <w:tabs>
          <w:tab w:val="left" w:pos="851"/>
          <w:tab w:val="left" w:pos="1418"/>
        </w:tabs>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TW"/>
        </w:rPr>
        <w:t>清楚标明递交至</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中指明的地址</w:t>
      </w:r>
      <w:r>
        <w:rPr>
          <w:rFonts w:hint="eastAsia" w:ascii="宋体" w:hAnsi="宋体" w:cs="宋体"/>
          <w:szCs w:val="21"/>
          <w:highlight w:val="none"/>
        </w:rPr>
        <w:t>及写明投标人名称和地址</w:t>
      </w:r>
      <w:r>
        <w:rPr>
          <w:rFonts w:hint="eastAsia" w:ascii="宋体" w:hAnsi="宋体" w:cs="宋体"/>
          <w:szCs w:val="21"/>
          <w:highlight w:val="none"/>
          <w:lang w:eastAsia="zh-TW"/>
        </w:rPr>
        <w:t>。</w:t>
      </w:r>
    </w:p>
    <w:p w14:paraId="0A3F2A06">
      <w:pPr>
        <w:numPr>
          <w:ilvl w:val="2"/>
          <w:numId w:val="34"/>
        </w:numPr>
        <w:tabs>
          <w:tab w:val="left" w:pos="1418"/>
        </w:tabs>
        <w:autoSpaceDE w:val="0"/>
        <w:autoSpaceDN w:val="0"/>
        <w:adjustRightInd w:val="0"/>
        <w:snapToGrid w:val="0"/>
        <w:spacing w:line="360" w:lineRule="auto"/>
        <w:ind w:left="1418" w:hanging="851"/>
        <w:rPr>
          <w:rFonts w:ascii="宋体" w:hAnsi="宋体" w:cs="宋体"/>
          <w:szCs w:val="21"/>
          <w:highlight w:val="none"/>
        </w:rPr>
      </w:pPr>
      <w:r>
        <w:rPr>
          <w:rFonts w:hint="eastAsia" w:ascii="宋体" w:hAnsi="宋体" w:cs="宋体"/>
          <w:szCs w:val="21"/>
          <w:highlight w:val="none"/>
          <w:lang w:eastAsia="zh-TW"/>
        </w:rPr>
        <w:t>注明</w:t>
      </w:r>
      <w:r>
        <w:rPr>
          <w:rFonts w:hint="eastAsia" w:ascii="宋体" w:hAnsi="宋体" w:cs="宋体"/>
          <w:szCs w:val="21"/>
          <w:highlight w:val="none"/>
        </w:rPr>
        <w:t>采购公告</w:t>
      </w:r>
      <w:r>
        <w:rPr>
          <w:rFonts w:hint="eastAsia" w:ascii="宋体" w:hAnsi="宋体" w:cs="宋体"/>
          <w:szCs w:val="21"/>
          <w:highlight w:val="none"/>
          <w:lang w:eastAsia="zh-TW"/>
        </w:rPr>
        <w:t>中指明的项目名称、</w:t>
      </w:r>
      <w:r>
        <w:rPr>
          <w:rFonts w:hint="eastAsia" w:ascii="宋体" w:hAnsi="宋体" w:cs="宋体"/>
          <w:szCs w:val="21"/>
          <w:highlight w:val="none"/>
        </w:rPr>
        <w:t>项目</w:t>
      </w:r>
      <w:r>
        <w:rPr>
          <w:rFonts w:hint="eastAsia" w:ascii="宋体" w:hAnsi="宋体" w:cs="宋体"/>
          <w:szCs w:val="21"/>
          <w:highlight w:val="none"/>
          <w:lang w:eastAsia="zh-TW"/>
        </w:rPr>
        <w:t>编号和</w:t>
      </w:r>
      <w:r>
        <w:rPr>
          <w:rFonts w:hint="eastAsia" w:ascii="宋体" w:hAnsi="宋体"/>
          <w:szCs w:val="21"/>
          <w:highlight w:val="none"/>
        </w:rPr>
        <w:t>“</w:t>
      </w:r>
      <w:r>
        <w:rPr>
          <w:rFonts w:hint="eastAsia" w:ascii="宋体" w:hAnsi="宋体" w:cs="宋体"/>
          <w:szCs w:val="21"/>
          <w:highlight w:val="none"/>
          <w:lang w:eastAsia="zh-TW"/>
        </w:rPr>
        <w:t>在</w:t>
      </w:r>
      <w:r>
        <w:rPr>
          <w:rFonts w:ascii="宋体" w:hAnsi="宋体" w:cs="宋体"/>
          <w:szCs w:val="21"/>
          <w:highlight w:val="none"/>
        </w:rPr>
        <w:t>(</w:t>
      </w:r>
      <w:r>
        <w:rPr>
          <w:rFonts w:hint="eastAsia" w:ascii="宋体" w:hAnsi="宋体" w:cs="宋体"/>
          <w:szCs w:val="21"/>
          <w:highlight w:val="none"/>
        </w:rPr>
        <w:t>招标文件中规定的开标日期和时间</w:t>
      </w:r>
      <w:r>
        <w:rPr>
          <w:rFonts w:ascii="宋体" w:hAnsi="宋体" w:cs="宋体"/>
          <w:szCs w:val="21"/>
          <w:highlight w:val="none"/>
        </w:rPr>
        <w:t>)</w:t>
      </w:r>
      <w:r>
        <w:rPr>
          <w:rFonts w:hint="eastAsia" w:ascii="宋体" w:hAnsi="宋体" w:cs="宋体"/>
          <w:szCs w:val="21"/>
          <w:highlight w:val="none"/>
        </w:rPr>
        <w:t>之前不得启封”的</w:t>
      </w:r>
      <w:r>
        <w:rPr>
          <w:rFonts w:hint="eastAsia" w:ascii="宋体" w:hAnsi="宋体" w:cs="宋体"/>
          <w:szCs w:val="21"/>
          <w:highlight w:val="none"/>
          <w:lang w:eastAsia="zh-TW"/>
        </w:rPr>
        <w:t>字样。</w:t>
      </w:r>
    </w:p>
    <w:p w14:paraId="574785A0">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TW"/>
        </w:rPr>
        <w:t>如果未按本须知</w:t>
      </w:r>
      <w:r>
        <w:rPr>
          <w:rFonts w:hint="eastAsia" w:ascii="宋体" w:hAnsi="宋体" w:cs="宋体"/>
          <w:szCs w:val="21"/>
          <w:highlight w:val="none"/>
        </w:rPr>
        <w:t>上款</w:t>
      </w:r>
      <w:r>
        <w:rPr>
          <w:rFonts w:hint="eastAsia" w:ascii="宋体" w:hAnsi="宋体" w:cs="宋体"/>
          <w:szCs w:val="21"/>
          <w:highlight w:val="none"/>
          <w:lang w:eastAsia="zh-TW"/>
        </w:rPr>
        <w:t>要求加写标记和</w:t>
      </w:r>
      <w:r>
        <w:rPr>
          <w:rFonts w:hint="eastAsia" w:ascii="宋体" w:hAnsi="宋体" w:cs="宋体"/>
          <w:szCs w:val="21"/>
          <w:highlight w:val="none"/>
        </w:rPr>
        <w:t>密封，</w:t>
      </w:r>
      <w:r>
        <w:rPr>
          <w:rFonts w:hint="eastAsia" w:ascii="宋体" w:hAnsi="宋体" w:cs="宋体"/>
          <w:szCs w:val="21"/>
          <w:highlight w:val="none"/>
          <w:lang w:eastAsia="zh-TW"/>
        </w:rPr>
        <w:t>招标代理机构对误投或提前启封概不负责</w:t>
      </w:r>
      <w:r>
        <w:rPr>
          <w:rFonts w:hint="eastAsia" w:ascii="宋体" w:hAnsi="宋体" w:cs="宋体"/>
          <w:szCs w:val="21"/>
          <w:highlight w:val="none"/>
        </w:rPr>
        <w:t>。</w:t>
      </w:r>
    </w:p>
    <w:p w14:paraId="07F572D6">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280" w:name="_Toc24010"/>
      <w:bookmarkStart w:id="281" w:name="_Toc11622"/>
      <w:bookmarkStart w:id="282" w:name="_Toc12222"/>
      <w:bookmarkStart w:id="283" w:name="_Toc30960"/>
      <w:bookmarkStart w:id="284" w:name="_Toc26281"/>
      <w:bookmarkStart w:id="285" w:name="_Toc22470"/>
      <w:bookmarkStart w:id="286" w:name="_Toc355879691"/>
      <w:bookmarkStart w:id="287" w:name="_Toc410722662"/>
      <w:r>
        <w:rPr>
          <w:rFonts w:hint="eastAsia" w:ascii="宋体" w:hAnsi="宋体"/>
          <w:b/>
          <w:bCs/>
          <w:szCs w:val="21"/>
          <w:highlight w:val="none"/>
        </w:rPr>
        <w:t>投标截止期</w:t>
      </w:r>
      <w:bookmarkEnd w:id="280"/>
      <w:bookmarkEnd w:id="281"/>
      <w:bookmarkEnd w:id="282"/>
      <w:bookmarkEnd w:id="283"/>
      <w:bookmarkEnd w:id="284"/>
      <w:bookmarkEnd w:id="285"/>
      <w:bookmarkEnd w:id="286"/>
      <w:bookmarkEnd w:id="287"/>
    </w:p>
    <w:p w14:paraId="7A076532">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投标人应在不迟于</w:t>
      </w:r>
      <w:r>
        <w:rPr>
          <w:rFonts w:hint="eastAsia" w:ascii="宋体" w:hAnsi="宋体" w:cs="宋体"/>
          <w:szCs w:val="21"/>
          <w:highlight w:val="none"/>
        </w:rPr>
        <w:t>“</w:t>
      </w:r>
      <w:r>
        <w:rPr>
          <w:rFonts w:hint="eastAsia" w:ascii="宋体" w:hAnsi="宋体" w:cs="宋体"/>
          <w:b/>
          <w:szCs w:val="21"/>
          <w:highlight w:val="none"/>
        </w:rPr>
        <w:t>第一章 采购公告”</w:t>
      </w:r>
      <w:r>
        <w:rPr>
          <w:rFonts w:hint="eastAsia" w:ascii="宋体" w:hAnsi="宋体" w:cs="宋体"/>
          <w:szCs w:val="21"/>
          <w:highlight w:val="none"/>
          <w:lang w:eastAsia="zh-TW"/>
        </w:rPr>
        <w:t>中规定的截止日期和时间将投标文件递交</w:t>
      </w:r>
      <w:r>
        <w:rPr>
          <w:rFonts w:hint="eastAsia" w:ascii="宋体" w:hAnsi="宋体" w:cs="宋体"/>
          <w:szCs w:val="21"/>
          <w:highlight w:val="none"/>
        </w:rPr>
        <w:t>，</w:t>
      </w:r>
      <w:r>
        <w:rPr>
          <w:rFonts w:hint="eastAsia" w:ascii="宋体" w:hAnsi="宋体" w:cs="宋体"/>
          <w:szCs w:val="21"/>
          <w:highlight w:val="none"/>
          <w:lang w:eastAsia="zh-TW"/>
        </w:rPr>
        <w:t>递交地点应是</w:t>
      </w:r>
      <w:r>
        <w:rPr>
          <w:rFonts w:hint="eastAsia" w:ascii="宋体" w:hAnsi="宋体" w:cs="宋体"/>
          <w:szCs w:val="21"/>
          <w:highlight w:val="none"/>
        </w:rPr>
        <w:t>“</w:t>
      </w:r>
      <w:r>
        <w:rPr>
          <w:rFonts w:hint="eastAsia" w:ascii="宋体" w:hAnsi="宋体" w:cs="宋体"/>
          <w:b/>
          <w:szCs w:val="21"/>
          <w:highlight w:val="none"/>
        </w:rPr>
        <w:t>第一章 采购公告”</w:t>
      </w:r>
      <w:r>
        <w:rPr>
          <w:rFonts w:hint="eastAsia" w:ascii="宋体" w:hAnsi="宋体" w:cs="宋体"/>
          <w:szCs w:val="21"/>
          <w:highlight w:val="none"/>
          <w:lang w:eastAsia="zh-TW"/>
        </w:rPr>
        <w:t>中指明的地址。</w:t>
      </w:r>
    </w:p>
    <w:p w14:paraId="0B738433">
      <w:pPr>
        <w:numPr>
          <w:ilvl w:val="1"/>
          <w:numId w:val="34"/>
        </w:numPr>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为使投标人准备投标时有充分时间对招标文件的修改部分进行研究，招标采购单位可适当推迟投标截止期，但应发布公告并书面通知所有购买招标文件的潜在投标人。在此情况下</w:t>
      </w:r>
      <w:r>
        <w:rPr>
          <w:rFonts w:hint="eastAsia" w:ascii="宋体" w:hAnsi="宋体" w:cs="宋体"/>
          <w:szCs w:val="21"/>
          <w:highlight w:val="none"/>
        </w:rPr>
        <w:t>，</w:t>
      </w:r>
      <w:r>
        <w:rPr>
          <w:rFonts w:hint="eastAsia" w:ascii="宋体" w:hAnsi="宋体" w:cs="宋体"/>
          <w:szCs w:val="21"/>
          <w:highlight w:val="none"/>
          <w:lang w:eastAsia="zh-TW"/>
        </w:rPr>
        <w:t>招标采购单位和投标人受投标截止期制约的所有权利和义务均应延长至新的截止期。</w:t>
      </w:r>
    </w:p>
    <w:p w14:paraId="019F770A">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招标代理机构将</w:t>
      </w:r>
      <w:r>
        <w:rPr>
          <w:rFonts w:hint="eastAsia" w:ascii="宋体" w:hAnsi="宋体" w:cs="宋体"/>
          <w:szCs w:val="21"/>
          <w:highlight w:val="none"/>
        </w:rPr>
        <w:t>拒收</w:t>
      </w:r>
      <w:r>
        <w:rPr>
          <w:rFonts w:hint="eastAsia" w:ascii="宋体" w:hAnsi="宋体" w:cs="宋体"/>
          <w:szCs w:val="21"/>
          <w:highlight w:val="none"/>
          <w:lang w:eastAsia="zh-TW"/>
        </w:rPr>
        <w:t>在</w:t>
      </w:r>
      <w:r>
        <w:rPr>
          <w:rFonts w:hint="eastAsia" w:ascii="宋体" w:hAnsi="宋体" w:cs="宋体"/>
          <w:szCs w:val="21"/>
          <w:highlight w:val="none"/>
        </w:rPr>
        <w:t>招标文件</w:t>
      </w:r>
      <w:r>
        <w:rPr>
          <w:rFonts w:hint="eastAsia" w:ascii="宋体" w:hAnsi="宋体" w:cs="宋体"/>
          <w:szCs w:val="21"/>
          <w:highlight w:val="none"/>
          <w:lang w:eastAsia="zh-TW"/>
        </w:rPr>
        <w:t>规定的</w:t>
      </w:r>
      <w:r>
        <w:rPr>
          <w:rFonts w:hint="eastAsia" w:ascii="宋体" w:hAnsi="宋体" w:cs="宋体"/>
          <w:szCs w:val="21"/>
          <w:highlight w:val="none"/>
        </w:rPr>
        <w:t>投标</w:t>
      </w:r>
      <w:r>
        <w:rPr>
          <w:rFonts w:hint="eastAsia" w:ascii="宋体" w:hAnsi="宋体" w:cs="宋体"/>
          <w:szCs w:val="21"/>
          <w:highlight w:val="none"/>
          <w:lang w:eastAsia="zh-TW"/>
        </w:rPr>
        <w:t>截止时间</w:t>
      </w:r>
      <w:r>
        <w:rPr>
          <w:rFonts w:hint="eastAsia" w:ascii="宋体" w:hAnsi="宋体" w:cs="宋体"/>
          <w:szCs w:val="21"/>
          <w:highlight w:val="none"/>
        </w:rPr>
        <w:t>之</w:t>
      </w:r>
      <w:r>
        <w:rPr>
          <w:rFonts w:hint="eastAsia" w:ascii="宋体" w:hAnsi="宋体" w:cs="宋体"/>
          <w:szCs w:val="21"/>
          <w:highlight w:val="none"/>
          <w:lang w:eastAsia="zh-TW"/>
        </w:rPr>
        <w:t>后</w:t>
      </w:r>
      <w:r>
        <w:rPr>
          <w:rFonts w:hint="eastAsia" w:ascii="宋体" w:hAnsi="宋体" w:cs="宋体"/>
          <w:szCs w:val="21"/>
          <w:highlight w:val="none"/>
        </w:rPr>
        <w:t>送达的投标文件。</w:t>
      </w:r>
    </w:p>
    <w:p w14:paraId="1639B8CD">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288" w:name="_Toc157"/>
      <w:bookmarkStart w:id="289" w:name="_Toc12679"/>
      <w:bookmarkStart w:id="290" w:name="_Toc355879692"/>
      <w:bookmarkStart w:id="291" w:name="_Toc410722663"/>
      <w:bookmarkStart w:id="292" w:name="_Toc25820"/>
      <w:bookmarkStart w:id="293" w:name="_Toc6728"/>
      <w:bookmarkStart w:id="294" w:name="_Toc16183"/>
      <w:bookmarkStart w:id="295" w:name="_Toc9820"/>
      <w:r>
        <w:rPr>
          <w:rFonts w:hint="eastAsia" w:ascii="宋体" w:hAnsi="宋体"/>
          <w:b/>
          <w:bCs/>
          <w:szCs w:val="21"/>
          <w:highlight w:val="none"/>
        </w:rPr>
        <w:t>投标文件的修改和撤回</w:t>
      </w:r>
      <w:bookmarkEnd w:id="288"/>
      <w:bookmarkEnd w:id="289"/>
      <w:bookmarkEnd w:id="290"/>
      <w:bookmarkEnd w:id="291"/>
      <w:bookmarkEnd w:id="292"/>
      <w:bookmarkEnd w:id="293"/>
      <w:bookmarkEnd w:id="294"/>
      <w:bookmarkEnd w:id="295"/>
    </w:p>
    <w:p w14:paraId="4B49193C">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14:paraId="3F33AA8B">
      <w:pPr>
        <w:numPr>
          <w:ilvl w:val="0"/>
          <w:numId w:val="33"/>
        </w:numPr>
        <w:autoSpaceDE w:val="0"/>
        <w:autoSpaceDN w:val="0"/>
        <w:adjustRightInd w:val="0"/>
        <w:snapToGrid w:val="0"/>
        <w:spacing w:before="312" w:beforeLines="100" w:after="312" w:afterLines="100" w:line="360" w:lineRule="auto"/>
        <w:jc w:val="center"/>
        <w:outlineLvl w:val="0"/>
        <w:rPr>
          <w:rFonts w:ascii="宋体" w:hAnsi="宋体"/>
          <w:b/>
          <w:sz w:val="28"/>
          <w:szCs w:val="28"/>
          <w:highlight w:val="none"/>
          <w:lang w:eastAsia="zh-TW"/>
        </w:rPr>
      </w:pPr>
      <w:bookmarkStart w:id="296" w:name="_Toc4285"/>
      <w:bookmarkStart w:id="297" w:name="_Toc16089"/>
      <w:bookmarkStart w:id="298" w:name="_Toc355879693"/>
      <w:bookmarkStart w:id="299" w:name="_Toc12315"/>
      <w:bookmarkStart w:id="300" w:name="_Toc26811"/>
      <w:bookmarkStart w:id="301" w:name="_Toc28367"/>
      <w:bookmarkStart w:id="302" w:name="_Toc410722664"/>
      <w:bookmarkStart w:id="303" w:name="_Toc28655"/>
      <w:r>
        <w:rPr>
          <w:rFonts w:hint="eastAsia" w:ascii="宋体" w:hAnsi="宋体"/>
          <w:b/>
          <w:sz w:val="28"/>
          <w:szCs w:val="28"/>
          <w:highlight w:val="none"/>
          <w:lang w:eastAsia="zh-TW"/>
        </w:rPr>
        <w:t>开标与评标</w:t>
      </w:r>
      <w:bookmarkEnd w:id="296"/>
      <w:bookmarkEnd w:id="297"/>
      <w:bookmarkEnd w:id="298"/>
      <w:bookmarkEnd w:id="299"/>
      <w:bookmarkEnd w:id="300"/>
      <w:bookmarkEnd w:id="301"/>
      <w:bookmarkEnd w:id="302"/>
      <w:bookmarkEnd w:id="303"/>
    </w:p>
    <w:p w14:paraId="65786F26">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04" w:name="_Toc30391"/>
      <w:bookmarkStart w:id="305" w:name="_Toc9659"/>
      <w:bookmarkStart w:id="306" w:name="_Toc355879694"/>
      <w:bookmarkStart w:id="307" w:name="_Toc28293"/>
      <w:bookmarkStart w:id="308" w:name="_Toc30224"/>
      <w:bookmarkStart w:id="309" w:name="_Toc410722665"/>
      <w:bookmarkStart w:id="310" w:name="_Toc25120"/>
      <w:bookmarkStart w:id="311" w:name="_Toc2763"/>
      <w:r>
        <w:rPr>
          <w:rFonts w:hint="eastAsia" w:ascii="宋体" w:hAnsi="宋体"/>
          <w:b/>
          <w:bCs/>
          <w:szCs w:val="21"/>
          <w:highlight w:val="none"/>
        </w:rPr>
        <w:t>开标</w:t>
      </w:r>
      <w:bookmarkEnd w:id="304"/>
      <w:bookmarkEnd w:id="305"/>
      <w:bookmarkEnd w:id="306"/>
      <w:bookmarkEnd w:id="307"/>
      <w:bookmarkEnd w:id="308"/>
      <w:bookmarkEnd w:id="309"/>
      <w:bookmarkEnd w:id="310"/>
      <w:bookmarkEnd w:id="311"/>
    </w:p>
    <w:p w14:paraId="104E1A2A">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招标代理机构在</w:t>
      </w:r>
      <w:r>
        <w:rPr>
          <w:rFonts w:hint="eastAsia" w:ascii="宋体" w:hAnsi="宋体" w:cs="宋体"/>
          <w:szCs w:val="21"/>
          <w:highlight w:val="none"/>
        </w:rPr>
        <w:t>“</w:t>
      </w:r>
      <w:r>
        <w:rPr>
          <w:rFonts w:hint="eastAsia" w:ascii="宋体" w:hAnsi="宋体" w:cs="宋体"/>
          <w:b/>
          <w:szCs w:val="21"/>
          <w:highlight w:val="none"/>
        </w:rPr>
        <w:t>第一章 采购公告”</w:t>
      </w:r>
      <w:r>
        <w:rPr>
          <w:rFonts w:hint="eastAsia" w:ascii="宋体" w:hAnsi="宋体" w:cs="宋体"/>
          <w:szCs w:val="21"/>
          <w:highlight w:val="none"/>
          <w:lang w:eastAsia="zh-TW"/>
        </w:rPr>
        <w:t>中规定的日期、时</w:t>
      </w:r>
      <w:r>
        <w:rPr>
          <w:rFonts w:hint="eastAsia" w:ascii="宋体" w:hAnsi="宋体" w:cs="宋体"/>
          <w:szCs w:val="21"/>
          <w:highlight w:val="none"/>
        </w:rPr>
        <w:t>间</w:t>
      </w:r>
      <w:r>
        <w:rPr>
          <w:rFonts w:hint="eastAsia" w:ascii="宋体" w:hAnsi="宋体" w:cs="宋体"/>
          <w:szCs w:val="21"/>
          <w:highlight w:val="none"/>
          <w:lang w:eastAsia="zh-TW"/>
        </w:rPr>
        <w:t>和地点组织公开开标。开标时邀请所有投标人代表参加。参加开标的代表应签名报到以证明其出席。</w:t>
      </w:r>
      <w:r>
        <w:rPr>
          <w:rFonts w:hint="eastAsia" w:ascii="宋体" w:hAnsi="宋体"/>
          <w:highlight w:val="none"/>
        </w:rPr>
        <w:t>现场递交投标文件的</w:t>
      </w:r>
      <w:r>
        <w:rPr>
          <w:rFonts w:hint="eastAsia"/>
          <w:szCs w:val="21"/>
          <w:highlight w:val="none"/>
        </w:rPr>
        <w:t>投标人代表如不参加开标会议，可在递交投标文件并核验身份后离场，不参加开标会议的视为认可开标结果。</w:t>
      </w:r>
    </w:p>
    <w:p w14:paraId="04825B18">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TW"/>
        </w:rPr>
        <w:t>开标时</w:t>
      </w:r>
      <w:r>
        <w:rPr>
          <w:rFonts w:hint="eastAsia" w:ascii="宋体" w:hAnsi="宋体" w:cs="宋体"/>
          <w:szCs w:val="21"/>
          <w:highlight w:val="none"/>
        </w:rPr>
        <w:t>，</w:t>
      </w:r>
      <w:r>
        <w:rPr>
          <w:rFonts w:hint="eastAsia" w:ascii="宋体" w:hAnsi="宋体" w:cs="宋体"/>
          <w:szCs w:val="21"/>
          <w:highlight w:val="none"/>
          <w:lang w:eastAsia="zh-TW"/>
        </w:rPr>
        <w:t>投标人</w:t>
      </w:r>
      <w:r>
        <w:rPr>
          <w:rFonts w:hint="eastAsia" w:ascii="宋体" w:hAnsi="宋体" w:cs="宋体"/>
          <w:szCs w:val="21"/>
          <w:highlight w:val="none"/>
        </w:rPr>
        <w:t>（如有）</w:t>
      </w:r>
      <w:r>
        <w:rPr>
          <w:rFonts w:hint="eastAsia" w:ascii="宋体" w:hAnsi="宋体" w:cs="宋体"/>
          <w:szCs w:val="21"/>
          <w:highlight w:val="none"/>
          <w:lang w:eastAsia="zh-TW"/>
        </w:rPr>
        <w:t>或者其推选的代表</w:t>
      </w:r>
      <w:r>
        <w:rPr>
          <w:rFonts w:hint="eastAsia" w:ascii="宋体" w:hAnsi="宋体" w:cs="宋体"/>
          <w:szCs w:val="21"/>
          <w:highlight w:val="none"/>
        </w:rPr>
        <w:t>（如有）或招标人代表就所有</w:t>
      </w:r>
      <w:r>
        <w:rPr>
          <w:rFonts w:hint="eastAsia" w:ascii="宋体" w:hAnsi="宋体" w:cs="宋体"/>
          <w:szCs w:val="21"/>
          <w:highlight w:val="none"/>
          <w:lang w:eastAsia="zh-TW"/>
        </w:rPr>
        <w:t>投标文件的密封情况</w:t>
      </w:r>
      <w:r>
        <w:rPr>
          <w:rFonts w:hint="eastAsia" w:ascii="宋体" w:hAnsi="宋体" w:cs="宋体"/>
          <w:szCs w:val="21"/>
          <w:highlight w:val="none"/>
        </w:rPr>
        <w:t>进行检查，</w:t>
      </w:r>
      <w:r>
        <w:rPr>
          <w:rFonts w:hint="eastAsia" w:ascii="宋体" w:hAnsi="宋体" w:cs="宋体"/>
          <w:szCs w:val="21"/>
          <w:highlight w:val="none"/>
          <w:lang w:eastAsia="zh-TW"/>
        </w:rPr>
        <w:t>也可以由</w:t>
      </w:r>
      <w:r>
        <w:rPr>
          <w:rFonts w:hint="eastAsia" w:ascii="宋体" w:hAnsi="宋体" w:cs="宋体"/>
          <w:szCs w:val="21"/>
          <w:highlight w:val="none"/>
        </w:rPr>
        <w:t>招标</w:t>
      </w:r>
      <w:r>
        <w:rPr>
          <w:rFonts w:hint="eastAsia" w:ascii="宋体" w:hAnsi="宋体" w:cs="宋体"/>
          <w:szCs w:val="21"/>
          <w:highlight w:val="none"/>
          <w:lang w:eastAsia="zh-TW"/>
        </w:rPr>
        <w:t>采购</w:t>
      </w:r>
      <w:r>
        <w:rPr>
          <w:rFonts w:hint="eastAsia" w:ascii="宋体" w:hAnsi="宋体" w:cs="宋体"/>
          <w:szCs w:val="21"/>
          <w:highlight w:val="none"/>
        </w:rPr>
        <w:t>单位</w:t>
      </w:r>
      <w:r>
        <w:rPr>
          <w:rFonts w:hint="eastAsia" w:ascii="宋体" w:hAnsi="宋体" w:cs="宋体"/>
          <w:szCs w:val="21"/>
          <w:highlight w:val="none"/>
          <w:lang w:eastAsia="zh-TW"/>
        </w:rPr>
        <w:t>委托的机构检查并见证，经确认无误后由招标工作人员当众拆封，宣读投标人名称、投标文件的其他主要内容和招标文件允许提供的备选投标方案</w:t>
      </w:r>
      <w:r>
        <w:rPr>
          <w:rFonts w:hint="eastAsia" w:ascii="宋体" w:hAnsi="宋体" w:cs="宋体"/>
          <w:szCs w:val="21"/>
          <w:highlight w:val="none"/>
        </w:rPr>
        <w:t>，</w:t>
      </w:r>
      <w:r>
        <w:rPr>
          <w:rFonts w:hint="eastAsia" w:ascii="宋体" w:hAnsi="宋体" w:cs="宋体"/>
          <w:szCs w:val="21"/>
          <w:highlight w:val="none"/>
          <w:lang w:eastAsia="zh-TW"/>
        </w:rPr>
        <w:t>以及招标代理机构认为合适的其他内容。</w:t>
      </w:r>
    </w:p>
    <w:p w14:paraId="13E6662B">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lang w:eastAsia="zh-TW"/>
        </w:rPr>
        <w:t>在开标时</w:t>
      </w:r>
      <w:r>
        <w:rPr>
          <w:rFonts w:hint="eastAsia" w:ascii="宋体" w:hAnsi="宋体" w:cs="宋体"/>
          <w:szCs w:val="21"/>
          <w:highlight w:val="none"/>
        </w:rPr>
        <w:t>，未宣读的投标价格、价格折扣和招标文件允许提供的备选投标方案等实质内容，</w:t>
      </w:r>
      <w:r>
        <w:rPr>
          <w:rFonts w:hint="eastAsia" w:ascii="宋体" w:hAnsi="宋体" w:cs="宋体"/>
          <w:szCs w:val="21"/>
          <w:highlight w:val="none"/>
          <w:lang w:eastAsia="zh-TW"/>
        </w:rPr>
        <w:t>评标时不予</w:t>
      </w:r>
      <w:r>
        <w:rPr>
          <w:rFonts w:hint="eastAsia" w:ascii="宋体" w:hAnsi="宋体" w:cs="宋体"/>
          <w:szCs w:val="21"/>
          <w:highlight w:val="none"/>
        </w:rPr>
        <w:t>承认</w:t>
      </w:r>
      <w:r>
        <w:rPr>
          <w:rFonts w:hint="eastAsia" w:ascii="宋体" w:hAnsi="宋体" w:cs="宋体"/>
          <w:szCs w:val="21"/>
          <w:highlight w:val="none"/>
          <w:lang w:eastAsia="zh-TW"/>
        </w:rPr>
        <w:t>。</w:t>
      </w:r>
    </w:p>
    <w:p w14:paraId="4F99FD8F">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TW"/>
        </w:rPr>
        <w:t>招标代理机构将做开标记录</w:t>
      </w:r>
      <w:r>
        <w:rPr>
          <w:rFonts w:hint="eastAsia" w:ascii="宋体" w:hAnsi="宋体" w:cs="宋体"/>
          <w:szCs w:val="21"/>
          <w:highlight w:val="none"/>
        </w:rPr>
        <w:t>，开标记录由投标人代表（如有）和有关人员共同签字确认</w:t>
      </w:r>
      <w:r>
        <w:rPr>
          <w:rFonts w:hint="eastAsia" w:ascii="宋体" w:hAnsi="宋体" w:cs="宋体"/>
          <w:szCs w:val="21"/>
          <w:highlight w:val="none"/>
          <w:lang w:eastAsia="zh-TW"/>
        </w:rPr>
        <w:t>。</w:t>
      </w:r>
    </w:p>
    <w:p w14:paraId="02934A01">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12" w:name="_Toc22842"/>
      <w:bookmarkStart w:id="313" w:name="_Toc410722666"/>
      <w:bookmarkStart w:id="314" w:name="_Toc18718"/>
      <w:bookmarkStart w:id="315" w:name="_Toc31803"/>
      <w:bookmarkStart w:id="316" w:name="_Toc17198"/>
      <w:bookmarkStart w:id="317" w:name="_Toc355879695"/>
      <w:bookmarkStart w:id="318" w:name="_Toc22080"/>
      <w:bookmarkStart w:id="319" w:name="_Toc26006"/>
      <w:r>
        <w:rPr>
          <w:rFonts w:hint="eastAsia" w:ascii="宋体" w:hAnsi="宋体"/>
          <w:b/>
          <w:bCs/>
          <w:szCs w:val="21"/>
          <w:highlight w:val="none"/>
        </w:rPr>
        <w:t>评标委员会和评标方法</w:t>
      </w:r>
      <w:bookmarkEnd w:id="312"/>
      <w:bookmarkEnd w:id="313"/>
      <w:bookmarkEnd w:id="314"/>
      <w:bookmarkEnd w:id="315"/>
      <w:bookmarkEnd w:id="316"/>
      <w:bookmarkEnd w:id="317"/>
      <w:bookmarkEnd w:id="318"/>
      <w:bookmarkEnd w:id="319"/>
    </w:p>
    <w:p w14:paraId="1EA0F65F">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bCs/>
          <w:szCs w:val="21"/>
          <w:highlight w:val="none"/>
        </w:rPr>
        <w:t>评标由评标委员会负责。</w:t>
      </w:r>
      <w:bookmarkStart w:id="320" w:name="OLE_LINK9"/>
      <w:r>
        <w:rPr>
          <w:rFonts w:hint="eastAsia" w:ascii="宋体" w:hAnsi="宋体" w:cs="宋体"/>
          <w:szCs w:val="21"/>
          <w:highlight w:val="none"/>
          <w:lang w:eastAsia="zh-TW"/>
        </w:rPr>
        <w:t>评标委员会成员由</w:t>
      </w:r>
      <w:r>
        <w:rPr>
          <w:rFonts w:hint="eastAsia" w:ascii="宋体" w:hAnsi="宋体" w:cs="宋体"/>
          <w:szCs w:val="21"/>
          <w:highlight w:val="none"/>
        </w:rPr>
        <w:t>有关金融</w:t>
      </w:r>
      <w:r>
        <w:rPr>
          <w:rFonts w:hint="eastAsia" w:ascii="宋体" w:hAnsi="宋体" w:cs="宋体"/>
          <w:szCs w:val="21"/>
          <w:highlight w:val="none"/>
          <w:lang w:eastAsia="zh-TW"/>
        </w:rPr>
        <w:t>、</w:t>
      </w:r>
      <w:r>
        <w:rPr>
          <w:rFonts w:hint="eastAsia" w:ascii="宋体" w:hAnsi="宋体" w:cs="宋体"/>
          <w:szCs w:val="21"/>
          <w:highlight w:val="none"/>
        </w:rPr>
        <w:t>法律、财务</w:t>
      </w:r>
      <w:r>
        <w:rPr>
          <w:rFonts w:hint="eastAsia" w:ascii="宋体" w:hAnsi="宋体" w:cs="宋体"/>
          <w:szCs w:val="21"/>
          <w:highlight w:val="none"/>
          <w:lang w:eastAsia="zh-TW"/>
        </w:rPr>
        <w:t>等方面的</w:t>
      </w:r>
      <w:bookmarkEnd w:id="320"/>
      <w:r>
        <w:rPr>
          <w:rFonts w:hint="eastAsia" w:ascii="宋体" w:hAnsi="宋体" w:cs="宋体"/>
          <w:szCs w:val="21"/>
          <w:highlight w:val="none"/>
          <w:lang w:eastAsia="zh-TW"/>
        </w:rPr>
        <w:t>专家组成</w:t>
      </w:r>
      <w:r>
        <w:rPr>
          <w:rFonts w:hint="eastAsia" w:ascii="宋体" w:hAnsi="宋体" w:cs="宋体"/>
          <w:bCs/>
          <w:szCs w:val="21"/>
          <w:highlight w:val="none"/>
        </w:rPr>
        <w:t>，专家人数构成将按照</w:t>
      </w:r>
      <w:r>
        <w:rPr>
          <w:rFonts w:hint="eastAsia" w:ascii="宋体" w:hAnsi="宋体" w:cs="宋体"/>
          <w:b/>
          <w:szCs w:val="21"/>
          <w:highlight w:val="none"/>
        </w:rPr>
        <w:t>投标资料表</w:t>
      </w:r>
      <w:r>
        <w:rPr>
          <w:rFonts w:hint="eastAsia" w:ascii="宋体" w:hAnsi="宋体" w:cs="宋体"/>
          <w:bCs/>
          <w:szCs w:val="21"/>
          <w:highlight w:val="none"/>
        </w:rPr>
        <w:t>中确定。</w:t>
      </w:r>
      <w:r>
        <w:rPr>
          <w:rFonts w:hint="eastAsia" w:ascii="宋体" w:hAnsi="宋体" w:cs="宋体"/>
          <w:szCs w:val="21"/>
          <w:highlight w:val="none"/>
          <w:lang w:eastAsia="zh-TW"/>
        </w:rPr>
        <w:t>评标委员会成员依法从广东省综合评标专家库中随机抽取。</w:t>
      </w:r>
    </w:p>
    <w:p w14:paraId="726CFF0B">
      <w:pPr>
        <w:numPr>
          <w:ilvl w:val="1"/>
          <w:numId w:val="34"/>
        </w:numPr>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评标委员会名单在</w:t>
      </w:r>
      <w:r>
        <w:rPr>
          <w:rFonts w:hint="eastAsia" w:ascii="宋体" w:hAnsi="宋体" w:cs="宋体"/>
          <w:szCs w:val="21"/>
          <w:highlight w:val="none"/>
        </w:rPr>
        <w:t>评审</w:t>
      </w:r>
      <w:r>
        <w:rPr>
          <w:rFonts w:hint="eastAsia" w:ascii="宋体" w:hAnsi="宋体" w:cs="宋体"/>
          <w:szCs w:val="21"/>
          <w:highlight w:val="none"/>
          <w:lang w:eastAsia="zh-TW"/>
        </w:rPr>
        <w:t>结果确定前严格保密。评审专家有下列情形之一的，受到邀请应主动提出回避，采购当事人也可以要求该评审专家回避：</w:t>
      </w:r>
    </w:p>
    <w:p w14:paraId="5E208062">
      <w:pPr>
        <w:numPr>
          <w:ilvl w:val="2"/>
          <w:numId w:val="34"/>
        </w:numPr>
        <w:tabs>
          <w:tab w:val="left" w:pos="851"/>
          <w:tab w:val="left" w:pos="1418"/>
        </w:tabs>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三年内曾在参加该采购项目供应商中任职或担任顾问的；</w:t>
      </w:r>
    </w:p>
    <w:p w14:paraId="0CF93164">
      <w:pPr>
        <w:numPr>
          <w:ilvl w:val="2"/>
          <w:numId w:val="34"/>
        </w:numPr>
        <w:tabs>
          <w:tab w:val="left" w:pos="851"/>
          <w:tab w:val="left" w:pos="1418"/>
        </w:tabs>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配偶或直系亲属在参加该采购项目的供应商中任职或担任顾问的；</w:t>
      </w:r>
    </w:p>
    <w:p w14:paraId="61386298">
      <w:pPr>
        <w:numPr>
          <w:ilvl w:val="2"/>
          <w:numId w:val="34"/>
        </w:numPr>
        <w:tabs>
          <w:tab w:val="left" w:pos="851"/>
          <w:tab w:val="left" w:pos="1418"/>
        </w:tabs>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与参加该采购项目供应商发生过法律纠纷的；</w:t>
      </w:r>
    </w:p>
    <w:p w14:paraId="6B7F44AB">
      <w:pPr>
        <w:numPr>
          <w:ilvl w:val="2"/>
          <w:numId w:val="34"/>
        </w:numPr>
        <w:tabs>
          <w:tab w:val="left" w:pos="851"/>
          <w:tab w:val="left" w:pos="1418"/>
        </w:tabs>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任职单位与招标人或参与该采购项目供应商存在行政隶属关系的；</w:t>
      </w:r>
    </w:p>
    <w:p w14:paraId="557DCE1B">
      <w:pPr>
        <w:numPr>
          <w:ilvl w:val="2"/>
          <w:numId w:val="34"/>
        </w:numPr>
        <w:tabs>
          <w:tab w:val="left" w:pos="851"/>
          <w:tab w:val="left" w:pos="1418"/>
        </w:tabs>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参与招标文件论证的；</w:t>
      </w:r>
    </w:p>
    <w:p w14:paraId="070DB058">
      <w:pPr>
        <w:numPr>
          <w:ilvl w:val="2"/>
          <w:numId w:val="34"/>
        </w:numPr>
        <w:tabs>
          <w:tab w:val="left" w:pos="851"/>
          <w:tab w:val="left" w:pos="1418"/>
        </w:tabs>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法律、法规、规章规定应当回避以及其他可能影响公正评审的。</w:t>
      </w:r>
    </w:p>
    <w:p w14:paraId="261B460F">
      <w:pPr>
        <w:numPr>
          <w:ilvl w:val="1"/>
          <w:numId w:val="34"/>
        </w:numPr>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评标委员会和有关工作人员不得透露对投标文件的评审和比较以及与评标有关的其他情况。</w:t>
      </w:r>
    </w:p>
    <w:p w14:paraId="0F812923">
      <w:pPr>
        <w:numPr>
          <w:ilvl w:val="1"/>
          <w:numId w:val="34"/>
        </w:numPr>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评标委员会将按照</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中确定的评标方法</w:t>
      </w:r>
      <w:r>
        <w:rPr>
          <w:rFonts w:hint="eastAsia" w:ascii="宋体" w:hAnsi="宋体" w:cs="宋体"/>
          <w:szCs w:val="21"/>
          <w:highlight w:val="none"/>
        </w:rPr>
        <w:t>和</w:t>
      </w:r>
      <w:r>
        <w:rPr>
          <w:rFonts w:hint="eastAsia" w:ascii="宋体" w:hAnsi="宋体" w:cs="宋体"/>
          <w:szCs w:val="21"/>
          <w:highlight w:val="none"/>
          <w:lang w:eastAsia="zh-TW"/>
        </w:rPr>
        <w:t>本招标文件第</w:t>
      </w:r>
      <w:r>
        <w:rPr>
          <w:rFonts w:hint="eastAsia" w:ascii="宋体" w:hAnsi="宋体" w:cs="宋体"/>
          <w:szCs w:val="21"/>
          <w:highlight w:val="none"/>
        </w:rPr>
        <w:t>四</w:t>
      </w:r>
      <w:r>
        <w:rPr>
          <w:rFonts w:hint="eastAsia" w:ascii="宋体" w:hAnsi="宋体" w:cs="宋体"/>
          <w:szCs w:val="21"/>
          <w:highlight w:val="none"/>
          <w:lang w:eastAsia="zh-TW"/>
        </w:rPr>
        <w:t>章中规定</w:t>
      </w:r>
      <w:r>
        <w:rPr>
          <w:rFonts w:hint="eastAsia" w:ascii="宋体" w:hAnsi="宋体" w:cs="宋体"/>
          <w:szCs w:val="21"/>
          <w:highlight w:val="none"/>
        </w:rPr>
        <w:t>的评标</w:t>
      </w:r>
      <w:r>
        <w:rPr>
          <w:rFonts w:hint="eastAsia" w:ascii="宋体" w:hAnsi="宋体" w:cs="宋体"/>
          <w:szCs w:val="21"/>
          <w:highlight w:val="none"/>
          <w:lang w:eastAsia="zh-TW"/>
        </w:rPr>
        <w:t>标准进行评标。</w:t>
      </w:r>
    </w:p>
    <w:p w14:paraId="1096DF89">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21" w:name="_Toc5523"/>
      <w:bookmarkStart w:id="322" w:name="_Toc7063"/>
      <w:bookmarkStart w:id="323" w:name="_Toc410722667"/>
      <w:bookmarkStart w:id="324" w:name="_Toc12307"/>
      <w:bookmarkStart w:id="325" w:name="_Toc32632"/>
      <w:bookmarkStart w:id="326" w:name="_Toc29128"/>
      <w:bookmarkStart w:id="327" w:name="_Toc28390"/>
      <w:bookmarkStart w:id="328" w:name="_Toc355879696"/>
      <w:r>
        <w:rPr>
          <w:rFonts w:hint="eastAsia" w:ascii="宋体" w:hAnsi="宋体"/>
          <w:b/>
          <w:bCs/>
          <w:szCs w:val="21"/>
          <w:highlight w:val="none"/>
        </w:rPr>
        <w:t>投标文件的初审</w:t>
      </w:r>
      <w:bookmarkEnd w:id="321"/>
      <w:bookmarkEnd w:id="322"/>
      <w:bookmarkEnd w:id="323"/>
      <w:bookmarkEnd w:id="324"/>
      <w:bookmarkEnd w:id="325"/>
      <w:bookmarkEnd w:id="326"/>
      <w:bookmarkEnd w:id="327"/>
      <w:bookmarkEnd w:id="328"/>
    </w:p>
    <w:p w14:paraId="42EB4DD3">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评标委员会将</w:t>
      </w:r>
      <w:r>
        <w:rPr>
          <w:rFonts w:hint="eastAsia" w:ascii="宋体" w:hAnsi="宋体" w:cs="宋体"/>
          <w:szCs w:val="21"/>
          <w:highlight w:val="none"/>
        </w:rPr>
        <w:t>依法</w:t>
      </w:r>
      <w:r>
        <w:rPr>
          <w:rFonts w:hint="eastAsia" w:ascii="宋体" w:hAnsi="宋体" w:cs="宋体"/>
          <w:szCs w:val="21"/>
          <w:highlight w:val="none"/>
          <w:lang w:eastAsia="zh-TW"/>
        </w:rPr>
        <w:t>审查投标文件是否完整、文件签署是否合格、是否按招标文件的规定密封和标记、投标人是否</w:t>
      </w:r>
      <w:r>
        <w:rPr>
          <w:rFonts w:hint="eastAsia" w:ascii="宋体" w:hAnsi="宋体" w:cs="宋体"/>
          <w:szCs w:val="21"/>
          <w:highlight w:val="none"/>
        </w:rPr>
        <w:t>缴纳</w:t>
      </w:r>
      <w:r>
        <w:rPr>
          <w:rFonts w:hint="eastAsia" w:ascii="宋体" w:hAnsi="宋体" w:cs="宋体"/>
          <w:szCs w:val="21"/>
          <w:highlight w:val="none"/>
          <w:lang w:eastAsia="zh-TW"/>
        </w:rPr>
        <w:t>了投标保证金、有无计算</w:t>
      </w:r>
      <w:r>
        <w:rPr>
          <w:rFonts w:hint="eastAsia" w:ascii="宋体" w:hAnsi="宋体" w:cs="宋体"/>
          <w:szCs w:val="21"/>
          <w:highlight w:val="none"/>
        </w:rPr>
        <w:t>上</w:t>
      </w:r>
      <w:r>
        <w:rPr>
          <w:rFonts w:hint="eastAsia" w:ascii="宋体" w:hAnsi="宋体" w:cs="宋体"/>
          <w:szCs w:val="21"/>
          <w:highlight w:val="none"/>
          <w:lang w:eastAsia="zh-TW"/>
        </w:rPr>
        <w:t>的错误等。</w:t>
      </w:r>
    </w:p>
    <w:p w14:paraId="69EA785D">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lang w:eastAsia="zh-TW"/>
        </w:rPr>
        <w:t>开标时，投标文件中开标一览表(报价表)内容与投标文件中明细表内容不一致的，以开标一览表(报价表)为准。投标文件中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ascii="宋体" w:hAnsi="宋体" w:cs="宋体"/>
          <w:szCs w:val="21"/>
          <w:highlight w:val="none"/>
        </w:rPr>
        <w:t>。如果投标人不接受对其错误的更正，其投标将被视为无效投标或确定为投标无效。</w:t>
      </w:r>
    </w:p>
    <w:p w14:paraId="1D190637">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TW"/>
        </w:rPr>
        <w:t>对于投标文件中不构成实质性偏差的不正规、不一致或不规则</w:t>
      </w:r>
      <w:r>
        <w:rPr>
          <w:rFonts w:hint="eastAsia" w:ascii="宋体" w:hAnsi="宋体" w:cs="宋体"/>
          <w:szCs w:val="21"/>
          <w:highlight w:val="none"/>
        </w:rPr>
        <w:t>，</w:t>
      </w:r>
      <w:r>
        <w:rPr>
          <w:rFonts w:hint="eastAsia" w:ascii="宋体" w:hAnsi="宋体" w:cs="宋体"/>
          <w:szCs w:val="21"/>
          <w:highlight w:val="none"/>
          <w:lang w:eastAsia="zh-TW"/>
        </w:rPr>
        <w:t>评标委员会可以接受</w:t>
      </w:r>
      <w:r>
        <w:rPr>
          <w:rFonts w:hint="eastAsia" w:ascii="宋体" w:hAnsi="宋体" w:cs="宋体"/>
          <w:szCs w:val="21"/>
          <w:highlight w:val="none"/>
        </w:rPr>
        <w:t>，</w:t>
      </w:r>
      <w:r>
        <w:rPr>
          <w:rFonts w:hint="eastAsia" w:ascii="宋体" w:hAnsi="宋体" w:cs="宋体"/>
          <w:szCs w:val="21"/>
          <w:highlight w:val="none"/>
          <w:lang w:eastAsia="zh-TW"/>
        </w:rPr>
        <w:t>但这种接受不能损害或影响任何投标人的相对排序。</w:t>
      </w:r>
    </w:p>
    <w:p w14:paraId="57B0FEAA">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TW"/>
        </w:rPr>
        <w:t>在详细评标之前</w:t>
      </w:r>
      <w:r>
        <w:rPr>
          <w:rFonts w:hint="eastAsia" w:ascii="宋体" w:hAnsi="宋体" w:cs="宋体"/>
          <w:szCs w:val="21"/>
          <w:highlight w:val="none"/>
        </w:rPr>
        <w:t>，</w:t>
      </w:r>
      <w:r>
        <w:rPr>
          <w:rFonts w:hint="eastAsia" w:ascii="宋体" w:hAnsi="宋体" w:cs="宋体"/>
          <w:szCs w:val="21"/>
          <w:highlight w:val="none"/>
          <w:lang w:eastAsia="zh-TW"/>
        </w:rPr>
        <w:t>评标委员会要审查每份投标文件是否实质上响应了招标文件的要求。实质上</w:t>
      </w:r>
      <w:r>
        <w:rPr>
          <w:rFonts w:hint="eastAsia" w:ascii="宋体" w:hAnsi="宋体" w:cs="宋体"/>
          <w:szCs w:val="21"/>
          <w:highlight w:val="none"/>
        </w:rPr>
        <w:t>响</w:t>
      </w:r>
      <w:r>
        <w:rPr>
          <w:rFonts w:hint="eastAsia" w:ascii="宋体" w:hAnsi="宋体" w:cs="宋体"/>
          <w:szCs w:val="21"/>
          <w:highlight w:val="none"/>
          <w:lang w:eastAsia="zh-TW"/>
        </w:rPr>
        <w:t>应的投标</w:t>
      </w:r>
      <w:r>
        <w:rPr>
          <w:rFonts w:hint="eastAsia" w:ascii="宋体" w:hAnsi="宋体" w:cs="宋体"/>
          <w:szCs w:val="21"/>
          <w:highlight w:val="none"/>
        </w:rPr>
        <w:t>文件</w:t>
      </w:r>
      <w:r>
        <w:rPr>
          <w:rFonts w:hint="eastAsia" w:ascii="宋体" w:hAnsi="宋体" w:cs="宋体"/>
          <w:szCs w:val="21"/>
          <w:highlight w:val="none"/>
          <w:lang w:eastAsia="zh-TW"/>
        </w:rPr>
        <w:t>应该是与招标文件要求的关键条款</w:t>
      </w:r>
      <w:r>
        <w:rPr>
          <w:rFonts w:hint="eastAsia" w:ascii="宋体" w:hAnsi="宋体" w:cs="宋体"/>
          <w:szCs w:val="21"/>
          <w:highlight w:val="none"/>
        </w:rPr>
        <w:t>、</w:t>
      </w:r>
      <w:r>
        <w:rPr>
          <w:rFonts w:hint="eastAsia" w:ascii="宋体" w:hAnsi="宋体" w:cs="宋体"/>
          <w:szCs w:val="21"/>
          <w:highlight w:val="none"/>
          <w:lang w:eastAsia="zh-TW"/>
        </w:rPr>
        <w:t>条件和规格相符</w:t>
      </w:r>
      <w:r>
        <w:rPr>
          <w:rFonts w:hint="eastAsia" w:ascii="宋体" w:hAnsi="宋体" w:cs="宋体"/>
          <w:szCs w:val="21"/>
          <w:highlight w:val="none"/>
        </w:rPr>
        <w:t>或优于，</w:t>
      </w:r>
      <w:r>
        <w:rPr>
          <w:rFonts w:hint="eastAsia" w:ascii="宋体" w:hAnsi="宋体" w:cs="宋体"/>
          <w:szCs w:val="21"/>
          <w:highlight w:val="none"/>
          <w:lang w:eastAsia="zh-TW"/>
        </w:rPr>
        <w:t>没有</w:t>
      </w:r>
      <w:r>
        <w:rPr>
          <w:rFonts w:hint="eastAsia" w:ascii="宋体" w:hAnsi="宋体" w:cs="宋体"/>
          <w:szCs w:val="21"/>
          <w:highlight w:val="none"/>
        </w:rPr>
        <w:t>实质</w:t>
      </w:r>
      <w:r>
        <w:rPr>
          <w:rFonts w:hint="eastAsia" w:ascii="宋体" w:hAnsi="宋体" w:cs="宋体"/>
          <w:szCs w:val="21"/>
          <w:highlight w:val="none"/>
          <w:lang w:eastAsia="zh-TW"/>
        </w:rPr>
        <w:t>偏离的投标</w:t>
      </w:r>
      <w:r>
        <w:rPr>
          <w:rFonts w:hint="eastAsia" w:ascii="宋体" w:hAnsi="宋体" w:cs="宋体"/>
          <w:szCs w:val="21"/>
          <w:highlight w:val="none"/>
        </w:rPr>
        <w:t>文件</w:t>
      </w:r>
      <w:r>
        <w:rPr>
          <w:rFonts w:hint="eastAsia" w:ascii="宋体" w:hAnsi="宋体" w:cs="宋体"/>
          <w:szCs w:val="21"/>
          <w:highlight w:val="none"/>
          <w:lang w:eastAsia="zh-TW"/>
        </w:rPr>
        <w:t>。评标委员会决定投标的响应性只根据投标</w:t>
      </w:r>
      <w:r>
        <w:rPr>
          <w:rFonts w:hint="eastAsia" w:ascii="宋体" w:hAnsi="宋体" w:cs="宋体"/>
          <w:szCs w:val="21"/>
          <w:highlight w:val="none"/>
        </w:rPr>
        <w:t>文件</w:t>
      </w:r>
      <w:r>
        <w:rPr>
          <w:rFonts w:hint="eastAsia" w:ascii="宋体" w:hAnsi="宋体" w:cs="宋体"/>
          <w:szCs w:val="21"/>
          <w:highlight w:val="none"/>
          <w:lang w:eastAsia="zh-TW"/>
        </w:rPr>
        <w:t>本身的真实无误的内容</w:t>
      </w:r>
      <w:r>
        <w:rPr>
          <w:rFonts w:hint="eastAsia" w:ascii="宋体" w:hAnsi="宋体" w:cs="宋体"/>
          <w:szCs w:val="21"/>
          <w:highlight w:val="none"/>
        </w:rPr>
        <w:t>，</w:t>
      </w:r>
      <w:r>
        <w:rPr>
          <w:rFonts w:hint="eastAsia" w:ascii="宋体" w:hAnsi="宋体" w:cs="宋体"/>
          <w:szCs w:val="21"/>
          <w:highlight w:val="none"/>
          <w:lang w:eastAsia="zh-TW"/>
        </w:rPr>
        <w:t>而不依据外部的证据</w:t>
      </w:r>
      <w:r>
        <w:rPr>
          <w:rFonts w:hint="eastAsia" w:ascii="宋体" w:hAnsi="宋体" w:cs="宋体"/>
          <w:szCs w:val="21"/>
          <w:highlight w:val="none"/>
        </w:rPr>
        <w:t>，</w:t>
      </w:r>
      <w:r>
        <w:rPr>
          <w:rFonts w:hint="eastAsia" w:ascii="宋体" w:hAnsi="宋体" w:cs="宋体"/>
          <w:szCs w:val="21"/>
          <w:highlight w:val="none"/>
          <w:lang w:eastAsia="zh-TW"/>
        </w:rPr>
        <w:t>但投标有不真实不正确的内容时除外。</w:t>
      </w:r>
    </w:p>
    <w:p w14:paraId="1940B605">
      <w:pPr>
        <w:numPr>
          <w:ilvl w:val="1"/>
          <w:numId w:val="34"/>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TW"/>
        </w:rPr>
        <w:t>实质上没有响应招标文件要求的投标将</w:t>
      </w:r>
      <w:r>
        <w:rPr>
          <w:rFonts w:hint="eastAsia" w:ascii="宋体" w:hAnsi="宋体" w:cs="宋体"/>
          <w:szCs w:val="21"/>
          <w:highlight w:val="none"/>
        </w:rPr>
        <w:t>被视为无效投标</w:t>
      </w:r>
      <w:r>
        <w:rPr>
          <w:rFonts w:hint="eastAsia" w:ascii="宋体" w:hAnsi="宋体" w:cs="宋体"/>
          <w:szCs w:val="21"/>
          <w:highlight w:val="none"/>
          <w:lang w:eastAsia="zh-TW"/>
        </w:rPr>
        <w:t>。投标人不得通过修正或撤销不合要求的偏离或保留从而使其投标成为实质上响应的投标。</w:t>
      </w:r>
    </w:p>
    <w:p w14:paraId="5CF830AD">
      <w:pPr>
        <w:numPr>
          <w:ilvl w:val="2"/>
          <w:numId w:val="34"/>
        </w:numPr>
        <w:tabs>
          <w:tab w:val="left" w:pos="851"/>
          <w:tab w:val="left" w:pos="1418"/>
        </w:tabs>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在资格性审查、符合性检查时，未能通过资格性、符合性审查被认定为无效投标，对初步被认定为资格</w:t>
      </w:r>
      <w:r>
        <w:rPr>
          <w:rFonts w:hint="eastAsia" w:ascii="宋体" w:hAnsi="宋体" w:cs="宋体"/>
          <w:szCs w:val="21"/>
          <w:highlight w:val="none"/>
        </w:rPr>
        <w:t>、符合</w:t>
      </w:r>
      <w:r>
        <w:rPr>
          <w:rFonts w:hint="eastAsia" w:ascii="宋体" w:hAnsi="宋体" w:cs="宋体"/>
          <w:szCs w:val="21"/>
          <w:highlight w:val="none"/>
          <w:lang w:eastAsia="zh-TW"/>
        </w:rPr>
        <w:t>性审查不</w:t>
      </w:r>
      <w:r>
        <w:rPr>
          <w:rFonts w:hint="eastAsia" w:ascii="宋体" w:hAnsi="宋体" w:cs="宋体"/>
          <w:szCs w:val="21"/>
          <w:highlight w:val="none"/>
        </w:rPr>
        <w:t>通过</w:t>
      </w:r>
      <w:r>
        <w:rPr>
          <w:rFonts w:hint="eastAsia" w:ascii="宋体" w:hAnsi="宋体" w:cs="宋体"/>
          <w:szCs w:val="21"/>
          <w:highlight w:val="none"/>
          <w:lang w:eastAsia="zh-TW"/>
        </w:rPr>
        <w:t>的，可实行告知投标当事人，以让其核证、澄清事实。未通过资格</w:t>
      </w:r>
      <w:r>
        <w:rPr>
          <w:rFonts w:hint="eastAsia" w:ascii="宋体" w:hAnsi="宋体" w:cs="宋体"/>
          <w:szCs w:val="21"/>
          <w:highlight w:val="none"/>
        </w:rPr>
        <w:t>、符合</w:t>
      </w:r>
      <w:r>
        <w:rPr>
          <w:rFonts w:hint="eastAsia" w:ascii="宋体" w:hAnsi="宋体" w:cs="宋体"/>
          <w:szCs w:val="21"/>
          <w:highlight w:val="none"/>
          <w:lang w:eastAsia="zh-TW"/>
        </w:rPr>
        <w:t>性审查的投标人，不进入</w:t>
      </w:r>
      <w:r>
        <w:rPr>
          <w:rFonts w:hint="eastAsia" w:ascii="宋体" w:hAnsi="宋体" w:cs="宋体"/>
          <w:szCs w:val="21"/>
          <w:highlight w:val="none"/>
        </w:rPr>
        <w:t>技术、商务、价格评审</w:t>
      </w:r>
      <w:r>
        <w:rPr>
          <w:rFonts w:hint="eastAsia" w:ascii="宋体" w:hAnsi="宋体" w:cs="宋体"/>
          <w:szCs w:val="21"/>
          <w:highlight w:val="none"/>
          <w:lang w:eastAsia="zh-TW"/>
        </w:rPr>
        <w:t>。对投标有效性认定意见不一致的，评标委员会按</w:t>
      </w:r>
      <w:r>
        <w:rPr>
          <w:rFonts w:hint="eastAsia" w:ascii="宋体" w:hAnsi="宋体" w:cs="宋体"/>
          <w:szCs w:val="21"/>
          <w:highlight w:val="none"/>
        </w:rPr>
        <w:t>少数服从多数的</w:t>
      </w:r>
      <w:r>
        <w:rPr>
          <w:rFonts w:hint="eastAsia" w:ascii="宋体" w:hAnsi="宋体" w:cs="宋体"/>
          <w:szCs w:val="21"/>
          <w:highlight w:val="none"/>
          <w:lang w:eastAsia="zh-TW"/>
        </w:rPr>
        <w:t>原则</w:t>
      </w:r>
      <w:r>
        <w:rPr>
          <w:rFonts w:hint="eastAsia" w:ascii="宋体" w:hAnsi="宋体" w:cs="宋体"/>
          <w:szCs w:val="21"/>
          <w:highlight w:val="none"/>
        </w:rPr>
        <w:t>做出结论</w:t>
      </w:r>
      <w:r>
        <w:rPr>
          <w:rFonts w:hint="eastAsia" w:ascii="宋体" w:hAnsi="宋体" w:cs="宋体"/>
          <w:szCs w:val="21"/>
          <w:highlight w:val="none"/>
          <w:lang w:eastAsia="zh-TW"/>
        </w:rPr>
        <w:t>。具体条款详见招标文件第四章《资格、符合性评审条款》。</w:t>
      </w:r>
    </w:p>
    <w:p w14:paraId="355DE081">
      <w:pPr>
        <w:numPr>
          <w:ilvl w:val="1"/>
          <w:numId w:val="34"/>
        </w:numPr>
        <w:autoSpaceDE w:val="0"/>
        <w:autoSpaceDN w:val="0"/>
        <w:adjustRightInd w:val="0"/>
        <w:snapToGrid w:val="0"/>
        <w:spacing w:line="360" w:lineRule="auto"/>
        <w:rPr>
          <w:rFonts w:ascii="宋体" w:hAnsi="宋体"/>
          <w:szCs w:val="21"/>
          <w:highlight w:val="none"/>
        </w:rPr>
      </w:pPr>
      <w:r>
        <w:rPr>
          <w:rFonts w:ascii="宋体" w:hAnsi="宋体" w:cs="宋体"/>
          <w:szCs w:val="21"/>
          <w:highlight w:val="none"/>
        </w:rPr>
        <w:t>在招标采购中，出现下列情形之一的，应予废标：</w:t>
      </w:r>
    </w:p>
    <w:p w14:paraId="35B5260F">
      <w:pPr>
        <w:tabs>
          <w:tab w:val="left" w:pos="851"/>
        </w:tabs>
        <w:snapToGrid w:val="0"/>
        <w:spacing w:line="360" w:lineRule="auto"/>
        <w:ind w:left="709"/>
        <w:rPr>
          <w:rFonts w:ascii="宋体" w:hAnsi="宋体" w:cs="宋体"/>
          <w:szCs w:val="21"/>
          <w:highlight w:val="none"/>
        </w:rPr>
      </w:pPr>
      <w:r>
        <w:rPr>
          <w:rFonts w:hint="eastAsia" w:ascii="宋体" w:hAnsi="宋体" w:cs="宋体"/>
          <w:szCs w:val="21"/>
          <w:highlight w:val="none"/>
        </w:rPr>
        <w:t>26.6.1</w:t>
      </w:r>
      <w:r>
        <w:rPr>
          <w:rFonts w:ascii="宋体" w:hAnsi="宋体" w:cs="宋体"/>
          <w:szCs w:val="21"/>
          <w:highlight w:val="none"/>
        </w:rPr>
        <w:t>符合专业条件的供应商或者对</w:t>
      </w:r>
      <w:r>
        <w:rPr>
          <w:rFonts w:hint="eastAsia" w:ascii="宋体" w:hAnsi="宋体" w:cs="宋体"/>
          <w:szCs w:val="21"/>
          <w:highlight w:val="none"/>
        </w:rPr>
        <w:t>招标</w:t>
      </w:r>
      <w:r>
        <w:rPr>
          <w:rFonts w:ascii="宋体" w:hAnsi="宋体" w:cs="宋体"/>
          <w:szCs w:val="21"/>
          <w:highlight w:val="none"/>
        </w:rPr>
        <w:t>文件作实质响应的供应商不足三家的；</w:t>
      </w:r>
    </w:p>
    <w:p w14:paraId="6A4139B3">
      <w:pPr>
        <w:tabs>
          <w:tab w:val="left" w:pos="851"/>
        </w:tabs>
        <w:snapToGrid w:val="0"/>
        <w:spacing w:line="360" w:lineRule="auto"/>
        <w:ind w:left="709"/>
        <w:rPr>
          <w:rFonts w:ascii="宋体" w:hAnsi="宋体" w:cs="宋体"/>
          <w:szCs w:val="21"/>
          <w:highlight w:val="none"/>
        </w:rPr>
      </w:pPr>
      <w:r>
        <w:rPr>
          <w:rFonts w:hint="eastAsia" w:ascii="宋体" w:hAnsi="宋体" w:cs="宋体"/>
          <w:szCs w:val="21"/>
          <w:highlight w:val="none"/>
        </w:rPr>
        <w:t>26.6.2</w:t>
      </w:r>
      <w:r>
        <w:rPr>
          <w:rFonts w:ascii="宋体" w:hAnsi="宋体" w:cs="宋体"/>
          <w:szCs w:val="21"/>
          <w:highlight w:val="none"/>
        </w:rPr>
        <w:t>出现影响采购公正的违法、违规行为的；</w:t>
      </w:r>
    </w:p>
    <w:p w14:paraId="2F1937EC">
      <w:pPr>
        <w:tabs>
          <w:tab w:val="left" w:pos="851"/>
        </w:tabs>
        <w:snapToGrid w:val="0"/>
        <w:spacing w:line="360" w:lineRule="auto"/>
        <w:ind w:left="709"/>
        <w:rPr>
          <w:rFonts w:ascii="宋体" w:hAnsi="宋体" w:cs="宋体"/>
          <w:szCs w:val="21"/>
          <w:highlight w:val="none"/>
        </w:rPr>
      </w:pPr>
      <w:r>
        <w:rPr>
          <w:rFonts w:hint="eastAsia" w:ascii="宋体" w:hAnsi="宋体" w:cs="宋体"/>
          <w:szCs w:val="21"/>
          <w:highlight w:val="none"/>
        </w:rPr>
        <w:t>26.6.3</w:t>
      </w:r>
      <w:r>
        <w:rPr>
          <w:rFonts w:ascii="宋体" w:hAnsi="宋体" w:cs="宋体"/>
          <w:szCs w:val="21"/>
          <w:highlight w:val="none"/>
        </w:rPr>
        <w:t>投标人的报价均超过了采购预算，招标人不能支付的；</w:t>
      </w:r>
    </w:p>
    <w:p w14:paraId="19AA9C6A">
      <w:pPr>
        <w:tabs>
          <w:tab w:val="left" w:pos="851"/>
        </w:tabs>
        <w:snapToGrid w:val="0"/>
        <w:spacing w:line="360" w:lineRule="auto"/>
        <w:ind w:left="709"/>
        <w:rPr>
          <w:rFonts w:ascii="宋体" w:hAnsi="宋体" w:cs="宋体"/>
          <w:szCs w:val="21"/>
          <w:highlight w:val="none"/>
          <w:lang w:eastAsia="zh-TW"/>
        </w:rPr>
      </w:pPr>
      <w:r>
        <w:rPr>
          <w:rFonts w:hint="eastAsia" w:ascii="宋体" w:hAnsi="宋体" w:cs="宋体"/>
          <w:szCs w:val="21"/>
          <w:highlight w:val="none"/>
        </w:rPr>
        <w:t>26.6.4</w:t>
      </w:r>
      <w:r>
        <w:rPr>
          <w:rFonts w:ascii="宋体" w:hAnsi="宋体" w:cs="宋体"/>
          <w:szCs w:val="21"/>
          <w:highlight w:val="none"/>
        </w:rPr>
        <w:t>因重大变故，采购任务取消的</w:t>
      </w:r>
      <w:r>
        <w:rPr>
          <w:rFonts w:hint="eastAsia" w:ascii="宋体" w:hAnsi="宋体" w:cs="宋体"/>
          <w:szCs w:val="21"/>
          <w:highlight w:val="none"/>
        </w:rPr>
        <w:t>。</w:t>
      </w:r>
    </w:p>
    <w:p w14:paraId="6689C03D">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29" w:name="_Toc5648"/>
      <w:bookmarkStart w:id="330" w:name="_Toc17426"/>
      <w:bookmarkStart w:id="331" w:name="_Toc16549"/>
      <w:bookmarkStart w:id="332" w:name="_Toc410722668"/>
      <w:bookmarkStart w:id="333" w:name="_Toc355879697"/>
      <w:bookmarkStart w:id="334" w:name="_Toc27505"/>
      <w:bookmarkStart w:id="335" w:name="_Toc10348"/>
      <w:bookmarkStart w:id="336" w:name="_Toc13133"/>
      <w:r>
        <w:rPr>
          <w:rFonts w:hint="eastAsia" w:ascii="宋体" w:hAnsi="宋体"/>
          <w:b/>
          <w:bCs/>
          <w:szCs w:val="21"/>
          <w:highlight w:val="none"/>
        </w:rPr>
        <w:t>投标文件的澄清</w:t>
      </w:r>
      <w:bookmarkEnd w:id="329"/>
      <w:bookmarkEnd w:id="330"/>
      <w:bookmarkEnd w:id="331"/>
      <w:bookmarkEnd w:id="332"/>
      <w:bookmarkEnd w:id="333"/>
      <w:bookmarkEnd w:id="334"/>
      <w:bookmarkEnd w:id="335"/>
      <w:bookmarkEnd w:id="336"/>
    </w:p>
    <w:p w14:paraId="2EFDB3F1">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评标期间，对投标文件中含义不明确、同类问题表述不一致或者有明显文字和计算错误的内容，评标委员会可以书面形式（应当由评标委员会专家签字）要求投标人作出必要的澄清、说明或者纠正，但</w:t>
      </w:r>
      <w:r>
        <w:rPr>
          <w:rFonts w:hint="eastAsia"/>
          <w:szCs w:val="21"/>
          <w:highlight w:val="none"/>
        </w:rPr>
        <w:t>不得超出投标文件的范围或者改变投标文件的实质性内容。</w:t>
      </w:r>
      <w:r>
        <w:rPr>
          <w:rFonts w:hint="eastAsia" w:ascii="宋体" w:hAnsi="宋体" w:cs="宋体"/>
          <w:szCs w:val="21"/>
          <w:highlight w:val="none"/>
          <w:lang w:eastAsia="zh-TW"/>
        </w:rPr>
        <w:t>投标人的澄清、说明或者补正应当采用书面形式</w:t>
      </w:r>
      <w:r>
        <w:rPr>
          <w:rFonts w:hint="eastAsia" w:ascii="宋体" w:hAnsi="宋体" w:cs="宋体"/>
          <w:szCs w:val="21"/>
          <w:highlight w:val="none"/>
        </w:rPr>
        <w:t>，</w:t>
      </w:r>
      <w:r>
        <w:rPr>
          <w:rFonts w:hint="eastAsia" w:ascii="宋体" w:hAnsi="宋体" w:cs="宋体"/>
          <w:szCs w:val="21"/>
          <w:highlight w:val="none"/>
          <w:lang w:eastAsia="zh-TW"/>
        </w:rPr>
        <w:t>由其授权的代表签字</w:t>
      </w:r>
      <w:r>
        <w:rPr>
          <w:rFonts w:hint="eastAsia" w:ascii="宋体" w:hAnsi="宋体" w:cs="宋体"/>
          <w:szCs w:val="21"/>
          <w:highlight w:val="none"/>
        </w:rPr>
        <w:t>或盖章</w:t>
      </w:r>
      <w:r>
        <w:rPr>
          <w:rFonts w:hint="eastAsia" w:ascii="宋体" w:hAnsi="宋体" w:cs="宋体"/>
          <w:szCs w:val="21"/>
          <w:highlight w:val="none"/>
          <w:lang w:eastAsia="zh-TW"/>
        </w:rPr>
        <w:t>，并不得超出投标文件的范围或者改变投标文件的实质性内容</w:t>
      </w:r>
      <w:r>
        <w:rPr>
          <w:rFonts w:hint="eastAsia" w:ascii="宋体" w:hAnsi="宋体" w:cs="宋体"/>
          <w:szCs w:val="21"/>
          <w:highlight w:val="none"/>
        </w:rPr>
        <w:t>。</w:t>
      </w:r>
      <w:r>
        <w:rPr>
          <w:rFonts w:hint="eastAsia" w:ascii="宋体" w:hAnsi="宋体" w:cs="宋体"/>
          <w:szCs w:val="21"/>
          <w:highlight w:val="none"/>
          <w:lang w:eastAsia="zh-TW"/>
        </w:rPr>
        <w:t>有关澄清的答复均应由投标人的法定代表人或</w:t>
      </w:r>
      <w:r>
        <w:rPr>
          <w:rFonts w:hint="eastAsia" w:ascii="宋体" w:hAnsi="宋体" w:cs="宋体"/>
          <w:szCs w:val="21"/>
          <w:highlight w:val="none"/>
        </w:rPr>
        <w:t>其</w:t>
      </w:r>
      <w:r>
        <w:rPr>
          <w:rFonts w:hint="eastAsia" w:ascii="宋体" w:hAnsi="宋体" w:cs="宋体"/>
          <w:szCs w:val="21"/>
          <w:highlight w:val="none"/>
          <w:lang w:eastAsia="zh-TW"/>
        </w:rPr>
        <w:t>授权代表签字</w:t>
      </w:r>
      <w:r>
        <w:rPr>
          <w:rFonts w:hint="eastAsia" w:ascii="宋体" w:hAnsi="宋体" w:cs="宋体"/>
          <w:szCs w:val="21"/>
          <w:highlight w:val="none"/>
        </w:rPr>
        <w:t>或盖章</w:t>
      </w:r>
      <w:r>
        <w:rPr>
          <w:rFonts w:hint="eastAsia" w:ascii="宋体" w:hAnsi="宋体" w:cs="宋体"/>
          <w:szCs w:val="21"/>
          <w:highlight w:val="none"/>
          <w:lang w:eastAsia="zh-TW"/>
        </w:rPr>
        <w:t>的书面形式作出。</w:t>
      </w:r>
    </w:p>
    <w:p w14:paraId="3A193452">
      <w:pPr>
        <w:numPr>
          <w:ilvl w:val="1"/>
          <w:numId w:val="34"/>
        </w:numPr>
        <w:autoSpaceDE w:val="0"/>
        <w:autoSpaceDN w:val="0"/>
        <w:adjustRightInd w:val="0"/>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投标人的澄清文件是其投标文件的组成部分。</w:t>
      </w:r>
    </w:p>
    <w:p w14:paraId="0C1A529E">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37" w:name="_Toc9367"/>
      <w:bookmarkStart w:id="338" w:name="_Toc30374"/>
      <w:bookmarkStart w:id="339" w:name="_Toc355879698"/>
      <w:bookmarkStart w:id="340" w:name="_Toc13180"/>
      <w:bookmarkStart w:id="341" w:name="_Toc14356"/>
      <w:bookmarkStart w:id="342" w:name="_Toc410722669"/>
      <w:bookmarkStart w:id="343" w:name="_Toc19779"/>
      <w:bookmarkStart w:id="344" w:name="_Toc7171"/>
      <w:r>
        <w:rPr>
          <w:rFonts w:hint="eastAsia" w:ascii="宋体" w:hAnsi="宋体"/>
          <w:b/>
          <w:bCs/>
          <w:szCs w:val="21"/>
          <w:highlight w:val="none"/>
        </w:rPr>
        <w:t>投标文件详细评价</w:t>
      </w:r>
      <w:bookmarkEnd w:id="337"/>
      <w:bookmarkEnd w:id="338"/>
      <w:bookmarkEnd w:id="339"/>
      <w:bookmarkEnd w:id="340"/>
      <w:bookmarkEnd w:id="341"/>
      <w:bookmarkEnd w:id="342"/>
      <w:bookmarkEnd w:id="343"/>
      <w:bookmarkEnd w:id="344"/>
    </w:p>
    <w:p w14:paraId="63B860D1">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评</w:t>
      </w:r>
      <w:r>
        <w:rPr>
          <w:rFonts w:hint="eastAsia" w:ascii="宋体" w:hAnsi="宋体" w:cs="宋体"/>
          <w:szCs w:val="21"/>
          <w:highlight w:val="none"/>
        </w:rPr>
        <w:t>标</w:t>
      </w:r>
      <w:r>
        <w:rPr>
          <w:rFonts w:hint="eastAsia" w:ascii="宋体" w:hAnsi="宋体" w:cs="宋体"/>
          <w:szCs w:val="21"/>
          <w:highlight w:val="none"/>
          <w:lang w:eastAsia="zh-TW"/>
        </w:rPr>
        <w:t>委员会按照招标文件确定的评标方法、步骤、标准对通过资格性、符合性审查的投标文件进行详细评价和比较</w:t>
      </w:r>
      <w:r>
        <w:rPr>
          <w:rFonts w:hint="eastAsia" w:ascii="宋体" w:hAnsi="宋体" w:cs="宋体"/>
          <w:szCs w:val="21"/>
          <w:highlight w:val="none"/>
        </w:rPr>
        <w:t>，并</w:t>
      </w:r>
      <w:r>
        <w:rPr>
          <w:rFonts w:hint="eastAsia" w:ascii="宋体" w:hAnsi="宋体"/>
          <w:szCs w:val="21"/>
          <w:highlight w:val="none"/>
        </w:rPr>
        <w:t>提出书面评标报告</w:t>
      </w:r>
      <w:r>
        <w:rPr>
          <w:rFonts w:hint="eastAsia" w:ascii="宋体" w:hAnsi="宋体" w:cs="宋体"/>
          <w:szCs w:val="21"/>
          <w:highlight w:val="none"/>
        </w:rPr>
        <w:t>。</w:t>
      </w:r>
    </w:p>
    <w:p w14:paraId="78C34C82">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rPr>
        <w:t>评标采用综合评分法，按评审得分由高到低顺序排列。如出现综合得分相同时，则按费率报价，由低到高确认中标人,若费率报价得分相同的，推荐评分标准中“合作支持”得分较高者为中标人。</w:t>
      </w:r>
    </w:p>
    <w:p w14:paraId="774D7117">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45" w:name="_Toc23122"/>
      <w:bookmarkStart w:id="346" w:name="_Toc10898"/>
      <w:bookmarkStart w:id="347" w:name="_Toc355879699"/>
      <w:bookmarkStart w:id="348" w:name="_Toc12606"/>
      <w:bookmarkStart w:id="349" w:name="_Toc31393"/>
      <w:bookmarkStart w:id="350" w:name="_Toc12572"/>
      <w:bookmarkStart w:id="351" w:name="_Toc22914"/>
      <w:bookmarkStart w:id="352" w:name="_Toc410722670"/>
      <w:r>
        <w:rPr>
          <w:rFonts w:hint="eastAsia" w:ascii="宋体" w:hAnsi="宋体"/>
          <w:b/>
          <w:bCs/>
          <w:szCs w:val="21"/>
          <w:highlight w:val="none"/>
        </w:rPr>
        <w:t>定标原则与授标</w:t>
      </w:r>
      <w:bookmarkEnd w:id="345"/>
      <w:bookmarkEnd w:id="346"/>
      <w:bookmarkEnd w:id="347"/>
      <w:bookmarkEnd w:id="348"/>
      <w:bookmarkEnd w:id="349"/>
      <w:bookmarkEnd w:id="350"/>
      <w:bookmarkEnd w:id="351"/>
      <w:bookmarkEnd w:id="352"/>
    </w:p>
    <w:p w14:paraId="6BA9B87A">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szCs w:val="21"/>
          <w:highlight w:val="none"/>
        </w:rPr>
        <w:t>评标委员会按照招标文件确定的评标方法、步骤、标准，对投标文件进行评审，提出书面评标报告。</w:t>
      </w:r>
    </w:p>
    <w:p w14:paraId="683C65AA">
      <w:pPr>
        <w:numPr>
          <w:ilvl w:val="1"/>
          <w:numId w:val="34"/>
        </w:numPr>
        <w:autoSpaceDE w:val="0"/>
        <w:autoSpaceDN w:val="0"/>
        <w:adjustRightInd w:val="0"/>
        <w:snapToGrid w:val="0"/>
        <w:spacing w:line="360" w:lineRule="auto"/>
        <w:rPr>
          <w:rFonts w:ascii="宋体" w:hAnsi="宋体"/>
          <w:szCs w:val="21"/>
          <w:highlight w:val="none"/>
        </w:rPr>
      </w:pPr>
      <w:r>
        <w:rPr>
          <w:rFonts w:ascii="宋体" w:hAnsi="宋体"/>
          <w:szCs w:val="21"/>
          <w:highlight w:val="none"/>
        </w:rPr>
        <w:t>评标委员会提</w:t>
      </w:r>
      <w:r>
        <w:rPr>
          <w:rFonts w:hint="eastAsia" w:ascii="宋体" w:hAnsi="宋体"/>
          <w:szCs w:val="21"/>
          <w:highlight w:val="none"/>
        </w:rPr>
        <w:t>交</w:t>
      </w:r>
      <w:r>
        <w:rPr>
          <w:rFonts w:ascii="宋体" w:hAnsi="宋体"/>
          <w:szCs w:val="21"/>
          <w:highlight w:val="none"/>
        </w:rPr>
        <w:t>评</w:t>
      </w:r>
      <w:r>
        <w:rPr>
          <w:rFonts w:hint="eastAsia" w:ascii="宋体" w:hAnsi="宋体"/>
          <w:szCs w:val="21"/>
          <w:highlight w:val="none"/>
        </w:rPr>
        <w:t>标</w:t>
      </w:r>
      <w:r>
        <w:rPr>
          <w:rFonts w:ascii="宋体" w:hAnsi="宋体"/>
          <w:szCs w:val="21"/>
          <w:highlight w:val="none"/>
        </w:rPr>
        <w:t>报告和推荐中标意见报</w:t>
      </w:r>
      <w:r>
        <w:rPr>
          <w:rFonts w:hint="eastAsia" w:ascii="宋体" w:hAnsi="宋体"/>
          <w:szCs w:val="21"/>
          <w:highlight w:val="none"/>
        </w:rPr>
        <w:t>招标人确认，招标人在收到评标报告后的法定时间内，按照评标报告中推荐的中标候选人顺序确定中标人，也可以事先授权评标委员会直接确定中标人。确认后招标代理机构</w:t>
      </w:r>
      <w:r>
        <w:rPr>
          <w:rFonts w:hint="eastAsia" w:ascii="宋体" w:hAnsi="宋体" w:cs="宋体"/>
          <w:szCs w:val="21"/>
          <w:highlight w:val="none"/>
          <w:lang w:eastAsia="zh-TW"/>
        </w:rPr>
        <w:t>将在</w:t>
      </w:r>
      <w:r>
        <w:rPr>
          <w:rFonts w:hint="eastAsia" w:ascii="宋体" w:hAnsi="宋体" w:cs="宋体"/>
          <w:szCs w:val="21"/>
          <w:highlight w:val="none"/>
        </w:rPr>
        <w:t>招标信息</w:t>
      </w:r>
      <w:r>
        <w:rPr>
          <w:rFonts w:hint="eastAsia" w:ascii="宋体" w:hAnsi="宋体" w:cs="宋体"/>
          <w:szCs w:val="21"/>
          <w:highlight w:val="none"/>
          <w:lang w:eastAsia="zh-TW"/>
        </w:rPr>
        <w:t>媒体上发布中标公告</w:t>
      </w:r>
      <w:r>
        <w:rPr>
          <w:rFonts w:hint="eastAsia" w:ascii="宋体" w:hAnsi="宋体"/>
          <w:szCs w:val="21"/>
          <w:highlight w:val="none"/>
        </w:rPr>
        <w:t>。</w:t>
      </w:r>
    </w:p>
    <w:p w14:paraId="3F874C8E">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53" w:name="_Toc18443"/>
      <w:bookmarkStart w:id="354" w:name="_Toc24942"/>
      <w:bookmarkStart w:id="355" w:name="_Toc27557"/>
      <w:bookmarkStart w:id="356" w:name="_Toc12631"/>
      <w:bookmarkStart w:id="357" w:name="_Toc14643"/>
      <w:r>
        <w:rPr>
          <w:rFonts w:hint="eastAsia" w:ascii="宋体" w:hAnsi="宋体"/>
          <w:b/>
          <w:bCs/>
          <w:szCs w:val="21"/>
          <w:highlight w:val="none"/>
        </w:rPr>
        <w:t>异议的提出与答复</w:t>
      </w:r>
      <w:bookmarkEnd w:id="353"/>
      <w:bookmarkEnd w:id="354"/>
      <w:bookmarkEnd w:id="355"/>
      <w:bookmarkEnd w:id="356"/>
      <w:bookmarkEnd w:id="357"/>
    </w:p>
    <w:p w14:paraId="0437B8E5">
      <w:pPr>
        <w:numPr>
          <w:ilvl w:val="1"/>
          <w:numId w:val="34"/>
        </w:numPr>
        <w:autoSpaceDE w:val="0"/>
        <w:autoSpaceDN w:val="0"/>
        <w:adjustRightInd w:val="0"/>
        <w:snapToGrid w:val="0"/>
        <w:spacing w:line="360" w:lineRule="auto"/>
        <w:rPr>
          <w:rFonts w:ascii="宋体" w:hAnsi="宋体" w:cs="黑体"/>
          <w:szCs w:val="21"/>
          <w:highlight w:val="none"/>
        </w:rPr>
      </w:pPr>
      <w:r>
        <w:rPr>
          <w:rFonts w:hint="eastAsia" w:ascii="宋体" w:hAnsi="宋体" w:cs="黑体"/>
          <w:szCs w:val="21"/>
          <w:highlight w:val="none"/>
        </w:rPr>
        <w:t>潜在投标人或其他利害关系人对招标文件有异议的，应当在投标截止时间10日前以书面形式（加盖投标人公章）向招标代理机构提交异议函原件，逾期异议无效。</w:t>
      </w:r>
    </w:p>
    <w:p w14:paraId="76666221">
      <w:pPr>
        <w:numPr>
          <w:ilvl w:val="1"/>
          <w:numId w:val="34"/>
        </w:numPr>
        <w:autoSpaceDE w:val="0"/>
        <w:autoSpaceDN w:val="0"/>
        <w:adjustRightInd w:val="0"/>
        <w:snapToGrid w:val="0"/>
        <w:spacing w:line="360" w:lineRule="auto"/>
        <w:rPr>
          <w:rFonts w:ascii="宋体" w:hAnsi="宋体" w:cs="黑体"/>
          <w:szCs w:val="21"/>
          <w:highlight w:val="none"/>
        </w:rPr>
      </w:pPr>
      <w:r>
        <w:rPr>
          <w:rFonts w:hint="eastAsia" w:ascii="宋体" w:hAnsi="宋体" w:cs="黑体"/>
          <w:szCs w:val="21"/>
          <w:highlight w:val="none"/>
        </w:rPr>
        <w:t>投标人对开标异议的，应当在开标现场提出，招标人或招标代理机构应当当场作出答复，并制作记录。</w:t>
      </w:r>
    </w:p>
    <w:p w14:paraId="3C9F7855">
      <w:pPr>
        <w:numPr>
          <w:ilvl w:val="1"/>
          <w:numId w:val="34"/>
        </w:numPr>
        <w:autoSpaceDE w:val="0"/>
        <w:autoSpaceDN w:val="0"/>
        <w:adjustRightInd w:val="0"/>
        <w:snapToGrid w:val="0"/>
        <w:spacing w:line="360" w:lineRule="auto"/>
        <w:rPr>
          <w:rFonts w:ascii="宋体" w:hAnsi="宋体" w:cs="黑体"/>
          <w:szCs w:val="21"/>
          <w:highlight w:val="none"/>
        </w:rPr>
      </w:pPr>
      <w:r>
        <w:rPr>
          <w:rFonts w:hint="eastAsia" w:ascii="宋体" w:hAnsi="宋体" w:cs="黑体"/>
          <w:szCs w:val="21"/>
          <w:highlight w:val="none"/>
        </w:rPr>
        <w:t>投标人对评标结果有异议的，应当在公示期间以书面形式（加盖投标人公章）向招标代理机构提交异议函原件，逾期异议无效。</w:t>
      </w:r>
    </w:p>
    <w:p w14:paraId="7E93DAD3">
      <w:pPr>
        <w:numPr>
          <w:ilvl w:val="1"/>
          <w:numId w:val="34"/>
        </w:numPr>
        <w:autoSpaceDE w:val="0"/>
        <w:autoSpaceDN w:val="0"/>
        <w:adjustRightInd w:val="0"/>
        <w:snapToGrid w:val="0"/>
        <w:spacing w:line="360" w:lineRule="auto"/>
        <w:rPr>
          <w:rFonts w:ascii="宋体" w:hAnsi="宋体" w:cs="黑体"/>
          <w:szCs w:val="21"/>
          <w:highlight w:val="none"/>
        </w:rPr>
      </w:pPr>
      <w:r>
        <w:rPr>
          <w:rFonts w:hint="eastAsia" w:ascii="宋体" w:hAnsi="宋体" w:cs="黑体"/>
          <w:szCs w:val="21"/>
          <w:highlight w:val="none"/>
        </w:rPr>
        <w:t>提交异议应以书面形式（加盖投标人公章）向招标人及招标代理机构提出异议，异议内容不得含有虚假、恶意成分。依据谁主张谁举证的原则，异议者提供的异议书应当包括下列主要内容：具体的异议事项、法律依据、事实依据及相关确凿的证明材料、明确的请求、异议项目名称、编号、投标人名称及地址、授权代表姓名及其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不接受投标人以电话、传真或电邮形式提交的异议。</w:t>
      </w:r>
    </w:p>
    <w:p w14:paraId="2F8DB5EC">
      <w:pPr>
        <w:numPr>
          <w:ilvl w:val="1"/>
          <w:numId w:val="34"/>
        </w:numPr>
        <w:autoSpaceDE w:val="0"/>
        <w:autoSpaceDN w:val="0"/>
        <w:adjustRightInd w:val="0"/>
        <w:snapToGrid w:val="0"/>
        <w:spacing w:line="360" w:lineRule="auto"/>
        <w:rPr>
          <w:rFonts w:ascii="宋体" w:hAnsi="宋体" w:cs="黑体"/>
          <w:szCs w:val="21"/>
          <w:highlight w:val="none"/>
        </w:rPr>
      </w:pPr>
      <w:r>
        <w:rPr>
          <w:rFonts w:hint="eastAsia" w:ascii="宋体" w:hAnsi="宋体" w:cs="黑体"/>
          <w:szCs w:val="21"/>
          <w:highlight w:val="none"/>
        </w:rPr>
        <w:t>投标人异议应当有明确的请求和必要的证明材料，捏造事实、提供虚假材料或者以非法手段取得证明材料不能作为异议的证明材料。</w:t>
      </w:r>
    </w:p>
    <w:p w14:paraId="1DF8CBDE">
      <w:pPr>
        <w:numPr>
          <w:ilvl w:val="1"/>
          <w:numId w:val="34"/>
        </w:numPr>
        <w:autoSpaceDE w:val="0"/>
        <w:autoSpaceDN w:val="0"/>
        <w:adjustRightInd w:val="0"/>
        <w:snapToGrid w:val="0"/>
        <w:spacing w:line="360" w:lineRule="auto"/>
        <w:rPr>
          <w:rFonts w:ascii="宋体" w:hAnsi="宋体" w:cs="黑体"/>
          <w:szCs w:val="21"/>
          <w:highlight w:val="none"/>
        </w:rPr>
      </w:pPr>
      <w:r>
        <w:rPr>
          <w:rFonts w:hint="eastAsia" w:ascii="宋体" w:hAnsi="宋体" w:cs="黑体"/>
          <w:szCs w:val="21"/>
          <w:highlight w:val="none"/>
        </w:rPr>
        <w:t>投标人异议须提供相关证明材料，包括但不限于权益受损害的情况说明及受损害的原因、证据内容等，并对异议内容的真实性承担责任。</w:t>
      </w:r>
    </w:p>
    <w:p w14:paraId="46331B3A">
      <w:pPr>
        <w:numPr>
          <w:ilvl w:val="1"/>
          <w:numId w:val="34"/>
        </w:numPr>
        <w:autoSpaceDE w:val="0"/>
        <w:autoSpaceDN w:val="0"/>
        <w:adjustRightInd w:val="0"/>
        <w:snapToGrid w:val="0"/>
        <w:spacing w:line="360" w:lineRule="auto"/>
        <w:rPr>
          <w:rFonts w:ascii="宋体" w:hAnsi="宋体" w:cs="黑体"/>
          <w:szCs w:val="21"/>
          <w:highlight w:val="none"/>
        </w:rPr>
      </w:pPr>
      <w:r>
        <w:rPr>
          <w:rFonts w:hint="eastAsia" w:ascii="宋体" w:hAnsi="宋体" w:cs="黑体"/>
          <w:szCs w:val="21"/>
          <w:highlight w:val="none"/>
        </w:rPr>
        <w:t>招标人及招标代理机构应当在收到书面异议之日起3日内作出答复，但答复的内容不得涉及其他投标人的商业秘密。</w:t>
      </w:r>
    </w:p>
    <w:p w14:paraId="382913A1">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黑体"/>
          <w:szCs w:val="21"/>
          <w:highlight w:val="none"/>
        </w:rPr>
        <w:t>投标人提出的异议涉及评审过程或者结果的，招标人及招标代理机构可以组织原评标委员会协助处理异议事项，并可依据评标委员会出具的意见进行答复。</w:t>
      </w:r>
    </w:p>
    <w:p w14:paraId="0C5808C1">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58" w:name="_Toc21154"/>
      <w:bookmarkStart w:id="359" w:name="_Toc13816"/>
      <w:bookmarkStart w:id="360" w:name="_Toc11478"/>
      <w:bookmarkStart w:id="361" w:name="_Toc410722672"/>
      <w:bookmarkStart w:id="362" w:name="_Toc21460"/>
      <w:bookmarkStart w:id="363" w:name="_Toc16425"/>
      <w:bookmarkStart w:id="364" w:name="_Toc5701"/>
      <w:bookmarkStart w:id="365" w:name="_Toc355879701"/>
      <w:r>
        <w:rPr>
          <w:rFonts w:hint="eastAsia" w:ascii="宋体" w:hAnsi="宋体"/>
          <w:b/>
          <w:bCs/>
          <w:szCs w:val="21"/>
          <w:highlight w:val="none"/>
        </w:rPr>
        <w:t>中标通知书</w:t>
      </w:r>
      <w:bookmarkEnd w:id="358"/>
      <w:bookmarkEnd w:id="359"/>
      <w:bookmarkEnd w:id="360"/>
      <w:bookmarkEnd w:id="361"/>
      <w:bookmarkEnd w:id="362"/>
      <w:bookmarkEnd w:id="363"/>
      <w:bookmarkEnd w:id="364"/>
      <w:bookmarkEnd w:id="365"/>
    </w:p>
    <w:p w14:paraId="04C28B6A">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TW"/>
        </w:rPr>
        <w:t>中标人确定后</w:t>
      </w:r>
      <w:r>
        <w:rPr>
          <w:rFonts w:hint="eastAsia" w:ascii="宋体" w:hAnsi="宋体" w:cs="宋体"/>
          <w:szCs w:val="21"/>
          <w:highlight w:val="none"/>
        </w:rPr>
        <w:t>，</w:t>
      </w:r>
      <w:r>
        <w:rPr>
          <w:rFonts w:hint="eastAsia" w:ascii="宋体" w:hAnsi="宋体" w:cs="宋体"/>
          <w:szCs w:val="21"/>
          <w:highlight w:val="none"/>
          <w:lang w:eastAsia="zh-TW"/>
        </w:rPr>
        <w:t>招标代理机构将在</w:t>
      </w:r>
      <w:r>
        <w:rPr>
          <w:rFonts w:hint="eastAsia" w:ascii="宋体" w:hAnsi="宋体" w:cs="宋体"/>
          <w:szCs w:val="21"/>
          <w:highlight w:val="none"/>
        </w:rPr>
        <w:t>招标信息</w:t>
      </w:r>
      <w:r>
        <w:rPr>
          <w:rFonts w:hint="eastAsia" w:ascii="宋体" w:hAnsi="宋体" w:cs="宋体"/>
          <w:szCs w:val="21"/>
          <w:highlight w:val="none"/>
          <w:lang w:eastAsia="zh-TW"/>
        </w:rPr>
        <w:t>媒体上发布中标公告，并向中标人发出《中标通知书》</w:t>
      </w:r>
      <w:r>
        <w:rPr>
          <w:rFonts w:hint="eastAsia" w:ascii="宋体" w:hAnsi="宋体" w:cs="宋体"/>
          <w:szCs w:val="21"/>
          <w:highlight w:val="none"/>
        </w:rPr>
        <w:t>，</w:t>
      </w:r>
      <w:r>
        <w:rPr>
          <w:rFonts w:hint="eastAsia" w:ascii="宋体" w:hAnsi="宋体"/>
          <w:szCs w:val="21"/>
          <w:highlight w:val="none"/>
        </w:rPr>
        <w:t>向招标人及未中标人发出《招标结果通知书》，</w:t>
      </w:r>
      <w:r>
        <w:rPr>
          <w:rFonts w:hint="eastAsia" w:ascii="宋体" w:hAnsi="宋体" w:cs="宋体"/>
          <w:szCs w:val="21"/>
          <w:highlight w:val="none"/>
          <w:lang w:eastAsia="zh-TW"/>
        </w:rPr>
        <w:t>《中标通知书》对中标人和招标人具有同等法律效力。</w:t>
      </w:r>
    </w:p>
    <w:p w14:paraId="1EBB751F">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szCs w:val="21"/>
          <w:highlight w:val="none"/>
        </w:rPr>
        <w:t>《中标通知书》将作为授予合同资格的合法依据，是合同的一个组成部分。</w:t>
      </w:r>
    </w:p>
    <w:p w14:paraId="5432EF2B">
      <w:pPr>
        <w:numPr>
          <w:ilvl w:val="0"/>
          <w:numId w:val="33"/>
        </w:numPr>
        <w:autoSpaceDE w:val="0"/>
        <w:autoSpaceDN w:val="0"/>
        <w:adjustRightInd w:val="0"/>
        <w:snapToGrid w:val="0"/>
        <w:spacing w:before="312" w:beforeLines="100" w:after="312" w:afterLines="100"/>
        <w:jc w:val="center"/>
        <w:outlineLvl w:val="0"/>
        <w:rPr>
          <w:rFonts w:ascii="宋体" w:hAnsi="宋体"/>
          <w:b/>
          <w:sz w:val="28"/>
          <w:szCs w:val="28"/>
          <w:highlight w:val="none"/>
          <w:lang w:eastAsia="zh-TW"/>
        </w:rPr>
      </w:pPr>
      <w:bookmarkStart w:id="366" w:name="_Toc15306"/>
      <w:bookmarkStart w:id="367" w:name="_Toc23433"/>
      <w:bookmarkStart w:id="368" w:name="_Toc26827"/>
      <w:bookmarkStart w:id="369" w:name="_Toc5128"/>
      <w:bookmarkStart w:id="370" w:name="_Toc12523"/>
      <w:bookmarkStart w:id="371" w:name="_Toc11633"/>
      <w:bookmarkStart w:id="372" w:name="_Toc410722673"/>
      <w:bookmarkStart w:id="373" w:name="_Toc355879702"/>
      <w:r>
        <w:rPr>
          <w:rFonts w:hint="eastAsia" w:ascii="宋体" w:hAnsi="宋体"/>
          <w:b/>
          <w:sz w:val="28"/>
          <w:szCs w:val="28"/>
          <w:highlight w:val="none"/>
          <w:lang w:eastAsia="zh-TW"/>
        </w:rPr>
        <w:t>授予合同</w:t>
      </w:r>
      <w:bookmarkEnd w:id="366"/>
      <w:bookmarkEnd w:id="367"/>
      <w:bookmarkEnd w:id="368"/>
      <w:bookmarkEnd w:id="369"/>
      <w:bookmarkEnd w:id="370"/>
      <w:bookmarkEnd w:id="371"/>
      <w:bookmarkEnd w:id="372"/>
      <w:bookmarkEnd w:id="373"/>
    </w:p>
    <w:p w14:paraId="36AD1841">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74" w:name="_Toc410722674"/>
      <w:bookmarkStart w:id="375" w:name="_Toc11612"/>
      <w:bookmarkStart w:id="376" w:name="_Toc6849"/>
      <w:bookmarkStart w:id="377" w:name="_Toc16753"/>
      <w:bookmarkStart w:id="378" w:name="_Toc16525"/>
      <w:bookmarkStart w:id="379" w:name="_Toc355879703"/>
      <w:bookmarkStart w:id="380" w:name="_Toc11166"/>
      <w:bookmarkStart w:id="381" w:name="_Toc32439"/>
      <w:r>
        <w:rPr>
          <w:rFonts w:hint="eastAsia" w:ascii="宋体" w:hAnsi="宋体"/>
          <w:b/>
          <w:bCs/>
          <w:szCs w:val="21"/>
          <w:highlight w:val="none"/>
        </w:rPr>
        <w:t>合同的订立</w:t>
      </w:r>
      <w:bookmarkEnd w:id="374"/>
      <w:bookmarkEnd w:id="375"/>
      <w:bookmarkEnd w:id="376"/>
      <w:bookmarkEnd w:id="377"/>
      <w:bookmarkEnd w:id="378"/>
      <w:bookmarkEnd w:id="379"/>
      <w:bookmarkEnd w:id="380"/>
      <w:bookmarkEnd w:id="381"/>
    </w:p>
    <w:p w14:paraId="6D5A4DAD">
      <w:pPr>
        <w:numPr>
          <w:ilvl w:val="1"/>
          <w:numId w:val="34"/>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rPr>
        <w:t>招标人</w:t>
      </w:r>
      <w:r>
        <w:rPr>
          <w:rFonts w:hint="eastAsia" w:ascii="宋体" w:hAnsi="宋体" w:cs="宋体"/>
          <w:szCs w:val="21"/>
          <w:highlight w:val="none"/>
          <w:lang w:eastAsia="zh-TW"/>
        </w:rPr>
        <w:t>与中标人</w:t>
      </w:r>
      <w:r>
        <w:rPr>
          <w:rFonts w:hint="eastAsia" w:ascii="宋体" w:hAnsi="宋体" w:cs="宋体"/>
          <w:szCs w:val="21"/>
          <w:highlight w:val="none"/>
        </w:rPr>
        <w:t>按法律规定的时间</w:t>
      </w:r>
      <w:r>
        <w:rPr>
          <w:rFonts w:hint="eastAsia" w:ascii="宋体" w:hAnsi="宋体" w:cs="宋体"/>
          <w:szCs w:val="21"/>
          <w:highlight w:val="none"/>
          <w:lang w:eastAsia="zh-TW"/>
        </w:rPr>
        <w:t>签订书面合同。所签订的合同不得对招标文件和中标人投标文件作实质性修改</w:t>
      </w:r>
      <w:r>
        <w:rPr>
          <w:rFonts w:hint="eastAsia" w:ascii="宋体" w:hAnsi="宋体" w:cs="宋体"/>
          <w:szCs w:val="21"/>
          <w:highlight w:val="none"/>
        </w:rPr>
        <w:t>。</w:t>
      </w:r>
    </w:p>
    <w:p w14:paraId="6D9B399C">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rPr>
        <w:t>招标采购单位不得向中标人提出任何不合理的要求，作为签订合同的条件，不得与中标人私下订立背离合同实质性内容的协议。</w:t>
      </w:r>
    </w:p>
    <w:p w14:paraId="26FC1DA2">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82" w:name="_Toc4625"/>
      <w:bookmarkStart w:id="383" w:name="_Toc355879704"/>
      <w:bookmarkStart w:id="384" w:name="_Toc25880"/>
      <w:bookmarkStart w:id="385" w:name="_Toc11283"/>
      <w:bookmarkStart w:id="386" w:name="_Toc410722675"/>
      <w:bookmarkStart w:id="387" w:name="_Toc21922"/>
      <w:bookmarkStart w:id="388" w:name="_Toc18989"/>
      <w:bookmarkStart w:id="389" w:name="_Toc24372"/>
      <w:r>
        <w:rPr>
          <w:rFonts w:hint="eastAsia" w:ascii="宋体" w:hAnsi="宋体"/>
          <w:b/>
          <w:bCs/>
          <w:szCs w:val="21"/>
          <w:highlight w:val="none"/>
        </w:rPr>
        <w:t>合同的履行</w:t>
      </w:r>
      <w:bookmarkEnd w:id="382"/>
      <w:bookmarkEnd w:id="383"/>
      <w:bookmarkEnd w:id="384"/>
      <w:bookmarkEnd w:id="385"/>
      <w:bookmarkEnd w:id="386"/>
      <w:bookmarkEnd w:id="387"/>
      <w:bookmarkEnd w:id="388"/>
      <w:bookmarkEnd w:id="389"/>
    </w:p>
    <w:p w14:paraId="203730DE">
      <w:pPr>
        <w:numPr>
          <w:ilvl w:val="1"/>
          <w:numId w:val="34"/>
        </w:numPr>
        <w:autoSpaceDE w:val="0"/>
        <w:autoSpaceDN w:val="0"/>
        <w:adjustRightInd w:val="0"/>
        <w:snapToGrid w:val="0"/>
        <w:spacing w:line="360" w:lineRule="auto"/>
        <w:jc w:val="left"/>
        <w:rPr>
          <w:rFonts w:ascii="宋体" w:hAnsi="宋体"/>
          <w:b/>
          <w:bCs/>
          <w:szCs w:val="21"/>
          <w:highlight w:val="none"/>
        </w:rPr>
      </w:pPr>
      <w:r>
        <w:rPr>
          <w:rFonts w:hint="eastAsia" w:ascii="宋体" w:hAnsi="宋体" w:cs="宋体"/>
          <w:szCs w:val="21"/>
          <w:highlight w:val="none"/>
          <w:lang w:eastAsia="zh-TW"/>
        </w:rPr>
        <w:t>合同订立后，合同各方不得擅自变更、中止或者终止合同。</w:t>
      </w:r>
    </w:p>
    <w:bookmarkEnd w:id="64"/>
    <w:bookmarkEnd w:id="65"/>
    <w:p w14:paraId="44DB0DC0">
      <w:pPr>
        <w:numPr>
          <w:ilvl w:val="0"/>
          <w:numId w:val="34"/>
        </w:numPr>
        <w:autoSpaceDE w:val="0"/>
        <w:autoSpaceDN w:val="0"/>
        <w:adjustRightInd w:val="0"/>
        <w:snapToGrid w:val="0"/>
        <w:spacing w:line="360" w:lineRule="auto"/>
        <w:outlineLvl w:val="0"/>
        <w:rPr>
          <w:rFonts w:ascii="宋体" w:hAnsi="宋体"/>
          <w:b/>
          <w:bCs/>
          <w:szCs w:val="21"/>
          <w:highlight w:val="none"/>
        </w:rPr>
      </w:pPr>
      <w:bookmarkStart w:id="390" w:name="_Toc410722677"/>
      <w:bookmarkStart w:id="391" w:name="_Toc7098"/>
      <w:bookmarkStart w:id="392" w:name="_Toc27022"/>
      <w:bookmarkStart w:id="393" w:name="_Toc27121"/>
      <w:bookmarkStart w:id="394" w:name="_Toc26660"/>
      <w:bookmarkStart w:id="395" w:name="_Toc7997"/>
      <w:bookmarkStart w:id="396" w:name="_Toc355879707"/>
      <w:r>
        <w:rPr>
          <w:rFonts w:hint="eastAsia" w:ascii="宋体" w:hAnsi="宋体"/>
          <w:b/>
          <w:bCs/>
          <w:szCs w:val="21"/>
          <w:highlight w:val="none"/>
        </w:rPr>
        <w:t>招标代理服务费</w:t>
      </w:r>
      <w:bookmarkEnd w:id="390"/>
      <w:bookmarkEnd w:id="391"/>
      <w:bookmarkEnd w:id="392"/>
      <w:bookmarkEnd w:id="393"/>
      <w:bookmarkEnd w:id="394"/>
      <w:bookmarkEnd w:id="395"/>
      <w:bookmarkEnd w:id="396"/>
    </w:p>
    <w:p w14:paraId="2FFF6CBB">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中标人应按照招标文件</w:t>
      </w:r>
      <w:r>
        <w:rPr>
          <w:rFonts w:hint="eastAsia" w:ascii="宋体" w:hAnsi="宋体" w:cs="宋体"/>
          <w:b/>
          <w:szCs w:val="21"/>
          <w:highlight w:val="none"/>
        </w:rPr>
        <w:t>投标资料表</w:t>
      </w:r>
      <w:r>
        <w:rPr>
          <w:rFonts w:hint="eastAsia" w:ascii="宋体" w:hAnsi="宋体" w:cs="宋体"/>
          <w:szCs w:val="21"/>
          <w:highlight w:val="none"/>
        </w:rPr>
        <w:t>中的规定缴纳招标代理服务费，否则，将追究其法律责任。</w:t>
      </w:r>
    </w:p>
    <w:p w14:paraId="4F1E6C4E">
      <w:pPr>
        <w:numPr>
          <w:ilvl w:val="1"/>
          <w:numId w:val="34"/>
        </w:numPr>
        <w:autoSpaceDE w:val="0"/>
        <w:autoSpaceDN w:val="0"/>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中标人可用支票、汇票、电汇、现金等方式缴纳招标代理服务费。</w:t>
      </w:r>
    </w:p>
    <w:p w14:paraId="0CE7DD62">
      <w:pPr>
        <w:adjustRightInd w:val="0"/>
        <w:snapToGrid w:val="0"/>
        <w:spacing w:line="360" w:lineRule="auto"/>
        <w:ind w:firstLine="420" w:firstLineChars="200"/>
        <w:rPr>
          <w:highlight w:val="none"/>
        </w:rPr>
      </w:pPr>
      <w:r>
        <w:rPr>
          <w:rFonts w:hint="eastAsia" w:hAnsi="宋体" w:cs="宋体"/>
          <w:highlight w:val="none"/>
        </w:rPr>
        <w:t>投标人应签署第七章所附格式的招标代理服务费承诺书，作为投标文件的一部分。</w:t>
      </w:r>
    </w:p>
    <w:p w14:paraId="7B9ADDFD">
      <w:pPr>
        <w:snapToGrid w:val="0"/>
        <w:spacing w:line="360" w:lineRule="auto"/>
        <w:ind w:firstLine="422" w:firstLineChars="200"/>
        <w:rPr>
          <w:rFonts w:ascii="宋体" w:hAnsi="宋体"/>
          <w:b/>
          <w:bCs/>
          <w:szCs w:val="21"/>
          <w:highlight w:val="none"/>
        </w:rPr>
      </w:pPr>
      <w:r>
        <w:rPr>
          <w:rFonts w:ascii="宋体" w:hAnsi="宋体"/>
          <w:b/>
          <w:bCs/>
          <w:szCs w:val="21"/>
          <w:highlight w:val="none"/>
        </w:rPr>
        <w:t>招标代理服务费付至：</w:t>
      </w:r>
    </w:p>
    <w:p w14:paraId="79A06BE9">
      <w:pPr>
        <w:snapToGrid w:val="0"/>
        <w:spacing w:line="360" w:lineRule="auto"/>
        <w:ind w:firstLine="420" w:firstLineChars="200"/>
        <w:rPr>
          <w:rFonts w:ascii="宋体" w:hAnsi="宋体"/>
          <w:szCs w:val="21"/>
          <w:highlight w:val="none"/>
        </w:rPr>
      </w:pPr>
      <w:r>
        <w:rPr>
          <w:rFonts w:ascii="宋体" w:hAnsi="宋体"/>
          <w:szCs w:val="21"/>
          <w:highlight w:val="none"/>
        </w:rPr>
        <w:t>收款人名称：</w:t>
      </w:r>
      <w:r>
        <w:rPr>
          <w:rFonts w:hint="eastAsia" w:ascii="宋体" w:hAnsi="宋体"/>
          <w:szCs w:val="21"/>
          <w:highlight w:val="none"/>
        </w:rPr>
        <w:t>广东中采招标有限公司</w:t>
      </w:r>
    </w:p>
    <w:p w14:paraId="3692F261">
      <w:pPr>
        <w:snapToGrid w:val="0"/>
        <w:spacing w:line="360" w:lineRule="auto"/>
        <w:ind w:firstLine="420" w:firstLineChars="200"/>
        <w:rPr>
          <w:rFonts w:ascii="宋体" w:hAnsi="宋体"/>
          <w:szCs w:val="21"/>
          <w:highlight w:val="none"/>
        </w:rPr>
      </w:pPr>
      <w:r>
        <w:rPr>
          <w:rFonts w:ascii="宋体" w:hAnsi="宋体"/>
          <w:szCs w:val="21"/>
          <w:highlight w:val="none"/>
        </w:rPr>
        <w:t>开户银行：</w:t>
      </w:r>
      <w:r>
        <w:rPr>
          <w:rFonts w:hint="eastAsia" w:ascii="宋体" w:hAnsi="宋体"/>
          <w:szCs w:val="21"/>
          <w:highlight w:val="none"/>
        </w:rPr>
        <w:t>兴业银行股份有限公司佛山分行</w:t>
      </w:r>
    </w:p>
    <w:p w14:paraId="7E68D134">
      <w:pPr>
        <w:snapToGrid w:val="0"/>
        <w:spacing w:line="360" w:lineRule="auto"/>
        <w:ind w:firstLine="420" w:firstLineChars="200"/>
        <w:rPr>
          <w:rFonts w:ascii="宋体" w:hAnsi="宋体" w:cs="黑体"/>
          <w:b/>
          <w:bCs/>
          <w:szCs w:val="21"/>
          <w:highlight w:val="none"/>
        </w:rPr>
      </w:pPr>
      <w:r>
        <w:rPr>
          <w:rFonts w:hint="eastAsia" w:ascii="宋体" w:hAnsi="宋体"/>
          <w:szCs w:val="21"/>
          <w:highlight w:val="none"/>
        </w:rPr>
        <w:t>账</w:t>
      </w:r>
      <w:r>
        <w:rPr>
          <w:rFonts w:ascii="宋体" w:hAnsi="宋体"/>
          <w:szCs w:val="21"/>
          <w:highlight w:val="none"/>
        </w:rPr>
        <w:t xml:space="preserve">    号：</w:t>
      </w:r>
      <w:r>
        <w:rPr>
          <w:rFonts w:hint="eastAsia" w:ascii="宋体" w:hAnsi="宋体"/>
          <w:szCs w:val="21"/>
          <w:highlight w:val="none"/>
        </w:rPr>
        <w:t>392060100100155323</w:t>
      </w:r>
    </w:p>
    <w:p w14:paraId="32EAEBD5">
      <w:pPr>
        <w:rPr>
          <w:rFonts w:hint="eastAsia" w:ascii="宋体" w:hAnsi="宋体" w:cs="宋体"/>
          <w:b/>
          <w:bCs/>
          <w:szCs w:val="21"/>
          <w:highlight w:val="none"/>
        </w:rPr>
      </w:pPr>
      <w:r>
        <w:rPr>
          <w:rFonts w:hint="eastAsia" w:ascii="宋体" w:hAnsi="宋体" w:cs="宋体"/>
          <w:b/>
          <w:bCs/>
          <w:szCs w:val="21"/>
          <w:highlight w:val="none"/>
        </w:rPr>
        <w:br w:type="page"/>
      </w:r>
    </w:p>
    <w:p w14:paraId="0B980BBC">
      <w:pPr>
        <w:snapToGrid w:val="0"/>
        <w:spacing w:line="360" w:lineRule="auto"/>
        <w:jc w:val="center"/>
        <w:outlineLvl w:val="0"/>
        <w:rPr>
          <w:rFonts w:ascii="Times New Roman" w:hAnsi="Times New Roman"/>
          <w:b/>
          <w:bCs/>
          <w:sz w:val="28"/>
          <w:szCs w:val="28"/>
          <w:highlight w:val="none"/>
        </w:rPr>
      </w:pPr>
      <w:bookmarkStart w:id="397" w:name="_Toc15548"/>
      <w:bookmarkStart w:id="398" w:name="_Toc30267"/>
      <w:r>
        <w:rPr>
          <w:rFonts w:hint="eastAsia" w:ascii="Times New Roman" w:hAnsi="Times New Roman"/>
          <w:b/>
          <w:bCs/>
          <w:sz w:val="28"/>
          <w:szCs w:val="28"/>
          <w:highlight w:val="none"/>
        </w:rPr>
        <w:t>第六章  投标文件格式</w:t>
      </w:r>
      <w:bookmarkEnd w:id="397"/>
      <w:bookmarkEnd w:id="398"/>
    </w:p>
    <w:p w14:paraId="59F958BD">
      <w:pPr>
        <w:adjustRightInd w:val="0"/>
        <w:snapToGrid w:val="0"/>
        <w:spacing w:before="156" w:beforeLines="50" w:after="156" w:afterLines="50" w:line="360" w:lineRule="auto"/>
        <w:jc w:val="center"/>
        <w:outlineLvl w:val="0"/>
        <w:rPr>
          <w:rFonts w:ascii="Times New Roman" w:hAnsi="Times New Roman"/>
          <w:b/>
          <w:bCs/>
          <w:sz w:val="28"/>
          <w:szCs w:val="28"/>
          <w:highlight w:val="none"/>
          <w:lang w:eastAsia="zh-TW"/>
        </w:rPr>
      </w:pPr>
      <w:bookmarkStart w:id="399" w:name="_Toc27148"/>
      <w:bookmarkStart w:id="400" w:name="_Toc26145"/>
      <w:r>
        <w:rPr>
          <w:rFonts w:hint="eastAsia" w:ascii="Times New Roman" w:hAnsi="Times New Roman"/>
          <w:b/>
          <w:bCs/>
          <w:sz w:val="28"/>
          <w:szCs w:val="28"/>
          <w:highlight w:val="none"/>
          <w:lang w:eastAsia="zh-TW"/>
        </w:rPr>
        <w:t>投标文件包装封面参考</w:t>
      </w:r>
      <w:bookmarkEnd w:id="399"/>
      <w:bookmarkEnd w:id="400"/>
    </w:p>
    <w:tbl>
      <w:tblPr>
        <w:tblStyle w:val="30"/>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14:paraId="610B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57" w:type="dxa"/>
          </w:tcPr>
          <w:p w14:paraId="09C31CDA">
            <w:pPr>
              <w:pStyle w:val="14"/>
              <w:spacing w:line="360" w:lineRule="auto"/>
              <w:ind w:firstLine="422" w:firstLineChars="150"/>
              <w:rPr>
                <w:rFonts w:ascii="宋体" w:hAnsi="宋体" w:cs="宋体"/>
                <w:b/>
                <w:sz w:val="28"/>
                <w:szCs w:val="28"/>
                <w:highlight w:val="none"/>
              </w:rPr>
            </w:pPr>
          </w:p>
          <w:p w14:paraId="6DB89908">
            <w:pPr>
              <w:pStyle w:val="14"/>
              <w:spacing w:line="360" w:lineRule="auto"/>
              <w:ind w:firstLine="422" w:firstLineChars="150"/>
              <w:rPr>
                <w:rFonts w:ascii="宋体" w:hAnsi="宋体" w:cs="宋体"/>
                <w:b/>
                <w:sz w:val="28"/>
                <w:szCs w:val="28"/>
                <w:highlight w:val="none"/>
              </w:rPr>
            </w:pPr>
          </w:p>
          <w:p w14:paraId="55523475">
            <w:pPr>
              <w:pStyle w:val="14"/>
              <w:spacing w:line="360" w:lineRule="auto"/>
              <w:ind w:firstLine="422" w:firstLineChars="150"/>
              <w:rPr>
                <w:rFonts w:ascii="宋体" w:hAnsi="宋体" w:cs="宋体"/>
                <w:b/>
                <w:sz w:val="28"/>
                <w:szCs w:val="28"/>
                <w:highlight w:val="none"/>
              </w:rPr>
            </w:pPr>
          </w:p>
          <w:p w14:paraId="2C0C72F9">
            <w:pPr>
              <w:pStyle w:val="14"/>
              <w:spacing w:line="360" w:lineRule="auto"/>
              <w:jc w:val="center"/>
              <w:rPr>
                <w:rFonts w:ascii="黑体" w:eastAsia="黑体"/>
                <w:b/>
                <w:sz w:val="72"/>
                <w:szCs w:val="72"/>
                <w:highlight w:val="none"/>
              </w:rPr>
            </w:pPr>
            <w:r>
              <w:rPr>
                <w:rFonts w:hint="eastAsia" w:ascii="黑体" w:eastAsia="黑体"/>
                <w:b/>
                <w:sz w:val="72"/>
                <w:szCs w:val="72"/>
                <w:highlight w:val="none"/>
              </w:rPr>
              <w:t>投 标 文 件</w:t>
            </w:r>
          </w:p>
          <w:p w14:paraId="47B7E18F">
            <w:pPr>
              <w:pStyle w:val="14"/>
              <w:spacing w:line="360" w:lineRule="auto"/>
              <w:jc w:val="center"/>
              <w:rPr>
                <w:rFonts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开标信封</w:t>
            </w:r>
          </w:p>
          <w:p w14:paraId="5234C90B">
            <w:pPr>
              <w:pStyle w:val="14"/>
              <w:spacing w:line="360" w:lineRule="auto"/>
              <w:ind w:firstLine="3654" w:firstLineChars="700"/>
              <w:rPr>
                <w:rFonts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正本</w:t>
            </w:r>
          </w:p>
          <w:p w14:paraId="3533CB93">
            <w:pPr>
              <w:pStyle w:val="14"/>
              <w:spacing w:line="360" w:lineRule="auto"/>
              <w:ind w:firstLine="3654" w:firstLineChars="700"/>
              <w:rPr>
                <w:rFonts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副本</w:t>
            </w:r>
          </w:p>
          <w:p w14:paraId="02237024">
            <w:pPr>
              <w:pStyle w:val="14"/>
              <w:spacing w:line="360" w:lineRule="auto"/>
              <w:rPr>
                <w:rFonts w:ascii="宋体" w:hAnsi="宋体" w:cs="宋体"/>
                <w:b/>
                <w:sz w:val="28"/>
                <w:szCs w:val="28"/>
                <w:highlight w:val="none"/>
              </w:rPr>
            </w:pPr>
          </w:p>
          <w:p w14:paraId="06AFAD8C">
            <w:pPr>
              <w:pStyle w:val="14"/>
              <w:spacing w:line="400" w:lineRule="exact"/>
              <w:ind w:firstLine="900" w:firstLineChars="320"/>
              <w:rPr>
                <w:rFonts w:ascii="仿宋_GB2312" w:eastAsia="仿宋_GB2312"/>
                <w:b/>
                <w:sz w:val="28"/>
                <w:szCs w:val="28"/>
                <w:highlight w:val="none"/>
              </w:rPr>
            </w:pPr>
            <w:r>
              <w:rPr>
                <w:rFonts w:hint="eastAsia" w:ascii="仿宋_GB2312" w:eastAsia="仿宋_GB2312"/>
                <w:b/>
                <w:sz w:val="28"/>
                <w:szCs w:val="28"/>
                <w:highlight w:val="none"/>
              </w:rPr>
              <w:t>项目编号：GDZC-24GZ166</w:t>
            </w:r>
          </w:p>
          <w:p w14:paraId="2E7FB7D7">
            <w:pPr>
              <w:pStyle w:val="14"/>
              <w:spacing w:line="400" w:lineRule="exact"/>
              <w:ind w:firstLine="900" w:firstLineChars="320"/>
              <w:rPr>
                <w:rFonts w:ascii="仿宋_GB2312" w:eastAsia="仿宋_GB2312"/>
                <w:b/>
                <w:sz w:val="28"/>
                <w:szCs w:val="28"/>
                <w:highlight w:val="none"/>
              </w:rPr>
            </w:pPr>
            <w:r>
              <w:rPr>
                <w:rFonts w:hint="eastAsia" w:ascii="仿宋_GB2312" w:eastAsia="仿宋_GB2312"/>
                <w:b/>
                <w:sz w:val="28"/>
                <w:szCs w:val="28"/>
                <w:highlight w:val="none"/>
              </w:rPr>
              <w:t>项目名称：广东南海产业集团有限公司注册发行公司债券选取主承销</w:t>
            </w:r>
          </w:p>
          <w:p w14:paraId="3A3A7BBB">
            <w:pPr>
              <w:pStyle w:val="14"/>
              <w:spacing w:line="400" w:lineRule="exact"/>
              <w:ind w:firstLine="900" w:firstLineChars="320"/>
              <w:rPr>
                <w:rFonts w:ascii="仿宋_GB2312" w:eastAsia="仿宋_GB2312"/>
                <w:b/>
                <w:sz w:val="28"/>
                <w:szCs w:val="28"/>
                <w:highlight w:val="none"/>
              </w:rPr>
            </w:pPr>
            <w:r>
              <w:rPr>
                <w:rFonts w:hint="eastAsia" w:ascii="仿宋_GB2312" w:eastAsia="仿宋_GB2312"/>
                <w:b/>
                <w:sz w:val="28"/>
                <w:szCs w:val="28"/>
                <w:highlight w:val="none"/>
              </w:rPr>
              <w:t>商项目</w:t>
            </w:r>
          </w:p>
          <w:p w14:paraId="6A8C3BCC">
            <w:pPr>
              <w:pStyle w:val="14"/>
              <w:spacing w:line="400" w:lineRule="exact"/>
              <w:ind w:firstLine="900" w:firstLineChars="320"/>
              <w:rPr>
                <w:rFonts w:ascii="仿宋_GB2312" w:eastAsia="仿宋_GB2312"/>
                <w:b/>
                <w:sz w:val="28"/>
                <w:szCs w:val="28"/>
                <w:highlight w:val="none"/>
              </w:rPr>
            </w:pPr>
            <w:r>
              <w:rPr>
                <w:rFonts w:hint="eastAsia" w:ascii="仿宋_GB2312" w:eastAsia="仿宋_GB2312"/>
                <w:b/>
                <w:sz w:val="28"/>
                <w:szCs w:val="28"/>
                <w:highlight w:val="none"/>
              </w:rPr>
              <w:t>投标人名称：</w:t>
            </w:r>
          </w:p>
          <w:p w14:paraId="2F9F5CF4">
            <w:pPr>
              <w:pStyle w:val="14"/>
              <w:spacing w:line="400" w:lineRule="exact"/>
              <w:ind w:firstLine="900" w:firstLineChars="320"/>
              <w:rPr>
                <w:rFonts w:ascii="仿宋_GB2312" w:eastAsia="仿宋_GB2312"/>
                <w:b/>
                <w:sz w:val="28"/>
                <w:szCs w:val="28"/>
                <w:highlight w:val="none"/>
              </w:rPr>
            </w:pPr>
            <w:r>
              <w:rPr>
                <w:rFonts w:hint="eastAsia" w:ascii="仿宋_GB2312" w:eastAsia="仿宋_GB2312"/>
                <w:b/>
                <w:sz w:val="28"/>
                <w:szCs w:val="28"/>
                <w:highlight w:val="none"/>
              </w:rPr>
              <w:t>投标人地址：</w:t>
            </w:r>
          </w:p>
          <w:p w14:paraId="49C528B2">
            <w:pPr>
              <w:pStyle w:val="14"/>
              <w:spacing w:line="400" w:lineRule="exact"/>
              <w:ind w:firstLine="900" w:firstLineChars="320"/>
              <w:rPr>
                <w:rFonts w:ascii="仿宋_GB2312" w:eastAsia="仿宋_GB2312"/>
                <w:b/>
                <w:sz w:val="28"/>
                <w:szCs w:val="28"/>
                <w:highlight w:val="none"/>
              </w:rPr>
            </w:pPr>
            <w:r>
              <w:rPr>
                <w:rFonts w:hint="eastAsia" w:ascii="仿宋_GB2312" w:eastAsia="仿宋_GB2312"/>
                <w:b/>
                <w:sz w:val="28"/>
                <w:szCs w:val="28"/>
                <w:highlight w:val="none"/>
              </w:rPr>
              <w:t xml:space="preserve">递交地址： </w:t>
            </w:r>
          </w:p>
          <w:p w14:paraId="28B6C269">
            <w:pPr>
              <w:tabs>
                <w:tab w:val="left" w:pos="851"/>
              </w:tabs>
              <w:autoSpaceDE w:val="0"/>
              <w:autoSpaceDN w:val="0"/>
              <w:adjustRightInd w:val="0"/>
              <w:snapToGrid w:val="0"/>
              <w:spacing w:line="420" w:lineRule="auto"/>
              <w:rPr>
                <w:rFonts w:ascii="宋体" w:hAnsi="宋体" w:cs="宋体"/>
                <w:b/>
                <w:sz w:val="28"/>
                <w:szCs w:val="28"/>
                <w:highlight w:val="none"/>
              </w:rPr>
            </w:pPr>
            <w:r>
              <w:rPr>
                <w:rFonts w:hint="eastAsia" w:ascii="仿宋" w:hAnsi="仿宋" w:eastAsia="仿宋" w:cs="仿宋"/>
                <w:b/>
                <w:sz w:val="28"/>
                <w:szCs w:val="28"/>
                <w:highlight w:val="none"/>
              </w:rPr>
              <w:t xml:space="preserve">      (年月日时分)之前不得启封</w:t>
            </w:r>
          </w:p>
        </w:tc>
      </w:tr>
    </w:tbl>
    <w:p w14:paraId="5EBE216B">
      <w:pPr>
        <w:autoSpaceDE w:val="0"/>
        <w:autoSpaceDN w:val="0"/>
        <w:adjustRightInd w:val="0"/>
        <w:snapToGrid w:val="0"/>
        <w:spacing w:before="312" w:beforeLines="100" w:after="312" w:afterLines="100" w:line="360" w:lineRule="auto"/>
        <w:ind w:left="720"/>
        <w:jc w:val="center"/>
        <w:outlineLvl w:val="0"/>
        <w:rPr>
          <w:rFonts w:ascii="宋体" w:hAnsi="宋体"/>
          <w:b/>
          <w:sz w:val="28"/>
          <w:szCs w:val="28"/>
          <w:highlight w:val="none"/>
          <w:lang w:eastAsia="zh-TW"/>
        </w:rPr>
      </w:pPr>
      <w:bookmarkStart w:id="401" w:name="_Toc10905"/>
      <w:bookmarkStart w:id="402" w:name="_Toc1718"/>
      <w:bookmarkStart w:id="403" w:name="_Toc1847"/>
      <w:bookmarkStart w:id="404" w:name="_Toc275865604"/>
      <w:r>
        <w:rPr>
          <w:rFonts w:hint="eastAsia" w:ascii="宋体" w:hAnsi="宋体"/>
          <w:b/>
          <w:sz w:val="28"/>
          <w:szCs w:val="28"/>
          <w:highlight w:val="none"/>
          <w:lang w:eastAsia="zh-TW"/>
        </w:rPr>
        <w:t>投标文件目录表</w:t>
      </w:r>
      <w:bookmarkEnd w:id="401"/>
      <w:bookmarkEnd w:id="402"/>
      <w:bookmarkEnd w:id="403"/>
      <w:bookmarkEnd w:id="404"/>
      <w:bookmarkStart w:id="405" w:name="投标文件目录表"/>
      <w:bookmarkEnd w:id="405"/>
    </w:p>
    <w:p w14:paraId="7793879A">
      <w:pPr>
        <w:rPr>
          <w:rFonts w:ascii="宋体" w:hAnsi="宋体"/>
          <w:bCs/>
          <w:szCs w:val="21"/>
          <w:highlight w:val="none"/>
        </w:rPr>
      </w:pPr>
      <w:r>
        <w:rPr>
          <w:rFonts w:hint="eastAsia" w:ascii="宋体" w:hAnsi="宋体"/>
          <w:bCs/>
          <w:szCs w:val="21"/>
          <w:highlight w:val="none"/>
          <w:lang w:eastAsia="zh-TW"/>
        </w:rPr>
        <w:t>项目名称：</w:t>
      </w:r>
      <w:r>
        <w:rPr>
          <w:rFonts w:hint="eastAsia" w:ascii="宋体" w:hAnsi="宋体"/>
          <w:bCs/>
          <w:szCs w:val="21"/>
          <w:highlight w:val="none"/>
        </w:rPr>
        <w:t>广东南海产业集团有限公司注册发行中期票据选取主承销商项目</w:t>
      </w:r>
    </w:p>
    <w:p w14:paraId="7D1572E4">
      <w:pPr>
        <w:rPr>
          <w:rFonts w:ascii="宋体" w:hAnsi="宋体"/>
          <w:bCs/>
          <w:szCs w:val="21"/>
          <w:highlight w:val="none"/>
        </w:rPr>
      </w:pPr>
      <w:r>
        <w:rPr>
          <w:rFonts w:hint="eastAsia" w:ascii="宋体" w:hAnsi="宋体"/>
          <w:bCs/>
          <w:szCs w:val="21"/>
          <w:highlight w:val="none"/>
          <w:lang w:eastAsia="zh-TW"/>
        </w:rPr>
        <w:t>项目编号：</w:t>
      </w:r>
      <w:r>
        <w:rPr>
          <w:rFonts w:hint="eastAsia" w:ascii="宋体" w:hAnsi="宋体"/>
          <w:bCs/>
          <w:szCs w:val="21"/>
          <w:highlight w:val="none"/>
        </w:rPr>
        <w:t>GDZC-24GZ166</w:t>
      </w:r>
    </w:p>
    <w:tbl>
      <w:tblPr>
        <w:tblStyle w:val="30"/>
        <w:tblW w:w="9534"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7"/>
        <w:gridCol w:w="547"/>
        <w:gridCol w:w="4584"/>
        <w:gridCol w:w="627"/>
        <w:gridCol w:w="594"/>
        <w:gridCol w:w="727"/>
        <w:gridCol w:w="728"/>
      </w:tblGrid>
      <w:tr w14:paraId="3F83F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right"/>
        </w:trPr>
        <w:tc>
          <w:tcPr>
            <w:tcW w:w="1727" w:type="dxa"/>
            <w:vMerge w:val="restart"/>
            <w:shd w:val="clear" w:color="auto" w:fill="EEECE1"/>
            <w:vAlign w:val="center"/>
          </w:tcPr>
          <w:p w14:paraId="540D95A1">
            <w:pPr>
              <w:jc w:val="center"/>
              <w:rPr>
                <w:rFonts w:ascii="宋体" w:hAnsi="宋体" w:cs="宋体"/>
                <w:b/>
                <w:szCs w:val="21"/>
                <w:highlight w:val="none"/>
              </w:rPr>
            </w:pPr>
            <w:r>
              <w:rPr>
                <w:rFonts w:hint="eastAsia" w:ascii="宋体" w:hAnsi="宋体" w:cs="宋体"/>
                <w:b/>
                <w:szCs w:val="21"/>
                <w:highlight w:val="none"/>
              </w:rPr>
              <w:t>文件类型</w:t>
            </w:r>
          </w:p>
        </w:tc>
        <w:tc>
          <w:tcPr>
            <w:tcW w:w="547" w:type="dxa"/>
            <w:vMerge w:val="restart"/>
            <w:shd w:val="clear" w:color="auto" w:fill="EEECE1"/>
            <w:vAlign w:val="center"/>
          </w:tcPr>
          <w:p w14:paraId="0EFB2A0A">
            <w:pPr>
              <w:ind w:left="-105" w:leftChars="-50" w:right="-109" w:rightChars="-52"/>
              <w:jc w:val="center"/>
              <w:rPr>
                <w:rFonts w:ascii="宋体" w:hAnsi="宋体" w:cs="宋体"/>
                <w:b/>
                <w:szCs w:val="21"/>
                <w:highlight w:val="none"/>
              </w:rPr>
            </w:pPr>
            <w:r>
              <w:rPr>
                <w:rFonts w:hint="eastAsia" w:ascii="宋体" w:hAnsi="宋体" w:cs="宋体"/>
                <w:b/>
                <w:szCs w:val="21"/>
                <w:highlight w:val="none"/>
              </w:rPr>
              <w:t>序号</w:t>
            </w:r>
          </w:p>
        </w:tc>
        <w:tc>
          <w:tcPr>
            <w:tcW w:w="4584" w:type="dxa"/>
            <w:vMerge w:val="restart"/>
            <w:shd w:val="clear" w:color="auto" w:fill="EEECE1"/>
            <w:vAlign w:val="center"/>
          </w:tcPr>
          <w:p w14:paraId="78DE957B">
            <w:pPr>
              <w:jc w:val="center"/>
              <w:rPr>
                <w:rFonts w:ascii="宋体" w:hAnsi="宋体" w:cs="宋体"/>
                <w:b/>
                <w:szCs w:val="21"/>
                <w:highlight w:val="none"/>
              </w:rPr>
            </w:pPr>
            <w:r>
              <w:rPr>
                <w:rFonts w:hint="eastAsia" w:ascii="宋体" w:hAnsi="宋体" w:cs="宋体"/>
                <w:b/>
                <w:szCs w:val="21"/>
                <w:highlight w:val="none"/>
              </w:rPr>
              <w:t>文    件    名    称</w:t>
            </w:r>
          </w:p>
        </w:tc>
        <w:tc>
          <w:tcPr>
            <w:tcW w:w="1221" w:type="dxa"/>
            <w:gridSpan w:val="2"/>
            <w:shd w:val="clear" w:color="auto" w:fill="EEECE1"/>
            <w:vAlign w:val="center"/>
          </w:tcPr>
          <w:p w14:paraId="7586F850">
            <w:pPr>
              <w:jc w:val="center"/>
              <w:rPr>
                <w:rFonts w:ascii="宋体" w:hAnsi="宋体" w:cs="宋体"/>
                <w:b/>
                <w:szCs w:val="21"/>
                <w:highlight w:val="none"/>
              </w:rPr>
            </w:pPr>
            <w:r>
              <w:rPr>
                <w:rFonts w:hint="eastAsia" w:ascii="宋体" w:hAnsi="宋体" w:cs="宋体"/>
                <w:b/>
                <w:szCs w:val="21"/>
                <w:highlight w:val="none"/>
              </w:rPr>
              <w:t>提交情况</w:t>
            </w:r>
          </w:p>
        </w:tc>
        <w:tc>
          <w:tcPr>
            <w:tcW w:w="727" w:type="dxa"/>
            <w:vMerge w:val="restart"/>
            <w:shd w:val="clear" w:color="auto" w:fill="EEECE1"/>
            <w:vAlign w:val="center"/>
          </w:tcPr>
          <w:p w14:paraId="22E4A9C0">
            <w:pPr>
              <w:jc w:val="center"/>
              <w:rPr>
                <w:rFonts w:ascii="宋体" w:hAnsi="宋体" w:cs="宋体"/>
                <w:b/>
                <w:szCs w:val="21"/>
                <w:highlight w:val="none"/>
              </w:rPr>
            </w:pPr>
            <w:r>
              <w:rPr>
                <w:rFonts w:hint="eastAsia" w:ascii="宋体" w:hAnsi="宋体" w:cs="宋体"/>
                <w:b/>
                <w:szCs w:val="21"/>
                <w:highlight w:val="none"/>
              </w:rPr>
              <w:t>页码范围</w:t>
            </w:r>
          </w:p>
        </w:tc>
        <w:tc>
          <w:tcPr>
            <w:tcW w:w="728" w:type="dxa"/>
            <w:vMerge w:val="restart"/>
            <w:shd w:val="clear" w:color="auto" w:fill="EEECE1"/>
            <w:vAlign w:val="center"/>
          </w:tcPr>
          <w:p w14:paraId="295459C2">
            <w:pPr>
              <w:jc w:val="center"/>
              <w:rPr>
                <w:rFonts w:ascii="宋体" w:hAnsi="宋体" w:cs="宋体"/>
                <w:b/>
                <w:szCs w:val="21"/>
                <w:highlight w:val="none"/>
              </w:rPr>
            </w:pPr>
            <w:r>
              <w:rPr>
                <w:rFonts w:hint="eastAsia" w:ascii="宋体" w:hAnsi="宋体" w:cs="宋体"/>
                <w:b/>
                <w:szCs w:val="21"/>
                <w:highlight w:val="none"/>
              </w:rPr>
              <w:t>备注</w:t>
            </w:r>
          </w:p>
        </w:tc>
      </w:tr>
      <w:tr w14:paraId="5D939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jc w:val="right"/>
        </w:trPr>
        <w:tc>
          <w:tcPr>
            <w:tcW w:w="1727" w:type="dxa"/>
            <w:vMerge w:val="continue"/>
            <w:shd w:val="clear" w:color="auto" w:fill="EEECE1"/>
            <w:vAlign w:val="center"/>
          </w:tcPr>
          <w:p w14:paraId="30790055">
            <w:pPr>
              <w:jc w:val="center"/>
              <w:rPr>
                <w:rFonts w:ascii="宋体" w:hAnsi="宋体" w:cs="宋体"/>
                <w:szCs w:val="21"/>
                <w:highlight w:val="none"/>
              </w:rPr>
            </w:pPr>
          </w:p>
        </w:tc>
        <w:tc>
          <w:tcPr>
            <w:tcW w:w="547" w:type="dxa"/>
            <w:vMerge w:val="continue"/>
            <w:shd w:val="clear" w:color="auto" w:fill="EEECE1"/>
            <w:vAlign w:val="center"/>
          </w:tcPr>
          <w:p w14:paraId="14BEC02C">
            <w:pPr>
              <w:rPr>
                <w:rFonts w:ascii="宋体" w:hAnsi="宋体" w:cs="宋体"/>
                <w:szCs w:val="21"/>
                <w:highlight w:val="none"/>
              </w:rPr>
            </w:pPr>
          </w:p>
        </w:tc>
        <w:tc>
          <w:tcPr>
            <w:tcW w:w="4584" w:type="dxa"/>
            <w:vMerge w:val="continue"/>
            <w:shd w:val="clear" w:color="auto" w:fill="EEECE1"/>
            <w:vAlign w:val="center"/>
          </w:tcPr>
          <w:p w14:paraId="5518D729">
            <w:pPr>
              <w:rPr>
                <w:rFonts w:ascii="宋体" w:hAnsi="宋体" w:cs="宋体"/>
                <w:szCs w:val="21"/>
                <w:highlight w:val="none"/>
              </w:rPr>
            </w:pPr>
          </w:p>
        </w:tc>
        <w:tc>
          <w:tcPr>
            <w:tcW w:w="627" w:type="dxa"/>
            <w:shd w:val="clear" w:color="auto" w:fill="EEECE1"/>
            <w:vAlign w:val="center"/>
          </w:tcPr>
          <w:p w14:paraId="0CB30E6C">
            <w:pPr>
              <w:jc w:val="center"/>
              <w:rPr>
                <w:rFonts w:ascii="宋体" w:hAnsi="宋体" w:cs="宋体"/>
                <w:b/>
                <w:szCs w:val="21"/>
                <w:highlight w:val="none"/>
              </w:rPr>
            </w:pPr>
            <w:r>
              <w:rPr>
                <w:rFonts w:hint="eastAsia" w:ascii="宋体" w:hAnsi="宋体" w:cs="宋体"/>
                <w:b/>
                <w:szCs w:val="21"/>
                <w:highlight w:val="none"/>
              </w:rPr>
              <w:t>有</w:t>
            </w:r>
          </w:p>
        </w:tc>
        <w:tc>
          <w:tcPr>
            <w:tcW w:w="594" w:type="dxa"/>
            <w:shd w:val="clear" w:color="auto" w:fill="EEECE1"/>
            <w:vAlign w:val="center"/>
          </w:tcPr>
          <w:p w14:paraId="3AD4954A">
            <w:pPr>
              <w:jc w:val="center"/>
              <w:rPr>
                <w:rFonts w:ascii="宋体" w:hAnsi="宋体" w:cs="宋体"/>
                <w:b/>
                <w:szCs w:val="21"/>
                <w:highlight w:val="none"/>
              </w:rPr>
            </w:pPr>
            <w:r>
              <w:rPr>
                <w:rFonts w:hint="eastAsia" w:ascii="宋体" w:hAnsi="宋体" w:cs="宋体"/>
                <w:b/>
                <w:szCs w:val="21"/>
                <w:highlight w:val="none"/>
              </w:rPr>
              <w:t>无</w:t>
            </w:r>
          </w:p>
        </w:tc>
        <w:tc>
          <w:tcPr>
            <w:tcW w:w="727" w:type="dxa"/>
            <w:vMerge w:val="continue"/>
            <w:shd w:val="clear" w:color="auto" w:fill="EEECE1"/>
            <w:vAlign w:val="center"/>
          </w:tcPr>
          <w:p w14:paraId="37BD7D03">
            <w:pPr>
              <w:jc w:val="center"/>
              <w:rPr>
                <w:rFonts w:ascii="宋体" w:hAnsi="宋体" w:cs="宋体"/>
                <w:szCs w:val="21"/>
                <w:highlight w:val="none"/>
              </w:rPr>
            </w:pPr>
          </w:p>
        </w:tc>
        <w:tc>
          <w:tcPr>
            <w:tcW w:w="728" w:type="dxa"/>
            <w:vMerge w:val="continue"/>
            <w:shd w:val="clear" w:color="auto" w:fill="EEECE1"/>
            <w:vAlign w:val="center"/>
          </w:tcPr>
          <w:p w14:paraId="725072A9">
            <w:pPr>
              <w:jc w:val="center"/>
              <w:rPr>
                <w:rFonts w:ascii="宋体" w:hAnsi="宋体" w:cs="宋体"/>
                <w:szCs w:val="21"/>
                <w:highlight w:val="none"/>
              </w:rPr>
            </w:pPr>
          </w:p>
        </w:tc>
      </w:tr>
      <w:tr w14:paraId="7648A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restart"/>
            <w:shd w:val="clear" w:color="auto" w:fill="auto"/>
            <w:vAlign w:val="center"/>
          </w:tcPr>
          <w:p w14:paraId="65398199">
            <w:pPr>
              <w:jc w:val="center"/>
              <w:rPr>
                <w:rFonts w:ascii="宋体" w:hAnsi="宋体" w:cs="宋体"/>
                <w:szCs w:val="21"/>
                <w:highlight w:val="none"/>
              </w:rPr>
            </w:pPr>
            <w:r>
              <w:rPr>
                <w:rFonts w:hint="eastAsia" w:ascii="宋体" w:hAnsi="宋体" w:cs="宋体"/>
                <w:b/>
                <w:szCs w:val="21"/>
                <w:highlight w:val="none"/>
              </w:rPr>
              <w:t>初审文件（加盖投标人公章）</w:t>
            </w:r>
          </w:p>
        </w:tc>
        <w:tc>
          <w:tcPr>
            <w:tcW w:w="547" w:type="dxa"/>
            <w:shd w:val="clear" w:color="auto" w:fill="auto"/>
            <w:vAlign w:val="center"/>
          </w:tcPr>
          <w:p w14:paraId="42D3519C">
            <w:pPr>
              <w:numPr>
                <w:ilvl w:val="0"/>
                <w:numId w:val="35"/>
              </w:numPr>
              <w:jc w:val="center"/>
              <w:rPr>
                <w:rFonts w:ascii="宋体" w:hAnsi="宋体" w:cs="宋体"/>
                <w:szCs w:val="21"/>
                <w:highlight w:val="none"/>
              </w:rPr>
            </w:pPr>
          </w:p>
        </w:tc>
        <w:tc>
          <w:tcPr>
            <w:tcW w:w="4584" w:type="dxa"/>
            <w:shd w:val="clear" w:color="auto" w:fill="auto"/>
            <w:vAlign w:val="center"/>
          </w:tcPr>
          <w:p w14:paraId="39228CB7">
            <w:pPr>
              <w:rPr>
                <w:rFonts w:ascii="宋体" w:hAnsi="宋体" w:cs="宋体"/>
                <w:szCs w:val="21"/>
                <w:highlight w:val="none"/>
              </w:rPr>
            </w:pPr>
            <w:r>
              <w:rPr>
                <w:rFonts w:hint="eastAsia" w:ascii="宋体" w:hAnsi="宋体" w:cs="宋体"/>
                <w:kern w:val="0"/>
                <w:szCs w:val="21"/>
                <w:highlight w:val="none"/>
              </w:rPr>
              <w:t>投标函</w:t>
            </w:r>
          </w:p>
        </w:tc>
        <w:tc>
          <w:tcPr>
            <w:tcW w:w="627" w:type="dxa"/>
            <w:shd w:val="clear" w:color="auto" w:fill="auto"/>
            <w:vAlign w:val="center"/>
          </w:tcPr>
          <w:p w14:paraId="1566B5C7">
            <w:pPr>
              <w:jc w:val="center"/>
              <w:rPr>
                <w:rFonts w:ascii="宋体" w:hAnsi="宋体" w:cs="宋体"/>
                <w:szCs w:val="21"/>
                <w:highlight w:val="none"/>
              </w:rPr>
            </w:pPr>
          </w:p>
        </w:tc>
        <w:tc>
          <w:tcPr>
            <w:tcW w:w="594" w:type="dxa"/>
            <w:shd w:val="clear" w:color="auto" w:fill="auto"/>
            <w:vAlign w:val="center"/>
          </w:tcPr>
          <w:p w14:paraId="168F10F2">
            <w:pPr>
              <w:jc w:val="center"/>
              <w:rPr>
                <w:rFonts w:ascii="宋体" w:hAnsi="宋体" w:cs="宋体"/>
                <w:szCs w:val="21"/>
                <w:highlight w:val="none"/>
              </w:rPr>
            </w:pPr>
          </w:p>
        </w:tc>
        <w:tc>
          <w:tcPr>
            <w:tcW w:w="727" w:type="dxa"/>
            <w:shd w:val="clear" w:color="auto" w:fill="EEECE1"/>
            <w:vAlign w:val="center"/>
          </w:tcPr>
          <w:p w14:paraId="786C4A7A">
            <w:pPr>
              <w:jc w:val="center"/>
              <w:rPr>
                <w:rFonts w:ascii="宋体" w:hAnsi="宋体" w:cs="宋体"/>
                <w:szCs w:val="21"/>
                <w:highlight w:val="none"/>
              </w:rPr>
            </w:pPr>
          </w:p>
        </w:tc>
        <w:tc>
          <w:tcPr>
            <w:tcW w:w="728" w:type="dxa"/>
            <w:shd w:val="clear" w:color="auto" w:fill="EEECE1"/>
            <w:vAlign w:val="center"/>
          </w:tcPr>
          <w:p w14:paraId="32F2AA85">
            <w:pPr>
              <w:jc w:val="center"/>
              <w:rPr>
                <w:rFonts w:ascii="宋体" w:hAnsi="宋体" w:cs="宋体"/>
                <w:szCs w:val="21"/>
                <w:highlight w:val="none"/>
              </w:rPr>
            </w:pPr>
          </w:p>
        </w:tc>
      </w:tr>
      <w:tr w14:paraId="19C65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14:paraId="2FB61755">
            <w:pPr>
              <w:ind w:left="113" w:right="113"/>
              <w:jc w:val="center"/>
              <w:rPr>
                <w:rFonts w:ascii="宋体" w:hAnsi="宋体" w:cs="宋体"/>
                <w:szCs w:val="21"/>
                <w:highlight w:val="none"/>
              </w:rPr>
            </w:pPr>
          </w:p>
        </w:tc>
        <w:tc>
          <w:tcPr>
            <w:tcW w:w="547" w:type="dxa"/>
            <w:shd w:val="clear" w:color="auto" w:fill="auto"/>
            <w:vAlign w:val="center"/>
          </w:tcPr>
          <w:p w14:paraId="775D803E">
            <w:pPr>
              <w:numPr>
                <w:ilvl w:val="0"/>
                <w:numId w:val="35"/>
              </w:numPr>
              <w:jc w:val="center"/>
              <w:rPr>
                <w:rFonts w:ascii="宋体" w:hAnsi="宋体" w:cs="宋体"/>
                <w:szCs w:val="21"/>
                <w:highlight w:val="none"/>
              </w:rPr>
            </w:pPr>
          </w:p>
        </w:tc>
        <w:tc>
          <w:tcPr>
            <w:tcW w:w="4584" w:type="dxa"/>
            <w:shd w:val="clear" w:color="auto" w:fill="auto"/>
            <w:vAlign w:val="center"/>
          </w:tcPr>
          <w:p w14:paraId="1D332C3B">
            <w:pPr>
              <w:rPr>
                <w:rFonts w:ascii="宋体" w:hAnsi="宋体" w:cs="宋体"/>
                <w:szCs w:val="21"/>
                <w:highlight w:val="none"/>
              </w:rPr>
            </w:pPr>
            <w:r>
              <w:rPr>
                <w:rFonts w:hint="eastAsia" w:ascii="宋体" w:hAnsi="宋体" w:cs="宋体"/>
                <w:kern w:val="0"/>
                <w:szCs w:val="21"/>
                <w:highlight w:val="none"/>
              </w:rPr>
              <w:t>投标人资格声明函</w:t>
            </w:r>
          </w:p>
        </w:tc>
        <w:tc>
          <w:tcPr>
            <w:tcW w:w="627" w:type="dxa"/>
            <w:shd w:val="clear" w:color="auto" w:fill="auto"/>
            <w:vAlign w:val="center"/>
          </w:tcPr>
          <w:p w14:paraId="7626D715">
            <w:pPr>
              <w:jc w:val="center"/>
              <w:rPr>
                <w:rFonts w:ascii="宋体" w:hAnsi="宋体" w:cs="宋体"/>
                <w:szCs w:val="21"/>
                <w:highlight w:val="none"/>
              </w:rPr>
            </w:pPr>
          </w:p>
        </w:tc>
        <w:tc>
          <w:tcPr>
            <w:tcW w:w="594" w:type="dxa"/>
            <w:shd w:val="clear" w:color="auto" w:fill="auto"/>
            <w:vAlign w:val="center"/>
          </w:tcPr>
          <w:p w14:paraId="2D5B7D4B">
            <w:pPr>
              <w:jc w:val="center"/>
              <w:rPr>
                <w:rFonts w:ascii="宋体" w:hAnsi="宋体" w:cs="宋体"/>
                <w:szCs w:val="21"/>
                <w:highlight w:val="none"/>
              </w:rPr>
            </w:pPr>
          </w:p>
        </w:tc>
        <w:tc>
          <w:tcPr>
            <w:tcW w:w="727" w:type="dxa"/>
            <w:shd w:val="clear" w:color="auto" w:fill="EEECE1"/>
            <w:vAlign w:val="center"/>
          </w:tcPr>
          <w:p w14:paraId="79FA0B51">
            <w:pPr>
              <w:jc w:val="center"/>
              <w:rPr>
                <w:rFonts w:ascii="宋体" w:hAnsi="宋体" w:cs="宋体"/>
                <w:szCs w:val="21"/>
                <w:highlight w:val="none"/>
              </w:rPr>
            </w:pPr>
          </w:p>
        </w:tc>
        <w:tc>
          <w:tcPr>
            <w:tcW w:w="728" w:type="dxa"/>
            <w:shd w:val="clear" w:color="auto" w:fill="EEECE1"/>
            <w:vAlign w:val="center"/>
          </w:tcPr>
          <w:p w14:paraId="1608974A">
            <w:pPr>
              <w:jc w:val="center"/>
              <w:rPr>
                <w:rFonts w:ascii="宋体" w:hAnsi="宋体" w:cs="宋体"/>
                <w:szCs w:val="21"/>
                <w:highlight w:val="none"/>
              </w:rPr>
            </w:pPr>
          </w:p>
        </w:tc>
      </w:tr>
      <w:tr w14:paraId="46A8C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atLeast"/>
          <w:jc w:val="right"/>
        </w:trPr>
        <w:tc>
          <w:tcPr>
            <w:tcW w:w="1727" w:type="dxa"/>
            <w:vMerge w:val="continue"/>
            <w:shd w:val="clear" w:color="auto" w:fill="auto"/>
            <w:vAlign w:val="center"/>
          </w:tcPr>
          <w:p w14:paraId="7E6C12C2">
            <w:pPr>
              <w:ind w:left="113" w:right="113"/>
              <w:jc w:val="center"/>
              <w:rPr>
                <w:rFonts w:ascii="宋体" w:hAnsi="宋体" w:cs="宋体"/>
                <w:szCs w:val="21"/>
                <w:highlight w:val="none"/>
              </w:rPr>
            </w:pPr>
          </w:p>
        </w:tc>
        <w:tc>
          <w:tcPr>
            <w:tcW w:w="547" w:type="dxa"/>
            <w:shd w:val="clear" w:color="auto" w:fill="auto"/>
            <w:vAlign w:val="center"/>
          </w:tcPr>
          <w:p w14:paraId="2FDF9969">
            <w:pPr>
              <w:numPr>
                <w:ilvl w:val="0"/>
                <w:numId w:val="35"/>
              </w:numPr>
              <w:jc w:val="center"/>
              <w:rPr>
                <w:rFonts w:ascii="宋体" w:hAnsi="宋体" w:cs="宋体"/>
                <w:szCs w:val="21"/>
                <w:highlight w:val="none"/>
              </w:rPr>
            </w:pPr>
          </w:p>
        </w:tc>
        <w:tc>
          <w:tcPr>
            <w:tcW w:w="4584" w:type="dxa"/>
            <w:shd w:val="clear" w:color="auto" w:fill="auto"/>
            <w:vAlign w:val="center"/>
          </w:tcPr>
          <w:p w14:paraId="4B6DE563">
            <w:pPr>
              <w:rPr>
                <w:rFonts w:ascii="宋体" w:hAnsi="宋体" w:cs="宋体"/>
                <w:szCs w:val="21"/>
                <w:highlight w:val="none"/>
              </w:rPr>
            </w:pPr>
            <w:r>
              <w:rPr>
                <w:rFonts w:hint="eastAsia" w:ascii="宋体" w:hAnsi="宋体" w:cs="宋体"/>
                <w:szCs w:val="21"/>
                <w:highlight w:val="none"/>
              </w:rPr>
              <w:t>具有独立承担民事责任的能力(提供营业执照复印件并加盖公章）；</w:t>
            </w:r>
            <w:r>
              <w:rPr>
                <w:rFonts w:hint="eastAsia" w:hAnsi="宋体"/>
                <w:szCs w:val="21"/>
                <w:highlight w:val="none"/>
                <w:lang w:val="zh-CN"/>
              </w:rPr>
              <w:t>不接受同一金融机构2家或以上分支机构参与投标【如总公司参与投标的，应提供营业执照复印件；如分支机构（即由合法法人依法建立的分公司）参与投标的，应同时提供</w:t>
            </w:r>
            <w:r>
              <w:rPr>
                <w:rFonts w:hint="eastAsia" w:ascii="宋体" w:hAnsi="宋体"/>
                <w:bCs/>
                <w:szCs w:val="21"/>
                <w:highlight w:val="none"/>
              </w:rPr>
              <w:t>总公司的</w:t>
            </w:r>
            <w:r>
              <w:rPr>
                <w:rFonts w:hint="eastAsia" w:ascii="宋体" w:hAnsi="宋体"/>
                <w:szCs w:val="21"/>
                <w:highlight w:val="none"/>
              </w:rPr>
              <w:t>营业执照</w:t>
            </w:r>
            <w:r>
              <w:rPr>
                <w:rFonts w:hint="eastAsia" w:ascii="宋体" w:hAnsi="宋体"/>
                <w:bCs/>
                <w:szCs w:val="21"/>
                <w:highlight w:val="none"/>
              </w:rPr>
              <w:t>等证明文件复印件及相关授权证明文件，分支机构已具有效授权的，总公司取得的相关资格证书对分公司有效，若法律法规或招标文件另有规定的从其规定（授权证明文件格式不限）</w:t>
            </w:r>
            <w:r>
              <w:rPr>
                <w:rFonts w:hint="eastAsia" w:hAnsi="宋体"/>
                <w:szCs w:val="21"/>
                <w:highlight w:val="none"/>
                <w:lang w:val="zh-CN"/>
              </w:rPr>
              <w:t>】</w:t>
            </w:r>
          </w:p>
        </w:tc>
        <w:tc>
          <w:tcPr>
            <w:tcW w:w="627" w:type="dxa"/>
            <w:shd w:val="clear" w:color="auto" w:fill="auto"/>
            <w:vAlign w:val="center"/>
          </w:tcPr>
          <w:p w14:paraId="0A660485">
            <w:pPr>
              <w:jc w:val="center"/>
              <w:rPr>
                <w:rFonts w:ascii="宋体" w:hAnsi="宋体" w:cs="宋体"/>
                <w:szCs w:val="21"/>
                <w:highlight w:val="none"/>
              </w:rPr>
            </w:pPr>
          </w:p>
        </w:tc>
        <w:tc>
          <w:tcPr>
            <w:tcW w:w="594" w:type="dxa"/>
            <w:shd w:val="clear" w:color="auto" w:fill="auto"/>
            <w:vAlign w:val="center"/>
          </w:tcPr>
          <w:p w14:paraId="6F23C618">
            <w:pPr>
              <w:jc w:val="center"/>
              <w:rPr>
                <w:rFonts w:ascii="宋体" w:hAnsi="宋体" w:cs="宋体"/>
                <w:szCs w:val="21"/>
                <w:highlight w:val="none"/>
              </w:rPr>
            </w:pPr>
          </w:p>
        </w:tc>
        <w:tc>
          <w:tcPr>
            <w:tcW w:w="727" w:type="dxa"/>
            <w:shd w:val="clear" w:color="auto" w:fill="EEECE1"/>
            <w:vAlign w:val="center"/>
          </w:tcPr>
          <w:p w14:paraId="4B8D8E43">
            <w:pPr>
              <w:jc w:val="center"/>
              <w:rPr>
                <w:rFonts w:ascii="宋体" w:hAnsi="宋体" w:cs="宋体"/>
                <w:szCs w:val="21"/>
                <w:highlight w:val="none"/>
              </w:rPr>
            </w:pPr>
          </w:p>
        </w:tc>
        <w:tc>
          <w:tcPr>
            <w:tcW w:w="728" w:type="dxa"/>
            <w:shd w:val="clear" w:color="auto" w:fill="EEECE1"/>
            <w:vAlign w:val="center"/>
          </w:tcPr>
          <w:p w14:paraId="119924B6">
            <w:pPr>
              <w:jc w:val="center"/>
              <w:rPr>
                <w:rFonts w:ascii="宋体" w:hAnsi="宋体" w:cs="宋体"/>
                <w:szCs w:val="21"/>
                <w:highlight w:val="none"/>
              </w:rPr>
            </w:pPr>
          </w:p>
        </w:tc>
      </w:tr>
      <w:tr w14:paraId="66EFB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right"/>
        </w:trPr>
        <w:tc>
          <w:tcPr>
            <w:tcW w:w="1727" w:type="dxa"/>
            <w:vMerge w:val="continue"/>
            <w:shd w:val="clear" w:color="auto" w:fill="auto"/>
            <w:vAlign w:val="center"/>
          </w:tcPr>
          <w:p w14:paraId="57CE7F51">
            <w:pPr>
              <w:ind w:left="113" w:right="113"/>
              <w:jc w:val="center"/>
              <w:rPr>
                <w:rFonts w:ascii="宋体" w:hAnsi="宋体" w:cs="宋体"/>
                <w:szCs w:val="21"/>
                <w:highlight w:val="none"/>
              </w:rPr>
            </w:pPr>
          </w:p>
        </w:tc>
        <w:tc>
          <w:tcPr>
            <w:tcW w:w="547" w:type="dxa"/>
            <w:shd w:val="clear" w:color="auto" w:fill="auto"/>
            <w:vAlign w:val="center"/>
          </w:tcPr>
          <w:p w14:paraId="29CDC1DB">
            <w:pPr>
              <w:numPr>
                <w:ilvl w:val="0"/>
                <w:numId w:val="35"/>
              </w:numPr>
              <w:jc w:val="center"/>
              <w:rPr>
                <w:rFonts w:ascii="宋体" w:hAnsi="宋体" w:cs="宋体"/>
                <w:szCs w:val="21"/>
                <w:highlight w:val="none"/>
              </w:rPr>
            </w:pPr>
          </w:p>
        </w:tc>
        <w:tc>
          <w:tcPr>
            <w:tcW w:w="4584" w:type="dxa"/>
            <w:shd w:val="clear" w:color="auto" w:fill="auto"/>
            <w:vAlign w:val="center"/>
          </w:tcPr>
          <w:p w14:paraId="27C1C7E4">
            <w:pPr>
              <w:rPr>
                <w:rFonts w:ascii="宋体" w:hAnsi="宋体" w:cs="宋体"/>
                <w:kern w:val="0"/>
                <w:szCs w:val="21"/>
                <w:highlight w:val="none"/>
              </w:rPr>
            </w:pPr>
            <w:r>
              <w:rPr>
                <w:rFonts w:hint="eastAsia" w:ascii="宋体" w:hAnsi="宋体" w:cs="宋体"/>
                <w:szCs w:val="21"/>
                <w:highlight w:val="none"/>
              </w:rPr>
              <w:t>法定代表人</w:t>
            </w:r>
            <w:r>
              <w:rPr>
                <w:rFonts w:hint="eastAsia" w:ascii="宋体" w:hAnsi="宋体" w:cs="宋体"/>
                <w:bCs/>
                <w:szCs w:val="21"/>
                <w:highlight w:val="none"/>
              </w:rPr>
              <w:t>（负责人）</w:t>
            </w:r>
            <w:r>
              <w:rPr>
                <w:rFonts w:hint="eastAsia" w:ascii="宋体" w:hAnsi="宋体" w:cs="宋体"/>
                <w:szCs w:val="21"/>
                <w:highlight w:val="none"/>
              </w:rPr>
              <w:t>授权委托书</w:t>
            </w:r>
          </w:p>
        </w:tc>
        <w:tc>
          <w:tcPr>
            <w:tcW w:w="627" w:type="dxa"/>
            <w:shd w:val="clear" w:color="auto" w:fill="auto"/>
            <w:vAlign w:val="center"/>
          </w:tcPr>
          <w:p w14:paraId="0E6D36C7">
            <w:pPr>
              <w:jc w:val="center"/>
              <w:rPr>
                <w:rFonts w:ascii="宋体" w:hAnsi="宋体" w:cs="宋体"/>
                <w:szCs w:val="21"/>
                <w:highlight w:val="none"/>
              </w:rPr>
            </w:pPr>
          </w:p>
        </w:tc>
        <w:tc>
          <w:tcPr>
            <w:tcW w:w="594" w:type="dxa"/>
            <w:shd w:val="clear" w:color="auto" w:fill="auto"/>
            <w:vAlign w:val="center"/>
          </w:tcPr>
          <w:p w14:paraId="697598F4">
            <w:pPr>
              <w:jc w:val="center"/>
              <w:rPr>
                <w:rFonts w:ascii="宋体" w:hAnsi="宋体" w:cs="宋体"/>
                <w:szCs w:val="21"/>
                <w:highlight w:val="none"/>
              </w:rPr>
            </w:pPr>
          </w:p>
        </w:tc>
        <w:tc>
          <w:tcPr>
            <w:tcW w:w="727" w:type="dxa"/>
            <w:shd w:val="clear" w:color="auto" w:fill="EEECE1"/>
            <w:vAlign w:val="center"/>
          </w:tcPr>
          <w:p w14:paraId="2E60E2C3">
            <w:pPr>
              <w:jc w:val="center"/>
              <w:rPr>
                <w:rFonts w:ascii="宋体" w:hAnsi="宋体" w:cs="宋体"/>
                <w:szCs w:val="21"/>
                <w:highlight w:val="none"/>
              </w:rPr>
            </w:pPr>
          </w:p>
        </w:tc>
        <w:tc>
          <w:tcPr>
            <w:tcW w:w="728" w:type="dxa"/>
            <w:shd w:val="clear" w:color="auto" w:fill="EEECE1"/>
            <w:vAlign w:val="center"/>
          </w:tcPr>
          <w:p w14:paraId="32A81A6E">
            <w:pPr>
              <w:jc w:val="center"/>
              <w:rPr>
                <w:rFonts w:ascii="宋体" w:hAnsi="宋体" w:cs="宋体"/>
                <w:szCs w:val="21"/>
                <w:highlight w:val="none"/>
              </w:rPr>
            </w:pPr>
          </w:p>
        </w:tc>
      </w:tr>
      <w:tr w14:paraId="6F899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14:paraId="34F8A6FB">
            <w:pPr>
              <w:ind w:left="113" w:right="113"/>
              <w:jc w:val="center"/>
              <w:rPr>
                <w:rFonts w:ascii="宋体" w:hAnsi="宋体" w:cs="宋体"/>
                <w:szCs w:val="21"/>
                <w:highlight w:val="none"/>
              </w:rPr>
            </w:pPr>
          </w:p>
        </w:tc>
        <w:tc>
          <w:tcPr>
            <w:tcW w:w="547" w:type="dxa"/>
            <w:shd w:val="clear" w:color="auto" w:fill="auto"/>
            <w:vAlign w:val="center"/>
          </w:tcPr>
          <w:p w14:paraId="158B607A">
            <w:pPr>
              <w:numPr>
                <w:ilvl w:val="0"/>
                <w:numId w:val="35"/>
              </w:numPr>
              <w:jc w:val="center"/>
              <w:rPr>
                <w:rFonts w:ascii="宋体" w:hAnsi="宋体" w:cs="宋体"/>
                <w:szCs w:val="21"/>
                <w:highlight w:val="none"/>
              </w:rPr>
            </w:pPr>
          </w:p>
        </w:tc>
        <w:tc>
          <w:tcPr>
            <w:tcW w:w="4584" w:type="dxa"/>
            <w:shd w:val="clear" w:color="auto" w:fill="auto"/>
            <w:vAlign w:val="center"/>
          </w:tcPr>
          <w:p w14:paraId="563CC672">
            <w:pPr>
              <w:rPr>
                <w:rFonts w:ascii="宋体" w:hAnsi="宋体" w:cs="宋体"/>
                <w:kern w:val="0"/>
                <w:szCs w:val="21"/>
                <w:highlight w:val="none"/>
              </w:rPr>
            </w:pPr>
            <w:r>
              <w:rPr>
                <w:rFonts w:hint="eastAsia" w:ascii="宋体" w:hAnsi="宋体" w:cs="宋体"/>
                <w:bCs/>
                <w:szCs w:val="21"/>
                <w:highlight w:val="none"/>
              </w:rPr>
              <w:t>法定代表人（负责人）证明书</w:t>
            </w:r>
          </w:p>
        </w:tc>
        <w:tc>
          <w:tcPr>
            <w:tcW w:w="627" w:type="dxa"/>
            <w:shd w:val="clear" w:color="auto" w:fill="auto"/>
            <w:vAlign w:val="center"/>
          </w:tcPr>
          <w:p w14:paraId="41792EED">
            <w:pPr>
              <w:jc w:val="center"/>
              <w:rPr>
                <w:rFonts w:ascii="宋体" w:hAnsi="宋体" w:cs="宋体"/>
                <w:szCs w:val="21"/>
                <w:highlight w:val="none"/>
              </w:rPr>
            </w:pPr>
          </w:p>
        </w:tc>
        <w:tc>
          <w:tcPr>
            <w:tcW w:w="594" w:type="dxa"/>
            <w:shd w:val="clear" w:color="auto" w:fill="auto"/>
            <w:vAlign w:val="center"/>
          </w:tcPr>
          <w:p w14:paraId="73ACE281">
            <w:pPr>
              <w:jc w:val="center"/>
              <w:rPr>
                <w:rFonts w:ascii="宋体" w:hAnsi="宋体" w:cs="宋体"/>
                <w:szCs w:val="21"/>
                <w:highlight w:val="none"/>
              </w:rPr>
            </w:pPr>
          </w:p>
        </w:tc>
        <w:tc>
          <w:tcPr>
            <w:tcW w:w="727" w:type="dxa"/>
            <w:shd w:val="clear" w:color="auto" w:fill="EEECE1"/>
            <w:vAlign w:val="center"/>
          </w:tcPr>
          <w:p w14:paraId="3D082BC8">
            <w:pPr>
              <w:jc w:val="center"/>
              <w:rPr>
                <w:rFonts w:ascii="宋体" w:hAnsi="宋体" w:cs="宋体"/>
                <w:szCs w:val="21"/>
                <w:highlight w:val="none"/>
              </w:rPr>
            </w:pPr>
          </w:p>
        </w:tc>
        <w:tc>
          <w:tcPr>
            <w:tcW w:w="728" w:type="dxa"/>
            <w:shd w:val="clear" w:color="auto" w:fill="EEECE1"/>
            <w:vAlign w:val="center"/>
          </w:tcPr>
          <w:p w14:paraId="4D835545">
            <w:pPr>
              <w:jc w:val="center"/>
              <w:rPr>
                <w:rFonts w:ascii="宋体" w:hAnsi="宋体" w:cs="宋体"/>
                <w:szCs w:val="21"/>
                <w:highlight w:val="none"/>
              </w:rPr>
            </w:pPr>
          </w:p>
        </w:tc>
      </w:tr>
      <w:tr w14:paraId="75326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14:paraId="1F9E2FFA">
            <w:pPr>
              <w:ind w:left="113" w:right="113"/>
              <w:jc w:val="center"/>
              <w:rPr>
                <w:rFonts w:ascii="宋体" w:hAnsi="宋体" w:cs="宋体"/>
                <w:szCs w:val="21"/>
                <w:highlight w:val="none"/>
              </w:rPr>
            </w:pPr>
          </w:p>
        </w:tc>
        <w:tc>
          <w:tcPr>
            <w:tcW w:w="547" w:type="dxa"/>
            <w:shd w:val="clear" w:color="auto" w:fill="auto"/>
            <w:vAlign w:val="center"/>
          </w:tcPr>
          <w:p w14:paraId="069DF0F4">
            <w:pPr>
              <w:numPr>
                <w:ilvl w:val="0"/>
                <w:numId w:val="35"/>
              </w:numPr>
              <w:jc w:val="center"/>
              <w:rPr>
                <w:rFonts w:ascii="宋体" w:hAnsi="宋体" w:cs="宋体"/>
                <w:szCs w:val="21"/>
                <w:highlight w:val="none"/>
              </w:rPr>
            </w:pPr>
          </w:p>
        </w:tc>
        <w:tc>
          <w:tcPr>
            <w:tcW w:w="4584" w:type="dxa"/>
            <w:shd w:val="clear" w:color="auto" w:fill="auto"/>
            <w:vAlign w:val="center"/>
          </w:tcPr>
          <w:p w14:paraId="6F2D3821">
            <w:pPr>
              <w:wordWrap w:val="0"/>
              <w:rPr>
                <w:rFonts w:ascii="宋体" w:hAnsi="宋体"/>
                <w:szCs w:val="21"/>
                <w:highlight w:val="none"/>
              </w:rPr>
            </w:pPr>
            <w:r>
              <w:rPr>
                <w:rFonts w:hint="eastAsia" w:ascii="宋体" w:hAnsi="宋体"/>
                <w:szCs w:val="21"/>
                <w:highlight w:val="none"/>
              </w:rPr>
              <w:t>投标人具有中国银行间市场交易商协会确认的非金融企业债务融资工具主承销商资格；</w:t>
            </w:r>
          </w:p>
        </w:tc>
        <w:tc>
          <w:tcPr>
            <w:tcW w:w="627" w:type="dxa"/>
            <w:shd w:val="clear" w:color="auto" w:fill="auto"/>
            <w:vAlign w:val="center"/>
          </w:tcPr>
          <w:p w14:paraId="0F8C3648">
            <w:pPr>
              <w:jc w:val="center"/>
              <w:rPr>
                <w:rFonts w:ascii="宋体" w:hAnsi="宋体" w:cs="宋体"/>
                <w:szCs w:val="21"/>
                <w:highlight w:val="none"/>
              </w:rPr>
            </w:pPr>
          </w:p>
        </w:tc>
        <w:tc>
          <w:tcPr>
            <w:tcW w:w="594" w:type="dxa"/>
            <w:shd w:val="clear" w:color="auto" w:fill="auto"/>
            <w:vAlign w:val="center"/>
          </w:tcPr>
          <w:p w14:paraId="2602B542">
            <w:pPr>
              <w:jc w:val="center"/>
              <w:rPr>
                <w:rFonts w:ascii="宋体" w:hAnsi="宋体" w:cs="宋体"/>
                <w:szCs w:val="21"/>
                <w:highlight w:val="none"/>
              </w:rPr>
            </w:pPr>
          </w:p>
        </w:tc>
        <w:tc>
          <w:tcPr>
            <w:tcW w:w="727" w:type="dxa"/>
            <w:shd w:val="clear" w:color="auto" w:fill="EEECE1"/>
            <w:vAlign w:val="center"/>
          </w:tcPr>
          <w:p w14:paraId="214199BB">
            <w:pPr>
              <w:jc w:val="center"/>
              <w:rPr>
                <w:rFonts w:ascii="宋体" w:hAnsi="宋体" w:cs="宋体"/>
                <w:szCs w:val="21"/>
                <w:highlight w:val="none"/>
              </w:rPr>
            </w:pPr>
          </w:p>
        </w:tc>
        <w:tc>
          <w:tcPr>
            <w:tcW w:w="728" w:type="dxa"/>
            <w:shd w:val="clear" w:color="auto" w:fill="EEECE1"/>
            <w:vAlign w:val="center"/>
          </w:tcPr>
          <w:p w14:paraId="69434DAC">
            <w:pPr>
              <w:jc w:val="center"/>
              <w:rPr>
                <w:rFonts w:ascii="宋体" w:hAnsi="宋体" w:cs="宋体"/>
                <w:szCs w:val="21"/>
                <w:highlight w:val="none"/>
              </w:rPr>
            </w:pPr>
          </w:p>
        </w:tc>
      </w:tr>
      <w:tr w14:paraId="3A154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14:paraId="71B86333">
            <w:pPr>
              <w:ind w:left="113" w:right="113"/>
              <w:jc w:val="center"/>
              <w:rPr>
                <w:rFonts w:ascii="宋体" w:hAnsi="宋体" w:cs="宋体"/>
                <w:szCs w:val="21"/>
                <w:highlight w:val="none"/>
              </w:rPr>
            </w:pPr>
          </w:p>
        </w:tc>
        <w:tc>
          <w:tcPr>
            <w:tcW w:w="547" w:type="dxa"/>
            <w:shd w:val="clear" w:color="auto" w:fill="auto"/>
            <w:vAlign w:val="center"/>
          </w:tcPr>
          <w:p w14:paraId="239274E0">
            <w:pPr>
              <w:numPr>
                <w:ilvl w:val="0"/>
                <w:numId w:val="35"/>
              </w:numPr>
              <w:jc w:val="center"/>
              <w:rPr>
                <w:rFonts w:ascii="宋体" w:hAnsi="宋体" w:cs="宋体"/>
                <w:szCs w:val="21"/>
                <w:highlight w:val="none"/>
              </w:rPr>
            </w:pPr>
          </w:p>
        </w:tc>
        <w:tc>
          <w:tcPr>
            <w:tcW w:w="4584" w:type="dxa"/>
            <w:shd w:val="clear" w:color="auto" w:fill="auto"/>
            <w:vAlign w:val="center"/>
          </w:tcPr>
          <w:p w14:paraId="1FBA8050">
            <w:pPr>
              <w:wordWrap w:val="0"/>
              <w:rPr>
                <w:rFonts w:ascii="宋体" w:hAnsi="宋体" w:cs="宋体"/>
                <w:kern w:val="0"/>
                <w:szCs w:val="21"/>
                <w:highlight w:val="none"/>
              </w:rPr>
            </w:pPr>
            <w:r>
              <w:rPr>
                <w:rFonts w:hint="eastAsia" w:ascii="宋体" w:hAnsi="宋体"/>
                <w:szCs w:val="21"/>
                <w:highlight w:val="none"/>
              </w:rPr>
              <w:t>投标人</w:t>
            </w:r>
            <w:r>
              <w:rPr>
                <w:rFonts w:hint="eastAsia" w:ascii="宋体" w:hAnsi="宋体" w:cs="宋体"/>
                <w:szCs w:val="21"/>
                <w:highlight w:val="none"/>
              </w:rPr>
              <w:t>未被列入“信用中国”网站(www.creditchina.gov.cn)“记录失信被执行人或重大税收违法失信主体或政府采购严重违法失信行为”记录名单。【以招标代理机构于投标截止日当天在“信用中国”网站（www.creditchina.gov.cn）查询结果为准，如相关失信记录已失效，投标人需提供相关证明资料】。</w:t>
            </w:r>
          </w:p>
        </w:tc>
        <w:tc>
          <w:tcPr>
            <w:tcW w:w="627" w:type="dxa"/>
            <w:shd w:val="clear" w:color="auto" w:fill="auto"/>
            <w:vAlign w:val="center"/>
          </w:tcPr>
          <w:p w14:paraId="7B8FB195">
            <w:pPr>
              <w:jc w:val="center"/>
              <w:rPr>
                <w:rFonts w:ascii="宋体" w:hAnsi="宋体" w:cs="宋体"/>
                <w:szCs w:val="21"/>
                <w:highlight w:val="none"/>
              </w:rPr>
            </w:pPr>
          </w:p>
        </w:tc>
        <w:tc>
          <w:tcPr>
            <w:tcW w:w="594" w:type="dxa"/>
            <w:shd w:val="clear" w:color="auto" w:fill="auto"/>
            <w:vAlign w:val="center"/>
          </w:tcPr>
          <w:p w14:paraId="42AA02F1">
            <w:pPr>
              <w:jc w:val="center"/>
              <w:rPr>
                <w:rFonts w:ascii="宋体" w:hAnsi="宋体" w:cs="宋体"/>
                <w:szCs w:val="21"/>
                <w:highlight w:val="none"/>
              </w:rPr>
            </w:pPr>
          </w:p>
        </w:tc>
        <w:tc>
          <w:tcPr>
            <w:tcW w:w="727" w:type="dxa"/>
            <w:shd w:val="clear" w:color="auto" w:fill="EEECE1"/>
            <w:vAlign w:val="center"/>
          </w:tcPr>
          <w:p w14:paraId="67CD680A">
            <w:pPr>
              <w:jc w:val="center"/>
              <w:rPr>
                <w:rFonts w:ascii="宋体" w:hAnsi="宋体" w:cs="宋体"/>
                <w:szCs w:val="21"/>
                <w:highlight w:val="none"/>
              </w:rPr>
            </w:pPr>
          </w:p>
        </w:tc>
        <w:tc>
          <w:tcPr>
            <w:tcW w:w="728" w:type="dxa"/>
            <w:shd w:val="clear" w:color="auto" w:fill="EEECE1"/>
            <w:vAlign w:val="center"/>
          </w:tcPr>
          <w:p w14:paraId="13D3A2BE">
            <w:pPr>
              <w:jc w:val="center"/>
              <w:rPr>
                <w:rFonts w:ascii="宋体" w:hAnsi="宋体" w:cs="宋体"/>
                <w:szCs w:val="21"/>
                <w:highlight w:val="none"/>
              </w:rPr>
            </w:pPr>
          </w:p>
        </w:tc>
      </w:tr>
      <w:tr w14:paraId="2C4ED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14:paraId="2024702E">
            <w:pPr>
              <w:ind w:left="113" w:right="113"/>
              <w:jc w:val="center"/>
              <w:rPr>
                <w:rFonts w:ascii="宋体" w:hAnsi="宋体" w:cs="宋体"/>
                <w:szCs w:val="21"/>
                <w:highlight w:val="none"/>
              </w:rPr>
            </w:pPr>
          </w:p>
        </w:tc>
        <w:tc>
          <w:tcPr>
            <w:tcW w:w="547" w:type="dxa"/>
            <w:shd w:val="clear" w:color="auto" w:fill="auto"/>
            <w:vAlign w:val="center"/>
          </w:tcPr>
          <w:p w14:paraId="2556F5DC">
            <w:pPr>
              <w:numPr>
                <w:ilvl w:val="0"/>
                <w:numId w:val="35"/>
              </w:numPr>
              <w:jc w:val="center"/>
              <w:rPr>
                <w:rFonts w:ascii="宋体" w:hAnsi="宋体" w:cs="宋体"/>
                <w:szCs w:val="21"/>
                <w:highlight w:val="none"/>
              </w:rPr>
            </w:pPr>
          </w:p>
        </w:tc>
        <w:tc>
          <w:tcPr>
            <w:tcW w:w="4584" w:type="dxa"/>
            <w:shd w:val="clear" w:color="auto" w:fill="auto"/>
            <w:vAlign w:val="center"/>
          </w:tcPr>
          <w:p w14:paraId="2AFB3A91">
            <w:pPr>
              <w:wordWrap w:val="0"/>
              <w:rPr>
                <w:rFonts w:ascii="宋体" w:hAnsi="宋体" w:cs="宋体"/>
                <w:bCs/>
                <w:szCs w:val="21"/>
                <w:highlight w:val="none"/>
              </w:rPr>
            </w:pPr>
            <w:r>
              <w:rPr>
                <w:rFonts w:hint="eastAsia" w:ascii="宋体" w:hAnsi="宋体" w:cs="宋体"/>
                <w:bCs/>
                <w:szCs w:val="21"/>
                <w:highlight w:val="none"/>
              </w:rPr>
              <w:t>实质性响应一览表</w:t>
            </w:r>
          </w:p>
        </w:tc>
        <w:tc>
          <w:tcPr>
            <w:tcW w:w="627" w:type="dxa"/>
            <w:shd w:val="clear" w:color="auto" w:fill="auto"/>
            <w:vAlign w:val="center"/>
          </w:tcPr>
          <w:p w14:paraId="53A844E6">
            <w:pPr>
              <w:jc w:val="center"/>
              <w:rPr>
                <w:rFonts w:ascii="宋体" w:hAnsi="宋体" w:cs="宋体"/>
                <w:szCs w:val="21"/>
                <w:highlight w:val="none"/>
              </w:rPr>
            </w:pPr>
          </w:p>
        </w:tc>
        <w:tc>
          <w:tcPr>
            <w:tcW w:w="594" w:type="dxa"/>
            <w:shd w:val="clear" w:color="auto" w:fill="auto"/>
            <w:vAlign w:val="center"/>
          </w:tcPr>
          <w:p w14:paraId="22BDADAC">
            <w:pPr>
              <w:jc w:val="center"/>
              <w:rPr>
                <w:rFonts w:ascii="宋体" w:hAnsi="宋体" w:cs="宋体"/>
                <w:szCs w:val="21"/>
                <w:highlight w:val="none"/>
              </w:rPr>
            </w:pPr>
          </w:p>
        </w:tc>
        <w:tc>
          <w:tcPr>
            <w:tcW w:w="727" w:type="dxa"/>
            <w:shd w:val="clear" w:color="auto" w:fill="EEECE1"/>
            <w:vAlign w:val="center"/>
          </w:tcPr>
          <w:p w14:paraId="154BCEBA">
            <w:pPr>
              <w:jc w:val="center"/>
              <w:rPr>
                <w:rFonts w:ascii="宋体" w:hAnsi="宋体" w:cs="宋体"/>
                <w:szCs w:val="21"/>
                <w:highlight w:val="none"/>
              </w:rPr>
            </w:pPr>
          </w:p>
        </w:tc>
        <w:tc>
          <w:tcPr>
            <w:tcW w:w="728" w:type="dxa"/>
            <w:shd w:val="clear" w:color="auto" w:fill="EEECE1"/>
            <w:vAlign w:val="center"/>
          </w:tcPr>
          <w:p w14:paraId="7FCB2BCA">
            <w:pPr>
              <w:jc w:val="center"/>
              <w:rPr>
                <w:rFonts w:ascii="宋体" w:hAnsi="宋体" w:cs="宋体"/>
                <w:szCs w:val="21"/>
                <w:highlight w:val="none"/>
              </w:rPr>
            </w:pPr>
          </w:p>
        </w:tc>
      </w:tr>
      <w:tr w14:paraId="2A6C0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restart"/>
            <w:shd w:val="clear" w:color="auto" w:fill="auto"/>
            <w:vAlign w:val="center"/>
          </w:tcPr>
          <w:p w14:paraId="08A18CDA">
            <w:pPr>
              <w:ind w:left="113" w:right="113"/>
              <w:jc w:val="center"/>
              <w:rPr>
                <w:rFonts w:ascii="宋体" w:hAnsi="宋体" w:cs="宋体"/>
                <w:szCs w:val="21"/>
                <w:highlight w:val="none"/>
              </w:rPr>
            </w:pPr>
            <w:r>
              <w:rPr>
                <w:rFonts w:hint="eastAsia" w:ascii="宋体" w:hAnsi="宋体" w:cs="宋体"/>
                <w:b/>
                <w:szCs w:val="21"/>
                <w:highlight w:val="none"/>
              </w:rPr>
              <w:t>投标人应提交的技术、商务文件（</w:t>
            </w:r>
            <w:r>
              <w:rPr>
                <w:rFonts w:hint="eastAsia" w:ascii="宋体" w:hAnsi="宋体" w:cs="宋体"/>
                <w:b/>
                <w:bCs/>
                <w:szCs w:val="21"/>
                <w:highlight w:val="none"/>
              </w:rPr>
              <w:t>加盖投标人公章</w:t>
            </w:r>
            <w:r>
              <w:rPr>
                <w:rFonts w:hint="eastAsia" w:ascii="宋体" w:hAnsi="宋体" w:cs="宋体"/>
                <w:b/>
                <w:szCs w:val="21"/>
                <w:highlight w:val="none"/>
              </w:rPr>
              <w:t>）</w:t>
            </w:r>
          </w:p>
        </w:tc>
        <w:tc>
          <w:tcPr>
            <w:tcW w:w="547" w:type="dxa"/>
            <w:shd w:val="clear" w:color="auto" w:fill="auto"/>
            <w:vAlign w:val="center"/>
          </w:tcPr>
          <w:p w14:paraId="64DFC32F">
            <w:pPr>
              <w:numPr>
                <w:ilvl w:val="0"/>
                <w:numId w:val="36"/>
              </w:numPr>
              <w:jc w:val="center"/>
              <w:rPr>
                <w:rFonts w:ascii="宋体" w:hAnsi="宋体" w:cs="宋体"/>
                <w:szCs w:val="21"/>
                <w:highlight w:val="none"/>
              </w:rPr>
            </w:pPr>
          </w:p>
        </w:tc>
        <w:tc>
          <w:tcPr>
            <w:tcW w:w="4584" w:type="dxa"/>
            <w:shd w:val="clear" w:color="auto" w:fill="auto"/>
            <w:vAlign w:val="center"/>
          </w:tcPr>
          <w:p w14:paraId="48800A5F">
            <w:pPr>
              <w:rPr>
                <w:rFonts w:ascii="宋体" w:hAnsi="宋体" w:cs="宋体"/>
                <w:szCs w:val="21"/>
                <w:highlight w:val="none"/>
              </w:rPr>
            </w:pPr>
            <w:r>
              <w:rPr>
                <w:rFonts w:hint="eastAsia" w:ascii="宋体" w:hAnsi="宋体" w:cs="宋体"/>
                <w:szCs w:val="21"/>
                <w:highlight w:val="none"/>
              </w:rPr>
              <w:t>开标一览表(报价表)</w:t>
            </w:r>
          </w:p>
        </w:tc>
        <w:tc>
          <w:tcPr>
            <w:tcW w:w="627" w:type="dxa"/>
            <w:shd w:val="clear" w:color="auto" w:fill="auto"/>
            <w:vAlign w:val="center"/>
          </w:tcPr>
          <w:p w14:paraId="5B72261B">
            <w:pPr>
              <w:jc w:val="center"/>
              <w:rPr>
                <w:rFonts w:ascii="宋体" w:hAnsi="宋体" w:cs="宋体"/>
                <w:szCs w:val="21"/>
                <w:highlight w:val="none"/>
              </w:rPr>
            </w:pPr>
          </w:p>
        </w:tc>
        <w:tc>
          <w:tcPr>
            <w:tcW w:w="594" w:type="dxa"/>
            <w:shd w:val="clear" w:color="auto" w:fill="auto"/>
            <w:vAlign w:val="center"/>
          </w:tcPr>
          <w:p w14:paraId="59320EB0">
            <w:pPr>
              <w:jc w:val="center"/>
              <w:rPr>
                <w:rFonts w:ascii="宋体" w:hAnsi="宋体" w:cs="宋体"/>
                <w:szCs w:val="21"/>
                <w:highlight w:val="none"/>
              </w:rPr>
            </w:pPr>
          </w:p>
        </w:tc>
        <w:tc>
          <w:tcPr>
            <w:tcW w:w="727" w:type="dxa"/>
            <w:shd w:val="clear" w:color="auto" w:fill="EEECE1"/>
            <w:vAlign w:val="center"/>
          </w:tcPr>
          <w:p w14:paraId="415C2556">
            <w:pPr>
              <w:jc w:val="center"/>
              <w:rPr>
                <w:rFonts w:ascii="宋体" w:hAnsi="宋体" w:cs="宋体"/>
                <w:szCs w:val="21"/>
                <w:highlight w:val="none"/>
              </w:rPr>
            </w:pPr>
          </w:p>
        </w:tc>
        <w:tc>
          <w:tcPr>
            <w:tcW w:w="728" w:type="dxa"/>
            <w:shd w:val="clear" w:color="auto" w:fill="EEECE1"/>
            <w:vAlign w:val="center"/>
          </w:tcPr>
          <w:p w14:paraId="757EFF58">
            <w:pPr>
              <w:jc w:val="center"/>
              <w:rPr>
                <w:rFonts w:ascii="宋体" w:hAnsi="宋体" w:cs="宋体"/>
                <w:szCs w:val="21"/>
                <w:highlight w:val="none"/>
              </w:rPr>
            </w:pPr>
          </w:p>
        </w:tc>
      </w:tr>
      <w:tr w14:paraId="37353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14:paraId="1319D4D9">
            <w:pPr>
              <w:ind w:left="113" w:right="113"/>
              <w:jc w:val="center"/>
              <w:rPr>
                <w:rFonts w:ascii="宋体" w:hAnsi="宋体" w:cs="宋体"/>
                <w:szCs w:val="21"/>
                <w:highlight w:val="none"/>
              </w:rPr>
            </w:pPr>
          </w:p>
        </w:tc>
        <w:tc>
          <w:tcPr>
            <w:tcW w:w="547" w:type="dxa"/>
            <w:shd w:val="clear" w:color="auto" w:fill="auto"/>
            <w:vAlign w:val="center"/>
          </w:tcPr>
          <w:p w14:paraId="410227C6">
            <w:pPr>
              <w:numPr>
                <w:ilvl w:val="0"/>
                <w:numId w:val="36"/>
              </w:numPr>
              <w:jc w:val="center"/>
              <w:rPr>
                <w:rFonts w:ascii="宋体" w:hAnsi="宋体" w:cs="宋体"/>
                <w:szCs w:val="21"/>
                <w:highlight w:val="none"/>
              </w:rPr>
            </w:pPr>
          </w:p>
        </w:tc>
        <w:tc>
          <w:tcPr>
            <w:tcW w:w="4584" w:type="dxa"/>
            <w:shd w:val="clear" w:color="auto" w:fill="auto"/>
            <w:vAlign w:val="center"/>
          </w:tcPr>
          <w:p w14:paraId="09579AB4">
            <w:pPr>
              <w:jc w:val="left"/>
              <w:textAlignment w:val="baseline"/>
              <w:rPr>
                <w:rFonts w:ascii="宋体" w:hAnsi="宋体" w:cs="宋体"/>
                <w:szCs w:val="21"/>
                <w:highlight w:val="none"/>
              </w:rPr>
            </w:pPr>
            <w:r>
              <w:rPr>
                <w:rFonts w:hint="eastAsia" w:ascii="宋体" w:hAnsi="宋体" w:cs="宋体"/>
                <w:szCs w:val="21"/>
                <w:highlight w:val="none"/>
              </w:rPr>
              <w:t>用户需求响应一览表</w:t>
            </w:r>
          </w:p>
        </w:tc>
        <w:tc>
          <w:tcPr>
            <w:tcW w:w="627" w:type="dxa"/>
            <w:shd w:val="clear" w:color="auto" w:fill="auto"/>
            <w:vAlign w:val="center"/>
          </w:tcPr>
          <w:p w14:paraId="5165FB03">
            <w:pPr>
              <w:jc w:val="center"/>
              <w:rPr>
                <w:rFonts w:ascii="宋体" w:hAnsi="宋体" w:cs="宋体"/>
                <w:szCs w:val="21"/>
                <w:highlight w:val="none"/>
              </w:rPr>
            </w:pPr>
          </w:p>
        </w:tc>
        <w:tc>
          <w:tcPr>
            <w:tcW w:w="594" w:type="dxa"/>
            <w:shd w:val="clear" w:color="auto" w:fill="auto"/>
            <w:vAlign w:val="center"/>
          </w:tcPr>
          <w:p w14:paraId="491ABB98">
            <w:pPr>
              <w:jc w:val="center"/>
              <w:rPr>
                <w:rFonts w:ascii="宋体" w:hAnsi="宋体" w:cs="宋体"/>
                <w:szCs w:val="21"/>
                <w:highlight w:val="none"/>
              </w:rPr>
            </w:pPr>
          </w:p>
        </w:tc>
        <w:tc>
          <w:tcPr>
            <w:tcW w:w="727" w:type="dxa"/>
            <w:shd w:val="clear" w:color="auto" w:fill="EEECE1"/>
            <w:vAlign w:val="center"/>
          </w:tcPr>
          <w:p w14:paraId="6EF75B85">
            <w:pPr>
              <w:jc w:val="center"/>
              <w:rPr>
                <w:rFonts w:ascii="宋体" w:hAnsi="宋体" w:cs="宋体"/>
                <w:szCs w:val="21"/>
                <w:highlight w:val="none"/>
              </w:rPr>
            </w:pPr>
          </w:p>
        </w:tc>
        <w:tc>
          <w:tcPr>
            <w:tcW w:w="728" w:type="dxa"/>
            <w:shd w:val="clear" w:color="auto" w:fill="EEECE1"/>
            <w:vAlign w:val="center"/>
          </w:tcPr>
          <w:p w14:paraId="15DDFD15">
            <w:pPr>
              <w:jc w:val="center"/>
              <w:rPr>
                <w:rFonts w:ascii="宋体" w:hAnsi="宋体" w:cs="宋体"/>
                <w:szCs w:val="21"/>
                <w:highlight w:val="none"/>
              </w:rPr>
            </w:pPr>
          </w:p>
        </w:tc>
      </w:tr>
      <w:tr w14:paraId="0FDF5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14:paraId="0A78C55F">
            <w:pPr>
              <w:ind w:left="113" w:right="113"/>
              <w:jc w:val="center"/>
              <w:rPr>
                <w:rFonts w:ascii="宋体" w:hAnsi="宋体" w:cs="宋体"/>
                <w:szCs w:val="21"/>
                <w:highlight w:val="none"/>
              </w:rPr>
            </w:pPr>
          </w:p>
        </w:tc>
        <w:tc>
          <w:tcPr>
            <w:tcW w:w="547" w:type="dxa"/>
            <w:shd w:val="clear" w:color="auto" w:fill="auto"/>
            <w:vAlign w:val="center"/>
          </w:tcPr>
          <w:p w14:paraId="1803B487">
            <w:pPr>
              <w:numPr>
                <w:ilvl w:val="0"/>
                <w:numId w:val="36"/>
              </w:numPr>
              <w:jc w:val="center"/>
              <w:rPr>
                <w:rFonts w:ascii="宋体" w:hAnsi="宋体" w:cs="宋体"/>
                <w:szCs w:val="21"/>
                <w:highlight w:val="none"/>
              </w:rPr>
            </w:pPr>
          </w:p>
        </w:tc>
        <w:tc>
          <w:tcPr>
            <w:tcW w:w="4584" w:type="dxa"/>
            <w:shd w:val="clear" w:color="auto" w:fill="auto"/>
            <w:vAlign w:val="center"/>
          </w:tcPr>
          <w:p w14:paraId="2A3739EA">
            <w:pPr>
              <w:rPr>
                <w:rFonts w:hAnsi="宋体"/>
                <w:highlight w:val="none"/>
              </w:rPr>
            </w:pPr>
            <w:r>
              <w:rPr>
                <w:rFonts w:hint="eastAsia"/>
                <w:highlight w:val="none"/>
              </w:rPr>
              <w:t>投标人综合实力</w:t>
            </w:r>
          </w:p>
        </w:tc>
        <w:tc>
          <w:tcPr>
            <w:tcW w:w="627" w:type="dxa"/>
            <w:shd w:val="clear" w:color="auto" w:fill="auto"/>
            <w:vAlign w:val="center"/>
          </w:tcPr>
          <w:p w14:paraId="23471FD9">
            <w:pPr>
              <w:jc w:val="center"/>
              <w:rPr>
                <w:rFonts w:ascii="宋体" w:hAnsi="宋体" w:cs="宋体"/>
                <w:szCs w:val="21"/>
                <w:highlight w:val="none"/>
              </w:rPr>
            </w:pPr>
          </w:p>
        </w:tc>
        <w:tc>
          <w:tcPr>
            <w:tcW w:w="594" w:type="dxa"/>
            <w:shd w:val="clear" w:color="auto" w:fill="auto"/>
            <w:vAlign w:val="center"/>
          </w:tcPr>
          <w:p w14:paraId="3B7C573B">
            <w:pPr>
              <w:jc w:val="center"/>
              <w:rPr>
                <w:rFonts w:ascii="宋体" w:hAnsi="宋体" w:cs="宋体"/>
                <w:szCs w:val="21"/>
                <w:highlight w:val="none"/>
              </w:rPr>
            </w:pPr>
          </w:p>
        </w:tc>
        <w:tc>
          <w:tcPr>
            <w:tcW w:w="727" w:type="dxa"/>
            <w:shd w:val="clear" w:color="auto" w:fill="EEECE1"/>
            <w:vAlign w:val="center"/>
          </w:tcPr>
          <w:p w14:paraId="24691127">
            <w:pPr>
              <w:jc w:val="center"/>
              <w:rPr>
                <w:rFonts w:ascii="宋体" w:hAnsi="宋体" w:cs="宋体"/>
                <w:szCs w:val="21"/>
                <w:highlight w:val="none"/>
              </w:rPr>
            </w:pPr>
          </w:p>
        </w:tc>
        <w:tc>
          <w:tcPr>
            <w:tcW w:w="728" w:type="dxa"/>
            <w:shd w:val="clear" w:color="auto" w:fill="EEECE1"/>
            <w:vAlign w:val="center"/>
          </w:tcPr>
          <w:p w14:paraId="01C910D6">
            <w:pPr>
              <w:jc w:val="center"/>
              <w:rPr>
                <w:rFonts w:ascii="宋体" w:hAnsi="宋体" w:cs="宋体"/>
                <w:szCs w:val="21"/>
                <w:highlight w:val="none"/>
              </w:rPr>
            </w:pPr>
          </w:p>
        </w:tc>
      </w:tr>
      <w:tr w14:paraId="00F73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14:paraId="61470F7C">
            <w:pPr>
              <w:ind w:left="113" w:right="113"/>
              <w:jc w:val="center"/>
              <w:rPr>
                <w:rFonts w:ascii="宋体" w:hAnsi="宋体" w:cs="宋体"/>
                <w:szCs w:val="21"/>
                <w:highlight w:val="none"/>
              </w:rPr>
            </w:pPr>
          </w:p>
        </w:tc>
        <w:tc>
          <w:tcPr>
            <w:tcW w:w="547" w:type="dxa"/>
            <w:shd w:val="clear" w:color="auto" w:fill="auto"/>
            <w:vAlign w:val="center"/>
          </w:tcPr>
          <w:p w14:paraId="1B4C6020">
            <w:pPr>
              <w:numPr>
                <w:ilvl w:val="0"/>
                <w:numId w:val="36"/>
              </w:numPr>
              <w:jc w:val="center"/>
              <w:rPr>
                <w:rFonts w:ascii="宋体" w:hAnsi="宋体" w:cs="宋体"/>
                <w:szCs w:val="21"/>
                <w:highlight w:val="none"/>
              </w:rPr>
            </w:pPr>
          </w:p>
        </w:tc>
        <w:tc>
          <w:tcPr>
            <w:tcW w:w="4584" w:type="dxa"/>
            <w:shd w:val="clear" w:color="auto" w:fill="auto"/>
            <w:vAlign w:val="center"/>
          </w:tcPr>
          <w:p w14:paraId="4CB90C59">
            <w:pPr>
              <w:rPr>
                <w:rFonts w:hAnsi="宋体" w:cs="宋体"/>
                <w:highlight w:val="none"/>
              </w:rPr>
            </w:pPr>
            <w:r>
              <w:rPr>
                <w:rFonts w:hint="eastAsia"/>
                <w:highlight w:val="none"/>
              </w:rPr>
              <w:t>投标人服务能力</w:t>
            </w:r>
          </w:p>
        </w:tc>
        <w:tc>
          <w:tcPr>
            <w:tcW w:w="627" w:type="dxa"/>
            <w:shd w:val="clear" w:color="auto" w:fill="auto"/>
            <w:vAlign w:val="center"/>
          </w:tcPr>
          <w:p w14:paraId="1D328C84">
            <w:pPr>
              <w:jc w:val="center"/>
              <w:rPr>
                <w:rFonts w:ascii="宋体" w:hAnsi="宋体" w:cs="宋体"/>
                <w:szCs w:val="21"/>
                <w:highlight w:val="none"/>
              </w:rPr>
            </w:pPr>
          </w:p>
        </w:tc>
        <w:tc>
          <w:tcPr>
            <w:tcW w:w="594" w:type="dxa"/>
            <w:shd w:val="clear" w:color="auto" w:fill="auto"/>
            <w:vAlign w:val="center"/>
          </w:tcPr>
          <w:p w14:paraId="38DCD9B6">
            <w:pPr>
              <w:jc w:val="center"/>
              <w:rPr>
                <w:rFonts w:ascii="宋体" w:hAnsi="宋体" w:cs="宋体"/>
                <w:szCs w:val="21"/>
                <w:highlight w:val="none"/>
              </w:rPr>
            </w:pPr>
          </w:p>
        </w:tc>
        <w:tc>
          <w:tcPr>
            <w:tcW w:w="727" w:type="dxa"/>
            <w:shd w:val="clear" w:color="auto" w:fill="EEECE1"/>
            <w:vAlign w:val="center"/>
          </w:tcPr>
          <w:p w14:paraId="667DDB94">
            <w:pPr>
              <w:jc w:val="center"/>
              <w:rPr>
                <w:rFonts w:ascii="宋体" w:hAnsi="宋体" w:cs="宋体"/>
                <w:szCs w:val="21"/>
                <w:highlight w:val="none"/>
              </w:rPr>
            </w:pPr>
          </w:p>
        </w:tc>
        <w:tc>
          <w:tcPr>
            <w:tcW w:w="728" w:type="dxa"/>
            <w:shd w:val="clear" w:color="auto" w:fill="EEECE1"/>
            <w:vAlign w:val="center"/>
          </w:tcPr>
          <w:p w14:paraId="73EAED53">
            <w:pPr>
              <w:jc w:val="center"/>
              <w:rPr>
                <w:rFonts w:ascii="宋体" w:hAnsi="宋体" w:cs="宋体"/>
                <w:szCs w:val="21"/>
                <w:highlight w:val="none"/>
              </w:rPr>
            </w:pPr>
          </w:p>
        </w:tc>
      </w:tr>
      <w:tr w14:paraId="48192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right"/>
        </w:trPr>
        <w:tc>
          <w:tcPr>
            <w:tcW w:w="1727" w:type="dxa"/>
            <w:vMerge w:val="continue"/>
            <w:shd w:val="clear" w:color="auto" w:fill="auto"/>
            <w:vAlign w:val="center"/>
          </w:tcPr>
          <w:p w14:paraId="0DD43926">
            <w:pPr>
              <w:jc w:val="center"/>
              <w:rPr>
                <w:rFonts w:ascii="宋体" w:hAnsi="宋体" w:cs="宋体"/>
                <w:szCs w:val="21"/>
                <w:highlight w:val="none"/>
              </w:rPr>
            </w:pPr>
          </w:p>
        </w:tc>
        <w:tc>
          <w:tcPr>
            <w:tcW w:w="547" w:type="dxa"/>
            <w:shd w:val="clear" w:color="auto" w:fill="auto"/>
            <w:vAlign w:val="center"/>
          </w:tcPr>
          <w:p w14:paraId="51A91CD3">
            <w:pPr>
              <w:numPr>
                <w:ilvl w:val="0"/>
                <w:numId w:val="36"/>
              </w:numPr>
              <w:jc w:val="center"/>
              <w:rPr>
                <w:rFonts w:ascii="宋体" w:hAnsi="宋体" w:cs="宋体"/>
                <w:szCs w:val="21"/>
                <w:highlight w:val="none"/>
              </w:rPr>
            </w:pPr>
          </w:p>
        </w:tc>
        <w:tc>
          <w:tcPr>
            <w:tcW w:w="4584" w:type="dxa"/>
            <w:shd w:val="clear" w:color="auto" w:fill="auto"/>
            <w:vAlign w:val="center"/>
          </w:tcPr>
          <w:p w14:paraId="3311CE4B">
            <w:pPr>
              <w:jc w:val="left"/>
              <w:textAlignment w:val="baseline"/>
              <w:rPr>
                <w:rFonts w:ascii="宋体" w:hAnsi="宋体" w:cs="宋体"/>
                <w:szCs w:val="21"/>
                <w:highlight w:val="none"/>
              </w:rPr>
            </w:pPr>
            <w:r>
              <w:rPr>
                <w:rFonts w:hint="eastAsia"/>
                <w:highlight w:val="none"/>
              </w:rPr>
              <w:t>合作支持</w:t>
            </w:r>
          </w:p>
        </w:tc>
        <w:tc>
          <w:tcPr>
            <w:tcW w:w="627" w:type="dxa"/>
            <w:shd w:val="clear" w:color="auto" w:fill="auto"/>
            <w:vAlign w:val="center"/>
          </w:tcPr>
          <w:p w14:paraId="182AF5BC">
            <w:pPr>
              <w:jc w:val="center"/>
              <w:rPr>
                <w:rFonts w:ascii="宋体" w:hAnsi="宋体" w:cs="宋体"/>
                <w:szCs w:val="21"/>
                <w:highlight w:val="none"/>
              </w:rPr>
            </w:pPr>
          </w:p>
        </w:tc>
        <w:tc>
          <w:tcPr>
            <w:tcW w:w="594" w:type="dxa"/>
            <w:shd w:val="clear" w:color="auto" w:fill="auto"/>
            <w:vAlign w:val="center"/>
          </w:tcPr>
          <w:p w14:paraId="0081C0AB">
            <w:pPr>
              <w:jc w:val="center"/>
              <w:rPr>
                <w:rFonts w:ascii="宋体" w:hAnsi="宋体" w:cs="宋体"/>
                <w:szCs w:val="21"/>
                <w:highlight w:val="none"/>
              </w:rPr>
            </w:pPr>
          </w:p>
        </w:tc>
        <w:tc>
          <w:tcPr>
            <w:tcW w:w="727" w:type="dxa"/>
            <w:shd w:val="clear" w:color="auto" w:fill="EEECE1"/>
            <w:vAlign w:val="center"/>
          </w:tcPr>
          <w:p w14:paraId="6F40A13E">
            <w:pPr>
              <w:jc w:val="center"/>
              <w:rPr>
                <w:rFonts w:ascii="宋体" w:hAnsi="宋体" w:cs="宋体"/>
                <w:szCs w:val="21"/>
                <w:highlight w:val="none"/>
              </w:rPr>
            </w:pPr>
          </w:p>
        </w:tc>
        <w:tc>
          <w:tcPr>
            <w:tcW w:w="728" w:type="dxa"/>
            <w:shd w:val="clear" w:color="auto" w:fill="EEECE1"/>
            <w:vAlign w:val="center"/>
          </w:tcPr>
          <w:p w14:paraId="7A7CC83E">
            <w:pPr>
              <w:jc w:val="center"/>
              <w:rPr>
                <w:rFonts w:ascii="宋体" w:hAnsi="宋体" w:cs="宋体"/>
                <w:szCs w:val="21"/>
                <w:highlight w:val="none"/>
              </w:rPr>
            </w:pPr>
          </w:p>
        </w:tc>
      </w:tr>
      <w:tr w14:paraId="47F17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14:paraId="09BEA00E">
            <w:pPr>
              <w:jc w:val="center"/>
              <w:rPr>
                <w:rFonts w:ascii="宋体" w:hAnsi="宋体" w:cs="宋体"/>
                <w:szCs w:val="21"/>
                <w:highlight w:val="none"/>
              </w:rPr>
            </w:pPr>
          </w:p>
        </w:tc>
        <w:tc>
          <w:tcPr>
            <w:tcW w:w="547" w:type="dxa"/>
            <w:shd w:val="clear" w:color="auto" w:fill="auto"/>
            <w:vAlign w:val="center"/>
          </w:tcPr>
          <w:p w14:paraId="253D8C1B">
            <w:pPr>
              <w:numPr>
                <w:ilvl w:val="0"/>
                <w:numId w:val="36"/>
              </w:numPr>
              <w:jc w:val="center"/>
              <w:rPr>
                <w:rFonts w:ascii="宋体" w:hAnsi="宋体" w:cs="宋体"/>
                <w:szCs w:val="21"/>
                <w:highlight w:val="none"/>
              </w:rPr>
            </w:pPr>
          </w:p>
        </w:tc>
        <w:tc>
          <w:tcPr>
            <w:tcW w:w="4584" w:type="dxa"/>
            <w:shd w:val="clear" w:color="auto" w:fill="auto"/>
            <w:vAlign w:val="center"/>
          </w:tcPr>
          <w:p w14:paraId="23F821A6">
            <w:pPr>
              <w:rPr>
                <w:rFonts w:ascii="宋体" w:hAnsi="宋体" w:cs="宋体"/>
                <w:szCs w:val="21"/>
                <w:highlight w:val="none"/>
              </w:rPr>
            </w:pPr>
            <w:r>
              <w:rPr>
                <w:rFonts w:hint="eastAsia" w:ascii="宋体" w:hAnsi="宋体" w:cs="宋体"/>
                <w:szCs w:val="21"/>
                <w:highlight w:val="none"/>
              </w:rPr>
              <w:t>投标人基本情况表</w:t>
            </w:r>
          </w:p>
        </w:tc>
        <w:tc>
          <w:tcPr>
            <w:tcW w:w="627" w:type="dxa"/>
            <w:shd w:val="clear" w:color="auto" w:fill="auto"/>
            <w:vAlign w:val="center"/>
          </w:tcPr>
          <w:p w14:paraId="55744C3B">
            <w:pPr>
              <w:jc w:val="center"/>
              <w:rPr>
                <w:rFonts w:ascii="宋体" w:hAnsi="宋体" w:cs="宋体"/>
                <w:szCs w:val="21"/>
                <w:highlight w:val="none"/>
              </w:rPr>
            </w:pPr>
          </w:p>
        </w:tc>
        <w:tc>
          <w:tcPr>
            <w:tcW w:w="594" w:type="dxa"/>
            <w:shd w:val="clear" w:color="auto" w:fill="auto"/>
            <w:vAlign w:val="center"/>
          </w:tcPr>
          <w:p w14:paraId="0F1ED6C5">
            <w:pPr>
              <w:jc w:val="center"/>
              <w:rPr>
                <w:rFonts w:ascii="宋体" w:hAnsi="宋体" w:cs="宋体"/>
                <w:szCs w:val="21"/>
                <w:highlight w:val="none"/>
              </w:rPr>
            </w:pPr>
          </w:p>
        </w:tc>
        <w:tc>
          <w:tcPr>
            <w:tcW w:w="727" w:type="dxa"/>
            <w:shd w:val="clear" w:color="auto" w:fill="EEECE1"/>
            <w:vAlign w:val="center"/>
          </w:tcPr>
          <w:p w14:paraId="0230E228">
            <w:pPr>
              <w:jc w:val="center"/>
              <w:rPr>
                <w:rFonts w:ascii="宋体" w:hAnsi="宋体" w:cs="宋体"/>
                <w:szCs w:val="21"/>
                <w:highlight w:val="none"/>
              </w:rPr>
            </w:pPr>
          </w:p>
        </w:tc>
        <w:tc>
          <w:tcPr>
            <w:tcW w:w="728" w:type="dxa"/>
            <w:shd w:val="clear" w:color="auto" w:fill="EEECE1"/>
            <w:vAlign w:val="center"/>
          </w:tcPr>
          <w:p w14:paraId="1779760F">
            <w:pPr>
              <w:jc w:val="center"/>
              <w:rPr>
                <w:rFonts w:ascii="宋体" w:hAnsi="宋体" w:cs="宋体"/>
                <w:szCs w:val="21"/>
                <w:highlight w:val="none"/>
              </w:rPr>
            </w:pPr>
          </w:p>
        </w:tc>
      </w:tr>
      <w:tr w14:paraId="49D35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14:paraId="29AFB74C">
            <w:pPr>
              <w:jc w:val="center"/>
              <w:rPr>
                <w:rFonts w:ascii="宋体" w:hAnsi="宋体" w:cs="宋体"/>
                <w:szCs w:val="21"/>
                <w:highlight w:val="none"/>
              </w:rPr>
            </w:pPr>
          </w:p>
        </w:tc>
        <w:tc>
          <w:tcPr>
            <w:tcW w:w="547" w:type="dxa"/>
            <w:shd w:val="clear" w:color="auto" w:fill="auto"/>
            <w:vAlign w:val="center"/>
          </w:tcPr>
          <w:p w14:paraId="4F8C3F13">
            <w:pPr>
              <w:numPr>
                <w:ilvl w:val="0"/>
                <w:numId w:val="36"/>
              </w:numPr>
              <w:jc w:val="center"/>
              <w:rPr>
                <w:rFonts w:ascii="宋体" w:hAnsi="宋体" w:cs="宋体"/>
                <w:szCs w:val="21"/>
                <w:highlight w:val="none"/>
              </w:rPr>
            </w:pPr>
          </w:p>
        </w:tc>
        <w:tc>
          <w:tcPr>
            <w:tcW w:w="4584" w:type="dxa"/>
            <w:shd w:val="clear" w:color="auto" w:fill="auto"/>
            <w:vAlign w:val="center"/>
          </w:tcPr>
          <w:p w14:paraId="51A8C3BE">
            <w:pPr>
              <w:rPr>
                <w:rFonts w:ascii="宋体" w:hAnsi="宋体" w:cs="宋体"/>
                <w:szCs w:val="21"/>
                <w:highlight w:val="none"/>
              </w:rPr>
            </w:pPr>
            <w:r>
              <w:rPr>
                <w:rFonts w:hint="eastAsia" w:ascii="宋体" w:hAnsi="宋体" w:cs="宋体"/>
                <w:szCs w:val="21"/>
                <w:highlight w:val="none"/>
              </w:rPr>
              <w:t>招标代理服务费承诺书</w:t>
            </w:r>
          </w:p>
        </w:tc>
        <w:tc>
          <w:tcPr>
            <w:tcW w:w="627" w:type="dxa"/>
            <w:shd w:val="clear" w:color="auto" w:fill="auto"/>
            <w:vAlign w:val="center"/>
          </w:tcPr>
          <w:p w14:paraId="518E3C3D">
            <w:pPr>
              <w:jc w:val="center"/>
              <w:rPr>
                <w:rFonts w:ascii="宋体" w:hAnsi="宋体" w:cs="宋体"/>
                <w:szCs w:val="21"/>
                <w:highlight w:val="none"/>
              </w:rPr>
            </w:pPr>
          </w:p>
        </w:tc>
        <w:tc>
          <w:tcPr>
            <w:tcW w:w="594" w:type="dxa"/>
            <w:shd w:val="clear" w:color="auto" w:fill="auto"/>
            <w:vAlign w:val="center"/>
          </w:tcPr>
          <w:p w14:paraId="371ABA61">
            <w:pPr>
              <w:jc w:val="center"/>
              <w:rPr>
                <w:rFonts w:ascii="宋体" w:hAnsi="宋体" w:cs="宋体"/>
                <w:szCs w:val="21"/>
                <w:highlight w:val="none"/>
              </w:rPr>
            </w:pPr>
          </w:p>
        </w:tc>
        <w:tc>
          <w:tcPr>
            <w:tcW w:w="727" w:type="dxa"/>
            <w:shd w:val="clear" w:color="auto" w:fill="EEECE1"/>
            <w:vAlign w:val="center"/>
          </w:tcPr>
          <w:p w14:paraId="0285832F">
            <w:pPr>
              <w:jc w:val="center"/>
              <w:rPr>
                <w:rFonts w:ascii="宋体" w:hAnsi="宋体" w:cs="宋体"/>
                <w:szCs w:val="21"/>
                <w:highlight w:val="none"/>
              </w:rPr>
            </w:pPr>
          </w:p>
        </w:tc>
        <w:tc>
          <w:tcPr>
            <w:tcW w:w="728" w:type="dxa"/>
            <w:shd w:val="clear" w:color="auto" w:fill="EEECE1"/>
            <w:vAlign w:val="center"/>
          </w:tcPr>
          <w:p w14:paraId="72630FC0">
            <w:pPr>
              <w:jc w:val="center"/>
              <w:rPr>
                <w:rFonts w:ascii="宋体" w:hAnsi="宋体" w:cs="宋体"/>
                <w:szCs w:val="21"/>
                <w:highlight w:val="none"/>
              </w:rPr>
            </w:pPr>
          </w:p>
        </w:tc>
      </w:tr>
      <w:tr w14:paraId="729F4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14:paraId="020E41DD">
            <w:pPr>
              <w:jc w:val="center"/>
              <w:rPr>
                <w:rFonts w:ascii="宋体" w:hAnsi="宋体" w:cs="宋体"/>
                <w:szCs w:val="21"/>
                <w:highlight w:val="none"/>
              </w:rPr>
            </w:pPr>
          </w:p>
        </w:tc>
        <w:tc>
          <w:tcPr>
            <w:tcW w:w="547" w:type="dxa"/>
            <w:shd w:val="clear" w:color="auto" w:fill="auto"/>
            <w:vAlign w:val="center"/>
          </w:tcPr>
          <w:p w14:paraId="2F64CE8D">
            <w:pPr>
              <w:numPr>
                <w:ilvl w:val="0"/>
                <w:numId w:val="36"/>
              </w:numPr>
              <w:jc w:val="center"/>
              <w:rPr>
                <w:rFonts w:ascii="宋体" w:hAnsi="宋体" w:cs="宋体"/>
                <w:szCs w:val="21"/>
                <w:highlight w:val="none"/>
              </w:rPr>
            </w:pPr>
          </w:p>
        </w:tc>
        <w:tc>
          <w:tcPr>
            <w:tcW w:w="4584" w:type="dxa"/>
            <w:shd w:val="clear" w:color="auto" w:fill="auto"/>
            <w:vAlign w:val="center"/>
          </w:tcPr>
          <w:p w14:paraId="0949540C">
            <w:pPr>
              <w:jc w:val="left"/>
              <w:textAlignment w:val="baseline"/>
              <w:rPr>
                <w:rFonts w:ascii="宋体" w:hAnsi="宋体" w:cs="宋体"/>
                <w:kern w:val="0"/>
                <w:szCs w:val="21"/>
                <w:highlight w:val="none"/>
              </w:rPr>
            </w:pPr>
            <w:r>
              <w:rPr>
                <w:rFonts w:hint="eastAsia" w:ascii="宋体" w:hAnsi="宋体"/>
                <w:bCs/>
                <w:szCs w:val="21"/>
                <w:highlight w:val="none"/>
              </w:rPr>
              <w:t>企业采购保证金退付委托书</w:t>
            </w:r>
          </w:p>
        </w:tc>
        <w:tc>
          <w:tcPr>
            <w:tcW w:w="627" w:type="dxa"/>
            <w:shd w:val="clear" w:color="auto" w:fill="auto"/>
            <w:vAlign w:val="center"/>
          </w:tcPr>
          <w:p w14:paraId="553EE8CC">
            <w:pPr>
              <w:jc w:val="center"/>
              <w:rPr>
                <w:rFonts w:ascii="宋体" w:hAnsi="宋体" w:cs="宋体"/>
                <w:szCs w:val="21"/>
                <w:highlight w:val="none"/>
              </w:rPr>
            </w:pPr>
          </w:p>
        </w:tc>
        <w:tc>
          <w:tcPr>
            <w:tcW w:w="594" w:type="dxa"/>
            <w:shd w:val="clear" w:color="auto" w:fill="auto"/>
            <w:vAlign w:val="center"/>
          </w:tcPr>
          <w:p w14:paraId="72ACF9DA">
            <w:pPr>
              <w:jc w:val="center"/>
              <w:rPr>
                <w:rFonts w:ascii="宋体" w:hAnsi="宋体" w:cs="宋体"/>
                <w:szCs w:val="21"/>
                <w:highlight w:val="none"/>
              </w:rPr>
            </w:pPr>
          </w:p>
        </w:tc>
        <w:tc>
          <w:tcPr>
            <w:tcW w:w="727" w:type="dxa"/>
            <w:shd w:val="clear" w:color="auto" w:fill="EEECE1"/>
            <w:vAlign w:val="center"/>
          </w:tcPr>
          <w:p w14:paraId="02CE98ED">
            <w:pPr>
              <w:jc w:val="center"/>
              <w:rPr>
                <w:rFonts w:ascii="宋体" w:hAnsi="宋体" w:cs="宋体"/>
                <w:szCs w:val="21"/>
                <w:highlight w:val="none"/>
              </w:rPr>
            </w:pPr>
          </w:p>
        </w:tc>
        <w:tc>
          <w:tcPr>
            <w:tcW w:w="728" w:type="dxa"/>
            <w:shd w:val="clear" w:color="auto" w:fill="EEECE1"/>
            <w:vAlign w:val="center"/>
          </w:tcPr>
          <w:p w14:paraId="3C2709D2">
            <w:pPr>
              <w:jc w:val="center"/>
              <w:rPr>
                <w:rFonts w:ascii="宋体" w:hAnsi="宋体" w:cs="宋体"/>
                <w:szCs w:val="21"/>
                <w:highlight w:val="none"/>
              </w:rPr>
            </w:pPr>
          </w:p>
        </w:tc>
      </w:tr>
      <w:tr w14:paraId="7131C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14:paraId="5614D28A">
            <w:pPr>
              <w:jc w:val="center"/>
              <w:rPr>
                <w:rFonts w:ascii="宋体" w:hAnsi="宋体" w:cs="宋体"/>
                <w:szCs w:val="21"/>
                <w:highlight w:val="none"/>
              </w:rPr>
            </w:pPr>
          </w:p>
        </w:tc>
        <w:tc>
          <w:tcPr>
            <w:tcW w:w="547" w:type="dxa"/>
            <w:shd w:val="clear" w:color="auto" w:fill="auto"/>
            <w:vAlign w:val="center"/>
          </w:tcPr>
          <w:p w14:paraId="3060808A">
            <w:pPr>
              <w:numPr>
                <w:ilvl w:val="0"/>
                <w:numId w:val="36"/>
              </w:numPr>
              <w:jc w:val="center"/>
              <w:rPr>
                <w:rFonts w:ascii="宋体" w:hAnsi="宋体" w:cs="宋体"/>
                <w:szCs w:val="21"/>
                <w:highlight w:val="none"/>
              </w:rPr>
            </w:pPr>
          </w:p>
        </w:tc>
        <w:tc>
          <w:tcPr>
            <w:tcW w:w="4584" w:type="dxa"/>
            <w:shd w:val="clear" w:color="auto" w:fill="auto"/>
            <w:vAlign w:val="center"/>
          </w:tcPr>
          <w:p w14:paraId="07138609">
            <w:pPr>
              <w:jc w:val="left"/>
              <w:textAlignment w:val="baseline"/>
              <w:rPr>
                <w:rFonts w:ascii="宋体" w:hAnsi="宋体" w:cs="宋体"/>
                <w:kern w:val="0"/>
                <w:szCs w:val="21"/>
                <w:highlight w:val="none"/>
              </w:rPr>
            </w:pPr>
            <w:r>
              <w:rPr>
                <w:rFonts w:hint="eastAsia" w:ascii="宋体" w:hAnsi="宋体"/>
                <w:szCs w:val="21"/>
                <w:highlight w:val="none"/>
              </w:rPr>
              <w:t>投标保证金递交证明文件</w:t>
            </w:r>
          </w:p>
        </w:tc>
        <w:tc>
          <w:tcPr>
            <w:tcW w:w="627" w:type="dxa"/>
            <w:shd w:val="clear" w:color="auto" w:fill="auto"/>
            <w:vAlign w:val="center"/>
          </w:tcPr>
          <w:p w14:paraId="03CA1930">
            <w:pPr>
              <w:jc w:val="center"/>
              <w:rPr>
                <w:rFonts w:ascii="宋体" w:hAnsi="宋体" w:cs="宋体"/>
                <w:szCs w:val="21"/>
                <w:highlight w:val="none"/>
              </w:rPr>
            </w:pPr>
          </w:p>
        </w:tc>
        <w:tc>
          <w:tcPr>
            <w:tcW w:w="594" w:type="dxa"/>
            <w:shd w:val="clear" w:color="auto" w:fill="auto"/>
            <w:vAlign w:val="center"/>
          </w:tcPr>
          <w:p w14:paraId="7E663C0D">
            <w:pPr>
              <w:jc w:val="center"/>
              <w:rPr>
                <w:rFonts w:ascii="宋体" w:hAnsi="宋体" w:cs="宋体"/>
                <w:szCs w:val="21"/>
                <w:highlight w:val="none"/>
              </w:rPr>
            </w:pPr>
          </w:p>
        </w:tc>
        <w:tc>
          <w:tcPr>
            <w:tcW w:w="727" w:type="dxa"/>
            <w:shd w:val="clear" w:color="auto" w:fill="EEECE1"/>
            <w:vAlign w:val="center"/>
          </w:tcPr>
          <w:p w14:paraId="61734927">
            <w:pPr>
              <w:jc w:val="center"/>
              <w:rPr>
                <w:rFonts w:ascii="宋体" w:hAnsi="宋体" w:cs="宋体"/>
                <w:szCs w:val="21"/>
                <w:highlight w:val="none"/>
              </w:rPr>
            </w:pPr>
          </w:p>
        </w:tc>
        <w:tc>
          <w:tcPr>
            <w:tcW w:w="728" w:type="dxa"/>
            <w:shd w:val="clear" w:color="auto" w:fill="EEECE1"/>
            <w:vAlign w:val="center"/>
          </w:tcPr>
          <w:p w14:paraId="27BC8E0F">
            <w:pPr>
              <w:jc w:val="center"/>
              <w:rPr>
                <w:rFonts w:ascii="宋体" w:hAnsi="宋体" w:cs="宋体"/>
                <w:szCs w:val="21"/>
                <w:highlight w:val="none"/>
              </w:rPr>
            </w:pPr>
          </w:p>
        </w:tc>
      </w:tr>
      <w:tr w14:paraId="7177A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14:paraId="5AE35215">
            <w:pPr>
              <w:jc w:val="center"/>
              <w:rPr>
                <w:rFonts w:ascii="宋体" w:hAnsi="宋体" w:cs="宋体"/>
                <w:szCs w:val="21"/>
                <w:highlight w:val="none"/>
              </w:rPr>
            </w:pPr>
          </w:p>
        </w:tc>
        <w:tc>
          <w:tcPr>
            <w:tcW w:w="547" w:type="dxa"/>
            <w:shd w:val="clear" w:color="auto" w:fill="auto"/>
            <w:vAlign w:val="center"/>
          </w:tcPr>
          <w:p w14:paraId="369AFECA">
            <w:pPr>
              <w:numPr>
                <w:ilvl w:val="0"/>
                <w:numId w:val="36"/>
              </w:numPr>
              <w:jc w:val="center"/>
              <w:rPr>
                <w:rFonts w:ascii="宋体" w:hAnsi="宋体" w:cs="宋体"/>
                <w:szCs w:val="21"/>
                <w:highlight w:val="none"/>
              </w:rPr>
            </w:pPr>
          </w:p>
        </w:tc>
        <w:tc>
          <w:tcPr>
            <w:tcW w:w="4584" w:type="dxa"/>
            <w:shd w:val="clear" w:color="auto" w:fill="auto"/>
            <w:vAlign w:val="center"/>
          </w:tcPr>
          <w:p w14:paraId="0FEDACB7">
            <w:pPr>
              <w:jc w:val="left"/>
              <w:textAlignment w:val="baseline"/>
              <w:rPr>
                <w:rFonts w:ascii="宋体" w:hAnsi="宋体" w:cs="宋体"/>
                <w:kern w:val="0"/>
                <w:szCs w:val="21"/>
                <w:highlight w:val="none"/>
              </w:rPr>
            </w:pPr>
            <w:r>
              <w:rPr>
                <w:rFonts w:hint="eastAsia" w:ascii="宋体" w:hAnsi="宋体" w:cs="宋体"/>
                <w:kern w:val="0"/>
                <w:szCs w:val="21"/>
                <w:highlight w:val="none"/>
              </w:rPr>
              <w:t>投标人认为需要提供的其他资料</w:t>
            </w:r>
          </w:p>
        </w:tc>
        <w:tc>
          <w:tcPr>
            <w:tcW w:w="627" w:type="dxa"/>
            <w:shd w:val="clear" w:color="auto" w:fill="auto"/>
            <w:vAlign w:val="center"/>
          </w:tcPr>
          <w:p w14:paraId="45389E25">
            <w:pPr>
              <w:jc w:val="center"/>
              <w:rPr>
                <w:rFonts w:ascii="宋体" w:hAnsi="宋体" w:cs="宋体"/>
                <w:szCs w:val="21"/>
                <w:highlight w:val="none"/>
              </w:rPr>
            </w:pPr>
          </w:p>
        </w:tc>
        <w:tc>
          <w:tcPr>
            <w:tcW w:w="594" w:type="dxa"/>
            <w:shd w:val="clear" w:color="auto" w:fill="auto"/>
            <w:vAlign w:val="center"/>
          </w:tcPr>
          <w:p w14:paraId="3B380EFF">
            <w:pPr>
              <w:jc w:val="center"/>
              <w:rPr>
                <w:rFonts w:ascii="宋体" w:hAnsi="宋体" w:cs="宋体"/>
                <w:szCs w:val="21"/>
                <w:highlight w:val="none"/>
              </w:rPr>
            </w:pPr>
          </w:p>
        </w:tc>
        <w:tc>
          <w:tcPr>
            <w:tcW w:w="727" w:type="dxa"/>
            <w:shd w:val="clear" w:color="auto" w:fill="EEECE1"/>
            <w:vAlign w:val="center"/>
          </w:tcPr>
          <w:p w14:paraId="7AD470FE">
            <w:pPr>
              <w:jc w:val="center"/>
              <w:rPr>
                <w:rFonts w:ascii="宋体" w:hAnsi="宋体" w:cs="宋体"/>
                <w:szCs w:val="21"/>
                <w:highlight w:val="none"/>
              </w:rPr>
            </w:pPr>
          </w:p>
        </w:tc>
        <w:tc>
          <w:tcPr>
            <w:tcW w:w="728" w:type="dxa"/>
            <w:shd w:val="clear" w:color="auto" w:fill="EEECE1"/>
            <w:vAlign w:val="center"/>
          </w:tcPr>
          <w:p w14:paraId="228F24EF">
            <w:pPr>
              <w:jc w:val="center"/>
              <w:rPr>
                <w:rFonts w:ascii="宋体" w:hAnsi="宋体" w:cs="宋体"/>
                <w:szCs w:val="21"/>
                <w:highlight w:val="none"/>
              </w:rPr>
            </w:pPr>
          </w:p>
        </w:tc>
      </w:tr>
    </w:tbl>
    <w:p w14:paraId="010F285C">
      <w:pPr>
        <w:spacing w:line="440" w:lineRule="exact"/>
        <w:rPr>
          <w:rFonts w:ascii="宋体" w:hAnsi="宋体" w:cs="宋体"/>
          <w:bCs/>
          <w:szCs w:val="21"/>
          <w:highlight w:val="none"/>
        </w:rPr>
        <w:sectPr>
          <w:pgSz w:w="11906" w:h="16838"/>
          <w:pgMar w:top="1440" w:right="1286" w:bottom="1440" w:left="1440" w:header="851" w:footer="992" w:gutter="0"/>
          <w:cols w:space="720" w:num="1"/>
          <w:docGrid w:type="lines" w:linePitch="312" w:charSpace="0"/>
        </w:sectPr>
      </w:pPr>
    </w:p>
    <w:p w14:paraId="040B167E">
      <w:pPr>
        <w:numPr>
          <w:ilvl w:val="0"/>
          <w:numId w:val="37"/>
        </w:numPr>
        <w:spacing w:line="440" w:lineRule="exact"/>
        <w:rPr>
          <w:rFonts w:ascii="Arial" w:hAnsi="Arial" w:eastAsia="黑体"/>
          <w:b/>
          <w:bCs/>
          <w:sz w:val="32"/>
          <w:szCs w:val="32"/>
          <w:highlight w:val="none"/>
        </w:rPr>
      </w:pPr>
    </w:p>
    <w:p w14:paraId="60425CAF">
      <w:pPr>
        <w:pStyle w:val="4"/>
        <w:adjustRightInd w:val="0"/>
        <w:snapToGrid w:val="0"/>
        <w:spacing w:before="156" w:beforeLines="50" w:after="156" w:afterLines="50" w:line="240" w:lineRule="auto"/>
        <w:jc w:val="center"/>
        <w:rPr>
          <w:b w:val="0"/>
          <w:bCs w:val="0"/>
          <w:highlight w:val="none"/>
        </w:rPr>
      </w:pPr>
      <w:bookmarkStart w:id="406" w:name="_Toc275865605"/>
      <w:r>
        <w:rPr>
          <w:rFonts w:hint="eastAsia"/>
          <w:b w:val="0"/>
          <w:bCs w:val="0"/>
          <w:highlight w:val="none"/>
        </w:rPr>
        <w:t>投  标  函</w:t>
      </w:r>
      <w:bookmarkEnd w:id="406"/>
    </w:p>
    <w:p w14:paraId="3682383E">
      <w:pPr>
        <w:pStyle w:val="4"/>
        <w:adjustRightInd w:val="0"/>
        <w:snapToGrid w:val="0"/>
        <w:spacing w:before="156" w:beforeLines="50" w:after="156" w:afterLines="50" w:line="360" w:lineRule="auto"/>
        <w:jc w:val="center"/>
        <w:rPr>
          <w:b w:val="0"/>
          <w:bCs w:val="0"/>
          <w:sz w:val="24"/>
          <w:szCs w:val="24"/>
          <w:highlight w:val="none"/>
        </w:rPr>
      </w:pPr>
    </w:p>
    <w:p w14:paraId="33A94B19">
      <w:pPr>
        <w:spacing w:line="360" w:lineRule="auto"/>
        <w:ind w:left="105" w:leftChars="50" w:firstLine="2"/>
        <w:rPr>
          <w:rFonts w:ascii="宋体" w:hAnsi="宋体" w:cs="宋体"/>
          <w:b/>
          <w:szCs w:val="21"/>
          <w:highlight w:val="none"/>
        </w:rPr>
      </w:pPr>
      <w:r>
        <w:rPr>
          <w:rFonts w:hint="eastAsia" w:ascii="宋体" w:hAnsi="宋体" w:cs="宋体"/>
          <w:b/>
          <w:szCs w:val="21"/>
          <w:highlight w:val="none"/>
        </w:rPr>
        <w:t>致：广东中采招标有限公司</w:t>
      </w:r>
    </w:p>
    <w:p w14:paraId="3ECDDEE6">
      <w:pPr>
        <w:spacing w:line="360" w:lineRule="auto"/>
        <w:ind w:left="105" w:leftChars="50" w:firstLine="373" w:firstLineChars="178"/>
        <w:rPr>
          <w:rFonts w:ascii="宋体" w:hAnsi="宋体" w:cs="宋体"/>
          <w:szCs w:val="21"/>
          <w:highlight w:val="none"/>
        </w:rPr>
      </w:pPr>
      <w:r>
        <w:rPr>
          <w:rFonts w:hint="eastAsia" w:ascii="宋体" w:hAnsi="宋体" w:cs="宋体"/>
          <w:szCs w:val="21"/>
          <w:highlight w:val="none"/>
        </w:rPr>
        <w:t>我方确认收到贵方</w:t>
      </w:r>
      <w:r>
        <w:rPr>
          <w:rFonts w:hint="eastAsia" w:ascii="宋体" w:hAnsi="宋体" w:cs="宋体"/>
          <w:kern w:val="28"/>
          <w:szCs w:val="21"/>
          <w:highlight w:val="none"/>
          <w:u w:val="single"/>
        </w:rPr>
        <w:t xml:space="preserve">           （项目名称）        </w:t>
      </w:r>
      <w:r>
        <w:rPr>
          <w:rFonts w:hint="eastAsia" w:ascii="宋体" w:hAnsi="宋体" w:cs="宋体"/>
          <w:kern w:val="28"/>
          <w:szCs w:val="21"/>
          <w:highlight w:val="none"/>
        </w:rPr>
        <w:t>采购</w:t>
      </w:r>
      <w:r>
        <w:rPr>
          <w:rFonts w:hint="eastAsia" w:ascii="宋体" w:hAnsi="宋体" w:cs="宋体"/>
          <w:szCs w:val="21"/>
          <w:highlight w:val="none"/>
        </w:rPr>
        <w:t>服务的招标文件（项目编号：GDZC-24GZ166），</w:t>
      </w:r>
      <w:r>
        <w:rPr>
          <w:rFonts w:hint="eastAsia" w:ascii="宋体" w:hAnsi="宋体" w:cs="宋体"/>
          <w:szCs w:val="21"/>
          <w:highlight w:val="none"/>
          <w:u w:val="single"/>
        </w:rPr>
        <w:t xml:space="preserve"> (投标人名称、地址)</w:t>
      </w:r>
      <w:r>
        <w:rPr>
          <w:rFonts w:hint="eastAsia" w:ascii="宋体" w:hAnsi="宋体" w:cs="宋体"/>
          <w:szCs w:val="21"/>
          <w:highlight w:val="none"/>
        </w:rPr>
        <w:t>作为投标人已正式授权</w:t>
      </w:r>
      <w:r>
        <w:rPr>
          <w:rFonts w:hint="eastAsia" w:ascii="宋体" w:hAnsi="宋体" w:cs="宋体"/>
          <w:szCs w:val="21"/>
          <w:highlight w:val="none"/>
          <w:u w:val="single"/>
        </w:rPr>
        <w:t xml:space="preserve"> (被投标人授权代表全名、职务)</w:t>
      </w:r>
      <w:r>
        <w:rPr>
          <w:rFonts w:hint="eastAsia" w:ascii="宋体" w:hAnsi="宋体" w:cs="宋体"/>
          <w:szCs w:val="21"/>
          <w:highlight w:val="none"/>
        </w:rPr>
        <w:t>为我方签名代表，签名代表在此声明并同意：</w:t>
      </w:r>
    </w:p>
    <w:p w14:paraId="77AA59BD">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我们愿意遵守招标代理机构招标文件的各项规定，自愿参加投标，并已清楚招标文件的要求及有关文件规定，并严格按照招标文件的规定履行全部责任和义务。</w:t>
      </w:r>
    </w:p>
    <w:p w14:paraId="79404831">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我们同意本投标自投标截止之日起</w:t>
      </w:r>
      <w:r>
        <w:rPr>
          <w:rFonts w:hint="eastAsia" w:ascii="宋体" w:hAnsi="宋体" w:cs="宋体"/>
          <w:b/>
          <w:szCs w:val="21"/>
          <w:highlight w:val="none"/>
          <w:u w:val="single"/>
        </w:rPr>
        <w:t>90</w:t>
      </w:r>
      <w:r>
        <w:rPr>
          <w:rFonts w:hint="eastAsia" w:ascii="宋体" w:hAnsi="宋体" w:cs="宋体"/>
          <w:b/>
          <w:szCs w:val="21"/>
          <w:highlight w:val="none"/>
        </w:rPr>
        <w:t>天内有效。如果我们的投标被接受，则直至合同生效时止，本投标始终有效并不撤回已递交的投标文件。</w:t>
      </w:r>
    </w:p>
    <w:p w14:paraId="45CD16E8">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我们已经详细地阅读并完全明白了全部招标文件及附件，包括澄清（如有）及参考文件，我们完全理解本招标文件的要求，我们同意放弃对招标文件提出不明或误解的一切权力。</w:t>
      </w:r>
    </w:p>
    <w:p w14:paraId="44C0BE87">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我们同意提供招标采购单位与评标委员会要求的有关投标的一切数据或资料。</w:t>
      </w:r>
    </w:p>
    <w:p w14:paraId="4262E640">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我们理解招标采购单位与评标委员会并无义务必须接受最低报价的投标或其它任何投标，完全理解招标代理机构拒绝迟到的任何投标和最低投标报价不是被授予中标的唯一条件。</w:t>
      </w:r>
    </w:p>
    <w:p w14:paraId="001FFEB6">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 xml:space="preserve">如果我们未对招标文件全部要求作出实质性响应，则完全同意并接受按无效投标处理。 </w:t>
      </w:r>
    </w:p>
    <w:p w14:paraId="77405E06">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2A8CAA63">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如果我们提供的声明或承诺不真实，则完全同意认定为我司提供虚假材料，并同意作相应处理。</w:t>
      </w:r>
    </w:p>
    <w:p w14:paraId="0C4A5861">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我们是依法注册的法人，在法律、财务及运作上完全独立于招标人、用户单位（如有）和招标代理机构。</w:t>
      </w:r>
    </w:p>
    <w:p w14:paraId="21358F5B">
      <w:pPr>
        <w:numPr>
          <w:ilvl w:val="0"/>
          <w:numId w:val="38"/>
        </w:numPr>
        <w:snapToGrid w:val="0"/>
        <w:spacing w:line="360" w:lineRule="auto"/>
        <w:rPr>
          <w:rFonts w:ascii="宋体" w:hAnsi="宋体" w:cs="宋体"/>
          <w:b/>
          <w:szCs w:val="21"/>
          <w:highlight w:val="none"/>
        </w:rPr>
      </w:pPr>
      <w:r>
        <w:rPr>
          <w:rFonts w:hint="eastAsia" w:ascii="宋体" w:hAnsi="宋体" w:cs="宋体"/>
          <w:b/>
          <w:szCs w:val="21"/>
          <w:highlight w:val="none"/>
        </w:rPr>
        <w:t>所有有关本次投标的函电请寄：</w:t>
      </w:r>
      <w:r>
        <w:rPr>
          <w:rFonts w:hint="eastAsia" w:ascii="宋体" w:hAnsi="宋体" w:cs="宋体"/>
          <w:b/>
          <w:szCs w:val="21"/>
          <w:highlight w:val="none"/>
          <w:u w:val="single"/>
        </w:rPr>
        <w:t xml:space="preserve">  （投标人地址）   </w:t>
      </w:r>
    </w:p>
    <w:p w14:paraId="7BD83ED6">
      <w:pPr>
        <w:autoSpaceDE w:val="0"/>
        <w:autoSpaceDN w:val="0"/>
        <w:adjustRightInd w:val="0"/>
        <w:spacing w:line="360" w:lineRule="auto"/>
        <w:ind w:left="420" w:firstLine="310"/>
        <w:rPr>
          <w:rFonts w:ascii="宋体" w:hAnsi="宋体" w:cs="宋体"/>
          <w:b/>
          <w:szCs w:val="21"/>
          <w:highlight w:val="none"/>
        </w:rPr>
      </w:pPr>
      <w:r>
        <w:rPr>
          <w:rFonts w:hint="eastAsia" w:ascii="宋体" w:hAnsi="宋体" w:cs="宋体"/>
          <w:b/>
          <w:szCs w:val="21"/>
          <w:highlight w:val="none"/>
        </w:rPr>
        <w:t>备注：本投标函中承诺的投标有效期应当不少于招标文件中载明的投标有效期，其他</w:t>
      </w:r>
    </w:p>
    <w:p w14:paraId="4E73C720">
      <w:pPr>
        <w:autoSpaceDE w:val="0"/>
        <w:autoSpaceDN w:val="0"/>
        <w:adjustRightInd w:val="0"/>
        <w:spacing w:line="360" w:lineRule="auto"/>
        <w:ind w:left="420" w:firstLine="310"/>
        <w:rPr>
          <w:rFonts w:ascii="宋体" w:hAnsi="宋体" w:cs="宋体"/>
          <w:b/>
          <w:szCs w:val="21"/>
          <w:highlight w:val="none"/>
        </w:rPr>
      </w:pPr>
      <w:r>
        <w:rPr>
          <w:rFonts w:hint="eastAsia" w:ascii="宋体" w:hAnsi="宋体" w:cs="宋体"/>
          <w:b/>
          <w:szCs w:val="21"/>
          <w:highlight w:val="none"/>
        </w:rPr>
        <w:t xml:space="preserve">内容不得擅自删改，否则视为无效投标。 </w:t>
      </w:r>
    </w:p>
    <w:p w14:paraId="71325F25">
      <w:pPr>
        <w:ind w:left="480"/>
        <w:rPr>
          <w:rFonts w:ascii="宋体" w:hAnsi="宋体" w:cs="宋体"/>
          <w:szCs w:val="21"/>
          <w:highlight w:val="none"/>
        </w:rPr>
      </w:pPr>
    </w:p>
    <w:p w14:paraId="41DE3BBD">
      <w:pPr>
        <w:adjustRightInd w:val="0"/>
        <w:snapToGrid w:val="0"/>
        <w:spacing w:line="480" w:lineRule="auto"/>
        <w:ind w:firstLine="420" w:firstLineChars="200"/>
        <w:rPr>
          <w:rFonts w:ascii="宋体" w:hAnsi="宋体" w:cs="宋体"/>
          <w:szCs w:val="21"/>
          <w:highlight w:val="none"/>
          <w:u w:val="single"/>
        </w:rPr>
      </w:pPr>
      <w:r>
        <w:rPr>
          <w:rFonts w:hint="eastAsia" w:ascii="宋体" w:hAnsi="宋体" w:cs="宋体"/>
          <w:szCs w:val="21"/>
          <w:highlight w:val="none"/>
        </w:rPr>
        <w:t>投标人名称（加盖公章）</w:t>
      </w:r>
      <w:r>
        <w:rPr>
          <w:rFonts w:hint="eastAsia" w:ascii="宋体" w:hAnsi="宋体" w:cs="宋体"/>
          <w:spacing w:val="4"/>
          <w:szCs w:val="21"/>
          <w:highlight w:val="none"/>
        </w:rPr>
        <w:t>：</w:t>
      </w:r>
    </w:p>
    <w:p w14:paraId="27708020">
      <w:pPr>
        <w:adjustRightInd w:val="0"/>
        <w:snapToGrid w:val="0"/>
        <w:spacing w:line="480" w:lineRule="auto"/>
        <w:ind w:firstLine="432" w:firstLineChars="206"/>
        <w:rPr>
          <w:rFonts w:ascii="宋体" w:hAnsi="宋体" w:cs="宋体"/>
          <w:spacing w:val="4"/>
          <w:szCs w:val="21"/>
          <w:highlight w:val="none"/>
          <w:u w:val="single"/>
        </w:rPr>
      </w:pPr>
      <w:r>
        <w:rPr>
          <w:rFonts w:hint="eastAsia" w:ascii="宋体" w:hAnsi="宋体" w:cs="宋体"/>
          <w:szCs w:val="21"/>
          <w:highlight w:val="none"/>
        </w:rPr>
        <w:t>法定代表人或投标人授权代表（签名或盖章）：</w:t>
      </w:r>
    </w:p>
    <w:p w14:paraId="493F3E44">
      <w:pPr>
        <w:adjustRightInd w:val="0"/>
        <w:snapToGrid w:val="0"/>
        <w:spacing w:line="480" w:lineRule="auto"/>
        <w:ind w:firstLine="432" w:firstLineChars="206"/>
        <w:rPr>
          <w:rFonts w:ascii="宋体" w:hAnsi="宋体" w:cs="宋体"/>
          <w:spacing w:val="4"/>
          <w:szCs w:val="21"/>
          <w:highlight w:val="none"/>
          <w:u w:val="single"/>
        </w:rPr>
      </w:pPr>
      <w:r>
        <w:rPr>
          <w:rFonts w:hint="eastAsia" w:ascii="宋体" w:hAnsi="宋体" w:cs="宋体"/>
          <w:szCs w:val="21"/>
          <w:highlight w:val="none"/>
        </w:rPr>
        <w:t xml:space="preserve">电话：  </w:t>
      </w:r>
    </w:p>
    <w:p w14:paraId="2D3342DE">
      <w:pPr>
        <w:numPr>
          <w:ilvl w:val="0"/>
          <w:numId w:val="37"/>
        </w:numPr>
        <w:spacing w:line="440" w:lineRule="exact"/>
        <w:rPr>
          <w:rFonts w:ascii="宋体" w:hAnsi="宋体" w:cs="宋体"/>
          <w:bCs/>
          <w:szCs w:val="21"/>
          <w:highlight w:val="none"/>
        </w:rPr>
      </w:pPr>
    </w:p>
    <w:p w14:paraId="3D0A0E84">
      <w:pPr>
        <w:pStyle w:val="4"/>
        <w:adjustRightInd w:val="0"/>
        <w:snapToGrid w:val="0"/>
        <w:spacing w:before="156" w:beforeLines="50" w:after="156" w:afterLines="50" w:line="360" w:lineRule="auto"/>
        <w:jc w:val="center"/>
        <w:rPr>
          <w:b w:val="0"/>
          <w:bCs w:val="0"/>
          <w:highlight w:val="none"/>
        </w:rPr>
      </w:pPr>
      <w:bookmarkStart w:id="407" w:name="_Toc275865606"/>
      <w:r>
        <w:rPr>
          <w:rFonts w:hint="eastAsia"/>
          <w:b w:val="0"/>
          <w:bCs w:val="0"/>
          <w:highlight w:val="none"/>
        </w:rPr>
        <w:t>投标人资格声明函</w:t>
      </w:r>
    </w:p>
    <w:p w14:paraId="54290B1B">
      <w:pPr>
        <w:pStyle w:val="4"/>
        <w:adjustRightInd w:val="0"/>
        <w:snapToGrid w:val="0"/>
        <w:spacing w:before="156" w:beforeLines="50" w:after="156" w:afterLines="50" w:line="360" w:lineRule="auto"/>
        <w:jc w:val="center"/>
        <w:rPr>
          <w:b w:val="0"/>
          <w:bCs w:val="0"/>
          <w:highlight w:val="none"/>
        </w:rPr>
      </w:pPr>
    </w:p>
    <w:p w14:paraId="3F1F4FDC">
      <w:pPr>
        <w:rPr>
          <w:rFonts w:ascii="宋体" w:hAnsi="宋体" w:cs="宋体"/>
          <w:b/>
          <w:szCs w:val="21"/>
          <w:highlight w:val="none"/>
        </w:rPr>
      </w:pPr>
      <w:r>
        <w:rPr>
          <w:rFonts w:hint="eastAsia" w:ascii="宋体" w:hAnsi="宋体" w:cs="宋体"/>
          <w:b/>
          <w:szCs w:val="21"/>
          <w:highlight w:val="none"/>
        </w:rPr>
        <w:t>广东中采招标有限公司：</w:t>
      </w:r>
    </w:p>
    <w:p w14:paraId="0D617CF8">
      <w:pPr>
        <w:snapToGrid w:val="0"/>
        <w:spacing w:before="156" w:beforeLines="50" w:line="360" w:lineRule="auto"/>
        <w:ind w:firstLine="424" w:firstLineChars="202"/>
        <w:rPr>
          <w:rFonts w:ascii="宋体" w:hAnsi="宋体" w:cs="宋体"/>
          <w:szCs w:val="21"/>
          <w:highlight w:val="none"/>
        </w:rPr>
      </w:pPr>
      <w:r>
        <w:rPr>
          <w:rFonts w:hint="eastAsia" w:ascii="宋体" w:hAnsi="宋体" w:cs="宋体"/>
          <w:szCs w:val="21"/>
          <w:highlight w:val="none"/>
        </w:rPr>
        <w:t>关于贵公司</w:t>
      </w:r>
      <w:r>
        <w:rPr>
          <w:rFonts w:hint="eastAsia" w:ascii="宋体" w:hAnsi="宋体" w:cs="宋体"/>
          <w:szCs w:val="21"/>
          <w:highlight w:val="none"/>
          <w:u w:val="single"/>
        </w:rPr>
        <w:t>　　　</w:t>
      </w:r>
      <w:r>
        <w:rPr>
          <w:rFonts w:hint="eastAsia" w:ascii="宋体" w:hAnsi="宋体" w:cs="宋体"/>
          <w:szCs w:val="21"/>
          <w:highlight w:val="none"/>
        </w:rPr>
        <w:t>年</w:t>
      </w:r>
      <w:r>
        <w:rPr>
          <w:rFonts w:hint="eastAsia" w:ascii="宋体" w:hAnsi="宋体" w:cs="宋体"/>
          <w:szCs w:val="21"/>
          <w:highlight w:val="none"/>
          <w:u w:val="single"/>
        </w:rPr>
        <w:t>　　</w:t>
      </w:r>
      <w:r>
        <w:rPr>
          <w:rFonts w:hint="eastAsia" w:ascii="宋体" w:hAnsi="宋体" w:cs="宋体"/>
          <w:szCs w:val="21"/>
          <w:highlight w:val="none"/>
        </w:rPr>
        <w:t>月</w:t>
      </w:r>
      <w:r>
        <w:rPr>
          <w:rFonts w:hint="eastAsia" w:ascii="宋体" w:hAnsi="宋体" w:cs="宋体"/>
          <w:szCs w:val="21"/>
          <w:highlight w:val="none"/>
          <w:u w:val="single"/>
        </w:rPr>
        <w:t>　　</w:t>
      </w:r>
      <w:r>
        <w:rPr>
          <w:rFonts w:hint="eastAsia" w:ascii="宋体" w:hAnsi="宋体" w:cs="宋体"/>
          <w:szCs w:val="21"/>
          <w:highlight w:val="none"/>
        </w:rPr>
        <w:t>日发布项目（项目编号：GDZC-24GZ166）的采购公告，本公司（企业）愿意参加投标，并声明：</w:t>
      </w:r>
    </w:p>
    <w:p w14:paraId="66951478">
      <w:pPr>
        <w:numPr>
          <w:ilvl w:val="0"/>
          <w:numId w:val="39"/>
        </w:numPr>
        <w:adjustRightInd w:val="0"/>
        <w:snapToGrid w:val="0"/>
        <w:spacing w:line="360" w:lineRule="auto"/>
        <w:ind w:left="567" w:hanging="567"/>
        <w:rPr>
          <w:rFonts w:ascii="宋体" w:hAnsi="宋体" w:cs="宋体"/>
          <w:szCs w:val="21"/>
          <w:highlight w:val="none"/>
        </w:rPr>
      </w:pPr>
      <w:r>
        <w:rPr>
          <w:rFonts w:hint="eastAsia" w:ascii="宋体" w:hAnsi="宋体" w:cs="宋体"/>
          <w:szCs w:val="21"/>
          <w:highlight w:val="none"/>
        </w:rPr>
        <w:t>本公司（企业）具备以下条件：</w:t>
      </w:r>
    </w:p>
    <w:p w14:paraId="45AE64BF">
      <w:pPr>
        <w:numPr>
          <w:ilvl w:val="0"/>
          <w:numId w:val="40"/>
        </w:numPr>
        <w:adjustRightInd w:val="0"/>
        <w:snapToGrid w:val="0"/>
        <w:spacing w:line="360" w:lineRule="auto"/>
        <w:ind w:hanging="5"/>
        <w:rPr>
          <w:rFonts w:ascii="宋体" w:hAnsi="宋体" w:cs="宋体"/>
          <w:szCs w:val="21"/>
          <w:highlight w:val="none"/>
        </w:rPr>
      </w:pPr>
      <w:r>
        <w:rPr>
          <w:rFonts w:hint="eastAsia" w:ascii="宋体" w:hAnsi="宋体" w:cs="宋体"/>
          <w:szCs w:val="21"/>
          <w:highlight w:val="none"/>
        </w:rPr>
        <w:t>具有独立承担民事责任的能力；</w:t>
      </w:r>
    </w:p>
    <w:p w14:paraId="6CD80FB7">
      <w:pPr>
        <w:numPr>
          <w:ilvl w:val="0"/>
          <w:numId w:val="40"/>
        </w:numPr>
        <w:adjustRightInd w:val="0"/>
        <w:snapToGrid w:val="0"/>
        <w:spacing w:line="360" w:lineRule="auto"/>
        <w:ind w:hanging="5"/>
        <w:rPr>
          <w:rFonts w:ascii="宋体" w:hAnsi="宋体" w:cs="宋体"/>
          <w:szCs w:val="21"/>
          <w:highlight w:val="none"/>
        </w:rPr>
      </w:pPr>
      <w:r>
        <w:rPr>
          <w:rFonts w:hint="eastAsia" w:ascii="宋体" w:hAnsi="宋体" w:cs="宋体"/>
          <w:szCs w:val="21"/>
          <w:highlight w:val="none"/>
        </w:rPr>
        <w:t>具有良好的商业信誉和健全的财务会计制度；</w:t>
      </w:r>
    </w:p>
    <w:p w14:paraId="4E073F6B">
      <w:pPr>
        <w:numPr>
          <w:ilvl w:val="0"/>
          <w:numId w:val="40"/>
        </w:numPr>
        <w:adjustRightInd w:val="0"/>
        <w:snapToGrid w:val="0"/>
        <w:spacing w:line="360" w:lineRule="auto"/>
        <w:ind w:hanging="5"/>
        <w:rPr>
          <w:rFonts w:ascii="宋体" w:hAnsi="宋体" w:cs="宋体"/>
          <w:szCs w:val="21"/>
          <w:highlight w:val="none"/>
        </w:rPr>
      </w:pPr>
      <w:r>
        <w:rPr>
          <w:rFonts w:hint="eastAsia" w:ascii="宋体" w:hAnsi="宋体" w:cs="宋体"/>
          <w:szCs w:val="21"/>
          <w:highlight w:val="none"/>
        </w:rPr>
        <w:t>有依法缴纳税收和社会保障资金的良好记录；</w:t>
      </w:r>
    </w:p>
    <w:p w14:paraId="43238FB6">
      <w:pPr>
        <w:numPr>
          <w:ilvl w:val="0"/>
          <w:numId w:val="40"/>
        </w:numPr>
        <w:adjustRightInd w:val="0"/>
        <w:snapToGrid w:val="0"/>
        <w:spacing w:line="360" w:lineRule="auto"/>
        <w:ind w:hanging="5"/>
        <w:rPr>
          <w:rFonts w:ascii="宋体" w:hAnsi="宋体" w:cs="宋体"/>
          <w:szCs w:val="21"/>
          <w:highlight w:val="none"/>
        </w:rPr>
      </w:pPr>
      <w:r>
        <w:rPr>
          <w:rFonts w:hint="eastAsia" w:ascii="宋体" w:hAnsi="宋体" w:cs="宋体"/>
          <w:szCs w:val="21"/>
          <w:highlight w:val="none"/>
        </w:rPr>
        <w:t>具有履行本项目合同所必需的设备和专业技术能力</w:t>
      </w:r>
    </w:p>
    <w:p w14:paraId="12BB78EA">
      <w:pPr>
        <w:numPr>
          <w:ilvl w:val="0"/>
          <w:numId w:val="40"/>
        </w:numPr>
        <w:adjustRightInd w:val="0"/>
        <w:snapToGrid w:val="0"/>
        <w:spacing w:line="360" w:lineRule="auto"/>
        <w:ind w:hanging="5"/>
        <w:rPr>
          <w:rFonts w:ascii="宋体" w:hAnsi="宋体" w:cs="宋体"/>
          <w:szCs w:val="21"/>
          <w:highlight w:val="none"/>
        </w:rPr>
      </w:pPr>
      <w:r>
        <w:rPr>
          <w:rFonts w:hint="eastAsia" w:ascii="宋体" w:hAnsi="宋体" w:cs="宋体"/>
          <w:szCs w:val="21"/>
          <w:highlight w:val="none"/>
        </w:rPr>
        <w:t>本公司（单位）在参加本次采购活动前三年内，在经营活动中没有重大违法记录，本公司（单位）在经营活动中没有以下违法记录：供应商因违法经营受到刑事处罚或者责令停产停业、吊销许可证或者执照、较大数额罚款等行政处罚。</w:t>
      </w:r>
    </w:p>
    <w:p w14:paraId="21551C62">
      <w:pPr>
        <w:numPr>
          <w:ilvl w:val="0"/>
          <w:numId w:val="40"/>
        </w:numPr>
        <w:adjustRightInd w:val="0"/>
        <w:snapToGrid w:val="0"/>
        <w:spacing w:line="360" w:lineRule="auto"/>
        <w:ind w:hanging="5"/>
        <w:rPr>
          <w:rFonts w:ascii="宋体" w:hAnsi="宋体" w:cs="宋体"/>
          <w:szCs w:val="21"/>
          <w:highlight w:val="none"/>
        </w:rPr>
      </w:pPr>
      <w:r>
        <w:rPr>
          <w:rFonts w:hint="eastAsia" w:ascii="宋体" w:hAnsi="宋体" w:cs="宋体"/>
          <w:szCs w:val="21"/>
          <w:highlight w:val="none"/>
        </w:rPr>
        <w:t>法律、行政法规规定的其他条件。</w:t>
      </w:r>
    </w:p>
    <w:p w14:paraId="5DF66639">
      <w:pPr>
        <w:numPr>
          <w:ilvl w:val="0"/>
          <w:numId w:val="39"/>
        </w:numPr>
        <w:adjustRightInd w:val="0"/>
        <w:snapToGrid w:val="0"/>
        <w:spacing w:line="360" w:lineRule="auto"/>
        <w:ind w:left="567" w:hanging="567"/>
        <w:rPr>
          <w:rFonts w:ascii="宋体" w:hAnsi="宋体" w:cs="宋体"/>
          <w:szCs w:val="21"/>
          <w:highlight w:val="none"/>
        </w:rPr>
      </w:pPr>
      <w:r>
        <w:rPr>
          <w:rFonts w:hint="eastAsia" w:ascii="宋体" w:hAnsi="宋体" w:cs="宋体"/>
          <w:szCs w:val="21"/>
          <w:highlight w:val="none"/>
        </w:rPr>
        <w:t>我方承诺</w:t>
      </w:r>
      <w:r>
        <w:rPr>
          <w:rFonts w:hint="eastAsia" w:ascii="宋体" w:hAnsi="宋体"/>
          <w:szCs w:val="21"/>
          <w:highlight w:val="none"/>
        </w:rPr>
        <w:t>本公司（</w:t>
      </w:r>
      <w:r>
        <w:rPr>
          <w:rFonts w:hint="eastAsia" w:ascii="宋体" w:hAnsi="宋体" w:cs="宋体"/>
          <w:szCs w:val="21"/>
          <w:highlight w:val="none"/>
        </w:rPr>
        <w:t>企业</w:t>
      </w:r>
      <w:r>
        <w:rPr>
          <w:rFonts w:hint="eastAsia" w:ascii="宋体" w:hAnsi="宋体"/>
          <w:szCs w:val="21"/>
          <w:highlight w:val="none"/>
        </w:rPr>
        <w:t>）</w:t>
      </w:r>
      <w:r>
        <w:rPr>
          <w:rFonts w:hint="eastAsia" w:ascii="宋体" w:hAnsi="宋体"/>
          <w:szCs w:val="21"/>
          <w:highlight w:val="none"/>
          <w:lang w:eastAsia="zh-CN"/>
        </w:rPr>
        <w:t>不属于以下情形：</w:t>
      </w:r>
    </w:p>
    <w:p w14:paraId="428215A2">
      <w:pPr>
        <w:adjustRightInd w:val="0"/>
        <w:snapToGrid w:val="0"/>
        <w:spacing w:line="360" w:lineRule="auto"/>
        <w:ind w:firstLine="424" w:firstLineChars="202"/>
        <w:rPr>
          <w:rFonts w:ascii="宋体" w:hAnsi="宋体" w:cs="宋体"/>
          <w:szCs w:val="21"/>
          <w:highlight w:val="none"/>
        </w:rPr>
      </w:pPr>
      <w:r>
        <w:rPr>
          <w:rFonts w:hint="eastAsia"/>
          <w:highlight w:val="none"/>
          <w:lang w:eastAsia="zh-CN"/>
        </w:rPr>
        <w:t>处于</w:t>
      </w:r>
      <w:r>
        <w:rPr>
          <w:rFonts w:hint="eastAsia"/>
          <w:highlight w:val="none"/>
        </w:rPr>
        <w:t>被中国证监会、中国银行间市场交易商协会等监督部门限制债券（债务融资工具）承销业务资格期间且尚未解除限制</w:t>
      </w:r>
      <w:r>
        <w:rPr>
          <w:rFonts w:hint="eastAsia"/>
          <w:highlight w:val="none"/>
          <w:lang w:eastAsia="zh-CN"/>
        </w:rPr>
        <w:t>。</w:t>
      </w:r>
    </w:p>
    <w:p w14:paraId="54BF307A">
      <w:pPr>
        <w:numPr>
          <w:ilvl w:val="0"/>
          <w:numId w:val="39"/>
        </w:numPr>
        <w:adjustRightInd w:val="0"/>
        <w:snapToGrid w:val="0"/>
        <w:spacing w:line="360" w:lineRule="auto"/>
        <w:ind w:left="567" w:hanging="567"/>
        <w:rPr>
          <w:rFonts w:ascii="宋体" w:hAnsi="宋体" w:cs="宋体"/>
          <w:szCs w:val="21"/>
          <w:highlight w:val="none"/>
        </w:rPr>
      </w:pPr>
      <w:r>
        <w:rPr>
          <w:rFonts w:hint="eastAsia" w:ascii="宋体" w:hAnsi="宋体" w:cs="宋体"/>
          <w:szCs w:val="21"/>
          <w:highlight w:val="none"/>
        </w:rPr>
        <w:t>我方承诺</w:t>
      </w:r>
      <w:r>
        <w:rPr>
          <w:rFonts w:hint="eastAsia" w:ascii="宋体" w:hAnsi="宋体"/>
          <w:szCs w:val="21"/>
          <w:highlight w:val="none"/>
        </w:rPr>
        <w:t>本公司（</w:t>
      </w:r>
      <w:r>
        <w:rPr>
          <w:rFonts w:hint="eastAsia" w:ascii="宋体" w:hAnsi="宋体" w:cs="宋体"/>
          <w:szCs w:val="21"/>
          <w:highlight w:val="none"/>
        </w:rPr>
        <w:t>企业</w:t>
      </w:r>
      <w:r>
        <w:rPr>
          <w:rFonts w:hint="eastAsia" w:ascii="宋体" w:hAnsi="宋体"/>
          <w:szCs w:val="21"/>
          <w:highlight w:val="none"/>
        </w:rPr>
        <w:t>）的</w:t>
      </w:r>
      <w:r>
        <w:rPr>
          <w:rFonts w:hint="eastAsia" w:ascii="宋体" w:hAnsi="宋体"/>
          <w:bCs/>
          <w:szCs w:val="21"/>
          <w:highlight w:val="none"/>
        </w:rPr>
        <w:t>法定代表人</w:t>
      </w:r>
      <w:r>
        <w:rPr>
          <w:rFonts w:hint="eastAsia" w:ascii="宋体" w:hAnsi="宋体"/>
          <w:szCs w:val="21"/>
          <w:highlight w:val="none"/>
        </w:rPr>
        <w:t>（负责人）</w:t>
      </w:r>
      <w:r>
        <w:rPr>
          <w:rFonts w:hint="eastAsia" w:ascii="宋体" w:hAnsi="宋体"/>
          <w:bCs/>
          <w:szCs w:val="21"/>
          <w:highlight w:val="none"/>
        </w:rPr>
        <w:t>为同一人或者存在直接控股、管理关系的不同供应商，不得参加同一合同项下的采购活动</w:t>
      </w:r>
      <w:r>
        <w:rPr>
          <w:rFonts w:hint="eastAsia" w:ascii="宋体" w:hAnsi="宋体" w:cs="宋体"/>
          <w:szCs w:val="21"/>
          <w:highlight w:val="none"/>
        </w:rPr>
        <w:t>。</w:t>
      </w:r>
    </w:p>
    <w:p w14:paraId="23E2B686">
      <w:pPr>
        <w:adjustRightInd w:val="0"/>
        <w:snapToGrid w:val="0"/>
        <w:spacing w:line="360" w:lineRule="auto"/>
        <w:ind w:firstLine="424" w:firstLineChars="202"/>
        <w:rPr>
          <w:rFonts w:ascii="宋体" w:hAnsi="宋体" w:cs="宋体"/>
          <w:szCs w:val="21"/>
          <w:highlight w:val="none"/>
        </w:rPr>
      </w:pPr>
      <w:r>
        <w:rPr>
          <w:rFonts w:hint="eastAsia" w:ascii="宋体" w:hAnsi="宋体" w:cs="宋体"/>
          <w:szCs w:val="21"/>
          <w:highlight w:val="none"/>
        </w:rPr>
        <w:t>本次招标采购活动中，如有违法、违规、弄虚作假行为，所造成的损失、不良后果及法律责任，一律由我公司（企业）承担。</w:t>
      </w:r>
    </w:p>
    <w:p w14:paraId="33D9F8F1">
      <w:pPr>
        <w:spacing w:line="360" w:lineRule="auto"/>
        <w:ind w:firstLine="420"/>
        <w:rPr>
          <w:rFonts w:ascii="宋体" w:hAnsi="宋体" w:cs="宋体"/>
          <w:szCs w:val="21"/>
          <w:highlight w:val="none"/>
        </w:rPr>
      </w:pPr>
      <w:r>
        <w:rPr>
          <w:rFonts w:hint="eastAsia" w:ascii="宋体" w:hAnsi="宋体" w:cs="宋体"/>
          <w:szCs w:val="21"/>
          <w:highlight w:val="none"/>
        </w:rPr>
        <w:t>特此声明！</w:t>
      </w:r>
    </w:p>
    <w:p w14:paraId="6A3C77F7">
      <w:pPr>
        <w:spacing w:line="360" w:lineRule="auto"/>
        <w:ind w:firstLine="843" w:firstLineChars="400"/>
        <w:rPr>
          <w:rFonts w:ascii="宋体" w:hAnsi="宋体" w:cs="宋体"/>
          <w:szCs w:val="21"/>
          <w:highlight w:val="none"/>
        </w:rPr>
      </w:pPr>
      <w:r>
        <w:rPr>
          <w:rFonts w:hint="eastAsia" w:ascii="宋体" w:hAnsi="宋体" w:cs="宋体"/>
          <w:b/>
          <w:szCs w:val="21"/>
          <w:highlight w:val="none"/>
        </w:rPr>
        <w:t>备注：本投标人资格声明函内容不得擅自删改，否则视为无效投标。</w:t>
      </w:r>
    </w:p>
    <w:p w14:paraId="0364FA89">
      <w:pPr>
        <w:spacing w:line="360" w:lineRule="auto"/>
        <w:rPr>
          <w:rFonts w:ascii="宋体" w:hAnsi="宋体" w:cs="宋体"/>
          <w:szCs w:val="21"/>
          <w:highlight w:val="none"/>
        </w:rPr>
      </w:pPr>
    </w:p>
    <w:p w14:paraId="37B17413">
      <w:pPr>
        <w:spacing w:line="360" w:lineRule="auto"/>
        <w:ind w:firstLine="420"/>
        <w:rPr>
          <w:rFonts w:ascii="宋体" w:hAnsi="宋体" w:cs="宋体"/>
          <w:szCs w:val="21"/>
          <w:highlight w:val="none"/>
        </w:rPr>
      </w:pPr>
      <w:r>
        <w:rPr>
          <w:rFonts w:hint="eastAsia" w:ascii="宋体" w:hAnsi="宋体" w:cs="宋体"/>
          <w:szCs w:val="21"/>
          <w:highlight w:val="none"/>
        </w:rPr>
        <w:t>投标人名称（加盖公章）：　　　　　　　　　法定代表人或投标人授权代表（签名或盖章）：</w:t>
      </w:r>
    </w:p>
    <w:p w14:paraId="5687C66F">
      <w:pPr>
        <w:spacing w:line="360" w:lineRule="auto"/>
        <w:ind w:firstLine="420"/>
        <w:rPr>
          <w:rFonts w:ascii="宋体" w:hAnsi="宋体" w:cs="宋体"/>
          <w:szCs w:val="21"/>
          <w:highlight w:val="none"/>
        </w:rPr>
      </w:pPr>
      <w:r>
        <w:rPr>
          <w:rFonts w:hint="eastAsia" w:ascii="宋体" w:hAnsi="宋体" w:cs="宋体"/>
          <w:szCs w:val="21"/>
          <w:highlight w:val="none"/>
        </w:rPr>
        <w:t>单位地址：　　　　　　　　　　　　　　　　联系电话：</w:t>
      </w:r>
    </w:p>
    <w:p w14:paraId="54803801">
      <w:pPr>
        <w:spacing w:line="360" w:lineRule="auto"/>
        <w:ind w:firstLine="420"/>
        <w:rPr>
          <w:rFonts w:ascii="宋体" w:hAnsi="宋体" w:cs="宋体"/>
          <w:szCs w:val="21"/>
          <w:highlight w:val="none"/>
        </w:rPr>
      </w:pPr>
      <w:r>
        <w:rPr>
          <w:rFonts w:hint="eastAsia" w:ascii="宋体" w:hAnsi="宋体" w:cs="宋体"/>
          <w:szCs w:val="21"/>
          <w:highlight w:val="none"/>
        </w:rPr>
        <w:t>日期：</w:t>
      </w:r>
    </w:p>
    <w:p w14:paraId="269AB6FC">
      <w:pPr>
        <w:rPr>
          <w:rFonts w:ascii="宋体" w:hAnsi="宋体" w:cs="宋体"/>
          <w:szCs w:val="21"/>
          <w:highlight w:val="none"/>
        </w:rPr>
      </w:pPr>
      <w:r>
        <w:rPr>
          <w:rFonts w:ascii="宋体" w:hAnsi="宋体" w:cs="宋体"/>
          <w:szCs w:val="21"/>
          <w:highlight w:val="none"/>
        </w:rPr>
        <w:br w:type="page"/>
      </w:r>
    </w:p>
    <w:p w14:paraId="65CE7201">
      <w:pPr>
        <w:spacing w:line="276" w:lineRule="auto"/>
        <w:rPr>
          <w:rFonts w:ascii="宋体" w:hAnsi="宋体" w:cs="宋体"/>
          <w:b/>
          <w:bCs/>
          <w:szCs w:val="21"/>
          <w:highlight w:val="none"/>
        </w:rPr>
      </w:pPr>
      <w:r>
        <w:rPr>
          <w:rFonts w:hint="eastAsia" w:ascii="宋体" w:hAnsi="宋体" w:cs="宋体"/>
          <w:b/>
          <w:bCs/>
          <w:szCs w:val="21"/>
          <w:highlight w:val="none"/>
        </w:rPr>
        <w:t>附件：</w:t>
      </w:r>
    </w:p>
    <w:p w14:paraId="7461A06B">
      <w:pPr>
        <w:numPr>
          <w:ilvl w:val="0"/>
          <w:numId w:val="41"/>
        </w:numPr>
        <w:tabs>
          <w:tab w:val="left" w:pos="425"/>
          <w:tab w:val="left" w:pos="1276"/>
        </w:tabs>
        <w:snapToGrid w:val="0"/>
        <w:spacing w:line="360" w:lineRule="auto"/>
        <w:rPr>
          <w:rFonts w:ascii="宋体" w:hAnsi="宋体" w:cs="宋体"/>
          <w:kern w:val="0"/>
          <w:szCs w:val="21"/>
          <w:highlight w:val="none"/>
        </w:rPr>
      </w:pPr>
      <w:r>
        <w:rPr>
          <w:rFonts w:hint="eastAsia" w:ascii="宋体" w:hAnsi="宋体" w:cs="宋体"/>
          <w:szCs w:val="21"/>
          <w:highlight w:val="none"/>
        </w:rPr>
        <w:t>具有独立承担民事责任的能力(提供营业执照复印件并加盖公章）；</w:t>
      </w:r>
      <w:r>
        <w:rPr>
          <w:rFonts w:hint="eastAsia" w:hAnsi="宋体"/>
          <w:szCs w:val="21"/>
          <w:highlight w:val="none"/>
          <w:lang w:val="zh-CN"/>
        </w:rPr>
        <w:t>不接受同一金融机构2家或以上分支机构参与投标【如总公司参与投标的，应提供营业执照复印件；如分支机构（即由合法法人依法建立的分公司）参与投标的，应同时提供</w:t>
      </w:r>
      <w:r>
        <w:rPr>
          <w:rFonts w:hint="eastAsia" w:ascii="宋体" w:hAnsi="宋体"/>
          <w:bCs/>
          <w:szCs w:val="21"/>
          <w:highlight w:val="none"/>
        </w:rPr>
        <w:t>总公司的</w:t>
      </w:r>
      <w:r>
        <w:rPr>
          <w:rFonts w:hint="eastAsia" w:ascii="宋体" w:hAnsi="宋体"/>
          <w:szCs w:val="21"/>
          <w:highlight w:val="none"/>
        </w:rPr>
        <w:t>营业执照</w:t>
      </w:r>
      <w:r>
        <w:rPr>
          <w:rFonts w:hint="eastAsia" w:ascii="宋体" w:hAnsi="宋体"/>
          <w:bCs/>
          <w:szCs w:val="21"/>
          <w:highlight w:val="none"/>
        </w:rPr>
        <w:t>等证明文件复印件及相关授权证明文件，分支机构已具有效授权的，总公司取得的相关资格证书对分公司有效，若法律法规或招标文件另有规定的从其规定（授权证明文件格式不限）</w:t>
      </w:r>
      <w:r>
        <w:rPr>
          <w:rFonts w:hint="eastAsia" w:hAnsi="宋体"/>
          <w:szCs w:val="21"/>
          <w:highlight w:val="none"/>
          <w:lang w:val="zh-CN"/>
        </w:rPr>
        <w:t>】</w:t>
      </w:r>
      <w:r>
        <w:rPr>
          <w:rFonts w:hint="eastAsia" w:ascii="宋体" w:hAnsi="宋体" w:cs="宋体"/>
          <w:kern w:val="0"/>
          <w:szCs w:val="21"/>
          <w:highlight w:val="none"/>
        </w:rPr>
        <w:t>。</w:t>
      </w:r>
    </w:p>
    <w:p w14:paraId="7DE5A2BA">
      <w:pPr>
        <w:numPr>
          <w:ilvl w:val="0"/>
          <w:numId w:val="41"/>
        </w:numPr>
        <w:spacing w:line="360" w:lineRule="auto"/>
        <w:rPr>
          <w:rFonts w:ascii="宋体" w:hAnsi="宋体" w:cs="宋体"/>
          <w:szCs w:val="21"/>
          <w:highlight w:val="none"/>
        </w:rPr>
      </w:pPr>
      <w:r>
        <w:rPr>
          <w:rFonts w:hint="eastAsia" w:ascii="宋体" w:hAnsi="宋体"/>
          <w:szCs w:val="21"/>
          <w:highlight w:val="none"/>
        </w:rPr>
        <w:t>投标人具有中国银行间市场交易商协会确认的非金融企业债务融资工具主承销商资格；</w:t>
      </w:r>
    </w:p>
    <w:p w14:paraId="3D160A0D">
      <w:pPr>
        <w:numPr>
          <w:ilvl w:val="0"/>
          <w:numId w:val="41"/>
        </w:numPr>
        <w:spacing w:line="360" w:lineRule="auto"/>
        <w:rPr>
          <w:rFonts w:ascii="宋体" w:hAnsi="宋体" w:cs="宋体"/>
          <w:szCs w:val="21"/>
          <w:highlight w:val="none"/>
        </w:rPr>
        <w:sectPr>
          <w:pgSz w:w="11906" w:h="16838"/>
          <w:pgMar w:top="1440" w:right="1286" w:bottom="1440" w:left="1440" w:header="851" w:footer="992" w:gutter="0"/>
          <w:cols w:space="720" w:num="1"/>
          <w:docGrid w:type="lines" w:linePitch="312" w:charSpace="0"/>
        </w:sectPr>
      </w:pPr>
      <w:r>
        <w:rPr>
          <w:rFonts w:hint="eastAsia" w:ascii="宋体" w:hAnsi="宋体"/>
          <w:szCs w:val="21"/>
          <w:highlight w:val="none"/>
        </w:rPr>
        <w:t>投标人</w:t>
      </w:r>
      <w:r>
        <w:rPr>
          <w:rFonts w:hint="eastAsia" w:ascii="宋体" w:hAnsi="宋体" w:cs="宋体"/>
          <w:szCs w:val="21"/>
          <w:highlight w:val="none"/>
        </w:rPr>
        <w:t>未被列入“信用中国”网站(www.creditchina.gov.cn)“记录失信被执行人或重大税收违法失信主体或政府采购严重违法失信行为”记录名单。【以招标代理机构于投标截止日当天在“信用中国”网站（www.creditchina.gov.cn）查询结果为准，如相关失信记录已失效，投标人需提供相关证明资料】。</w:t>
      </w:r>
    </w:p>
    <w:bookmarkEnd w:id="407"/>
    <w:p w14:paraId="6419A3C9">
      <w:pPr>
        <w:numPr>
          <w:ilvl w:val="0"/>
          <w:numId w:val="37"/>
        </w:numPr>
        <w:spacing w:line="440" w:lineRule="exact"/>
        <w:rPr>
          <w:rFonts w:ascii="宋体" w:hAnsi="宋体" w:cs="宋体"/>
          <w:szCs w:val="21"/>
          <w:highlight w:val="none"/>
        </w:rPr>
      </w:pPr>
    </w:p>
    <w:p w14:paraId="0F93F8E2">
      <w:pPr>
        <w:pStyle w:val="4"/>
        <w:adjustRightInd w:val="0"/>
        <w:snapToGrid w:val="0"/>
        <w:spacing w:before="156" w:beforeLines="50" w:after="156" w:afterLines="50" w:line="360" w:lineRule="auto"/>
        <w:jc w:val="center"/>
        <w:rPr>
          <w:b w:val="0"/>
          <w:bCs w:val="0"/>
          <w:highlight w:val="none"/>
        </w:rPr>
      </w:pPr>
      <w:bookmarkStart w:id="408" w:name="_Toc50737329"/>
      <w:bookmarkStart w:id="409" w:name="_Toc50736477"/>
      <w:bookmarkStart w:id="410" w:name="_Toc52165081"/>
      <w:bookmarkStart w:id="411" w:name="_Toc50737297"/>
      <w:bookmarkStart w:id="412" w:name="_Toc275865607"/>
      <w:bookmarkStart w:id="413" w:name="_Toc52165080"/>
      <w:bookmarkStart w:id="414" w:name="_Toc50737328"/>
      <w:bookmarkStart w:id="415" w:name="_Toc50736476"/>
      <w:bookmarkStart w:id="416" w:name="_Toc50737296"/>
      <w:bookmarkStart w:id="417" w:name="_Toc50691034"/>
      <w:r>
        <w:rPr>
          <w:rFonts w:hint="eastAsia"/>
          <w:b w:val="0"/>
          <w:bCs w:val="0"/>
          <w:highlight w:val="none"/>
        </w:rPr>
        <w:t>法定代表人（负责人）授权委托书</w:t>
      </w:r>
      <w:bookmarkEnd w:id="408"/>
      <w:bookmarkEnd w:id="409"/>
      <w:bookmarkEnd w:id="410"/>
      <w:bookmarkEnd w:id="411"/>
      <w:bookmarkEnd w:id="412"/>
    </w:p>
    <w:p w14:paraId="37012781">
      <w:pPr>
        <w:widowControl/>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（投标单位全称）法定代表人/负责人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（姓名）兹代表</w:t>
      </w:r>
      <w:r>
        <w:rPr>
          <w:rFonts w:ascii="宋体" w:hAnsi="宋体"/>
          <w:kern w:val="0"/>
          <w:szCs w:val="21"/>
          <w:highlight w:val="none"/>
        </w:rPr>
        <w:t>公司</w:t>
      </w:r>
      <w:r>
        <w:rPr>
          <w:rFonts w:hint="eastAsia" w:ascii="宋体" w:hAnsi="宋体"/>
          <w:kern w:val="0"/>
          <w:szCs w:val="21"/>
          <w:highlight w:val="none"/>
        </w:rPr>
        <w:t>授权</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（授权代表姓名）为授权代表，参加贵方组织的</w:t>
      </w:r>
      <w:r>
        <w:rPr>
          <w:rFonts w:hint="eastAsia" w:ascii="宋体" w:hAnsi="宋体"/>
          <w:kern w:val="0"/>
          <w:szCs w:val="21"/>
          <w:highlight w:val="none"/>
          <w:u w:val="single"/>
        </w:rPr>
        <w:t>“         ”</w:t>
      </w:r>
      <w:r>
        <w:rPr>
          <w:rFonts w:hint="eastAsia" w:ascii="宋体" w:hAnsi="宋体"/>
          <w:kern w:val="0"/>
          <w:szCs w:val="21"/>
          <w:highlight w:val="none"/>
        </w:rPr>
        <w:t>招标活动。</w:t>
      </w:r>
    </w:p>
    <w:p w14:paraId="2CC516BC">
      <w:pPr>
        <w:widowControl/>
        <w:spacing w:line="480" w:lineRule="auto"/>
        <w:ind w:firstLine="525" w:firstLineChars="250"/>
        <w:jc w:val="left"/>
        <w:rPr>
          <w:rFonts w:ascii="宋体" w:hAnsi="宋体"/>
          <w:kern w:val="0"/>
          <w:szCs w:val="21"/>
          <w:highlight w:val="none"/>
        </w:rPr>
      </w:pPr>
      <w:r>
        <w:rPr>
          <w:rFonts w:hint="eastAsia" w:ascii="宋体" w:hAnsi="宋体"/>
          <w:kern w:val="0"/>
          <w:szCs w:val="21"/>
          <w:highlight w:val="none"/>
          <w:u w:val="single"/>
        </w:rPr>
        <w:t xml:space="preserve">             </w:t>
      </w:r>
      <w:r>
        <w:rPr>
          <w:rFonts w:hint="eastAsia" w:ascii="宋体" w:hAnsi="宋体"/>
          <w:kern w:val="0"/>
          <w:szCs w:val="21"/>
          <w:highlight w:val="none"/>
        </w:rPr>
        <w:t>（授权代表姓名）以我单位的名义并代表我单位签署投标书和所有投标文件，进行谈判和全权处理招投标活动中的一切事宜，其在该项目招投标活动中的一切行为对我单位具有法律约束力。授权代表</w:t>
      </w:r>
      <w:r>
        <w:rPr>
          <w:rFonts w:ascii="宋体" w:hAnsi="宋体"/>
          <w:kern w:val="0"/>
          <w:szCs w:val="21"/>
          <w:highlight w:val="none"/>
        </w:rPr>
        <w:t>无转授权。</w:t>
      </w:r>
    </w:p>
    <w:p w14:paraId="06A2C364">
      <w:pPr>
        <w:widowControl/>
        <w:spacing w:line="480" w:lineRule="auto"/>
        <w:jc w:val="left"/>
        <w:rPr>
          <w:rFonts w:ascii="宋体" w:hAnsi="宋体"/>
          <w:kern w:val="0"/>
          <w:szCs w:val="21"/>
          <w:highlight w:val="none"/>
        </w:rPr>
      </w:pPr>
      <w:r>
        <w:rPr>
          <w:rFonts w:hint="eastAsia" w:ascii="宋体" w:hAnsi="宋体"/>
          <w:kern w:val="0"/>
          <w:szCs w:val="21"/>
          <w:highlight w:val="none"/>
        </w:rPr>
        <w:t>有效期限：至</w:t>
      </w:r>
      <w:r>
        <w:rPr>
          <w:rFonts w:hint="eastAsia" w:ascii="宋体" w:hAnsi="宋体"/>
          <w:kern w:val="0"/>
          <w:szCs w:val="21"/>
          <w:highlight w:val="none"/>
          <w:u w:val="single"/>
        </w:rPr>
        <w:t xml:space="preserve">         </w:t>
      </w:r>
      <w:r>
        <w:rPr>
          <w:rFonts w:hint="eastAsia" w:ascii="宋体" w:hAnsi="宋体"/>
          <w:kern w:val="0"/>
          <w:szCs w:val="21"/>
          <w:highlight w:val="none"/>
        </w:rPr>
        <w:t>年</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rPr>
        <w:t xml:space="preserve">日 </w:t>
      </w:r>
    </w:p>
    <w:p w14:paraId="1A5E92C2">
      <w:pPr>
        <w:widowControl/>
        <w:spacing w:line="480" w:lineRule="auto"/>
        <w:jc w:val="left"/>
        <w:rPr>
          <w:rFonts w:ascii="宋体" w:hAnsi="宋体"/>
          <w:kern w:val="0"/>
          <w:szCs w:val="21"/>
          <w:highlight w:val="none"/>
          <w:u w:val="single"/>
        </w:rPr>
      </w:pPr>
      <w:r>
        <w:rPr>
          <w:rFonts w:hint="eastAsia" w:ascii="宋体" w:hAnsi="宋体" w:cs="宋体"/>
          <w:szCs w:val="21"/>
          <w:highlight w:val="none"/>
        </w:rPr>
        <w:t>投标人名称</w:t>
      </w:r>
      <w:r>
        <w:rPr>
          <w:rFonts w:hint="eastAsia" w:ascii="宋体" w:hAnsi="宋体"/>
          <w:kern w:val="0"/>
          <w:szCs w:val="21"/>
          <w:highlight w:val="none"/>
        </w:rPr>
        <w:t>（加盖公章）：</w:t>
      </w:r>
      <w:r>
        <w:rPr>
          <w:rFonts w:hint="eastAsia" w:ascii="宋体" w:hAnsi="宋体"/>
          <w:kern w:val="0"/>
          <w:szCs w:val="21"/>
          <w:highlight w:val="none"/>
          <w:u w:val="single"/>
        </w:rPr>
        <w:t xml:space="preserve">                                 </w:t>
      </w:r>
    </w:p>
    <w:p w14:paraId="0C5E6133">
      <w:pPr>
        <w:pStyle w:val="18"/>
        <w:spacing w:line="480" w:lineRule="auto"/>
        <w:rPr>
          <w:rFonts w:ascii="宋体" w:hAnsi="宋体"/>
          <w:sz w:val="21"/>
          <w:szCs w:val="21"/>
          <w:highlight w:val="none"/>
          <w:u w:val="single"/>
        </w:rPr>
      </w:pPr>
      <w:r>
        <w:rPr>
          <w:rFonts w:hint="eastAsia" w:ascii="Times New Roman" w:hAnsi="宋体" w:eastAsia="宋体"/>
          <w:kern w:val="0"/>
          <w:sz w:val="21"/>
          <w:szCs w:val="21"/>
          <w:highlight w:val="none"/>
        </w:rPr>
        <w:t>法定代表人/负责人（签字或盖章）：</w:t>
      </w:r>
      <w:r>
        <w:rPr>
          <w:rFonts w:hint="eastAsia" w:ascii="宋体" w:hAnsi="宋体"/>
          <w:sz w:val="21"/>
          <w:szCs w:val="21"/>
          <w:highlight w:val="none"/>
          <w:u w:val="single"/>
        </w:rPr>
        <w:t xml:space="preserve">                                </w:t>
      </w:r>
    </w:p>
    <w:p w14:paraId="4C8DB0B9">
      <w:pPr>
        <w:widowControl/>
        <w:spacing w:line="360" w:lineRule="auto"/>
        <w:jc w:val="left"/>
        <w:rPr>
          <w:rFonts w:ascii="宋体" w:hAnsi="宋体"/>
          <w:kern w:val="0"/>
          <w:szCs w:val="21"/>
          <w:highlight w:val="none"/>
        </w:rPr>
      </w:pPr>
    </w:p>
    <w:p w14:paraId="5D5452F1">
      <w:pPr>
        <w:widowControl/>
        <w:spacing w:line="360" w:lineRule="auto"/>
        <w:jc w:val="left"/>
        <w:rPr>
          <w:rFonts w:ascii="宋体" w:hAnsi="宋体"/>
          <w:kern w:val="0"/>
          <w:szCs w:val="21"/>
          <w:highlight w:val="none"/>
        </w:rPr>
      </w:pPr>
      <w:r>
        <w:rPr>
          <w:rFonts w:hint="eastAsia" w:ascii="宋体" w:hAnsi="宋体"/>
          <w:kern w:val="0"/>
          <w:szCs w:val="21"/>
          <w:highlight w:val="none"/>
        </w:rPr>
        <w:t xml:space="preserve">日期：     年   月 </w:t>
      </w:r>
      <w:r>
        <w:rPr>
          <w:rFonts w:ascii="宋体" w:hAnsi="宋体"/>
          <w:kern w:val="0"/>
          <w:szCs w:val="21"/>
          <w:highlight w:val="none"/>
        </w:rPr>
        <w:t xml:space="preserve">  </w:t>
      </w:r>
      <w:r>
        <w:rPr>
          <w:rFonts w:hint="eastAsia" w:ascii="宋体" w:hAnsi="宋体"/>
          <w:kern w:val="0"/>
          <w:szCs w:val="21"/>
          <w:highlight w:val="none"/>
        </w:rPr>
        <w:t>日</w:t>
      </w:r>
    </w:p>
    <w:p w14:paraId="1C55F339">
      <w:pPr>
        <w:widowControl/>
        <w:spacing w:line="360" w:lineRule="auto"/>
        <w:jc w:val="left"/>
        <w:rPr>
          <w:rFonts w:ascii="宋体" w:hAnsi="宋体"/>
          <w:kern w:val="0"/>
          <w:szCs w:val="21"/>
          <w:highlight w:val="none"/>
        </w:rPr>
      </w:pPr>
    </w:p>
    <w:p w14:paraId="5EE667AA">
      <w:pPr>
        <w:pStyle w:val="18"/>
        <w:spacing w:line="360" w:lineRule="auto"/>
        <w:rPr>
          <w:rFonts w:ascii="宋体" w:hAnsi="宋体"/>
          <w:sz w:val="21"/>
          <w:szCs w:val="21"/>
          <w:highlight w:val="none"/>
          <w:u w:val="single"/>
        </w:rPr>
      </w:pPr>
      <w:r>
        <w:rPr>
          <w:rFonts w:hint="eastAsia" w:ascii="Times New Roman" w:hAnsi="宋体" w:eastAsia="宋体"/>
          <w:kern w:val="0"/>
          <w:sz w:val="21"/>
          <w:szCs w:val="21"/>
          <w:highlight w:val="none"/>
        </w:rPr>
        <w:t xml:space="preserve">授权代表（签字或盖章）：  </w:t>
      </w:r>
      <w:r>
        <w:rPr>
          <w:rFonts w:hint="eastAsia" w:ascii="宋体" w:hAnsi="宋体"/>
          <w:sz w:val="21"/>
          <w:szCs w:val="21"/>
          <w:highlight w:val="none"/>
          <w:u w:val="single"/>
        </w:rPr>
        <w:t xml:space="preserve">                    </w:t>
      </w:r>
    </w:p>
    <w:p w14:paraId="2985FB9F">
      <w:pPr>
        <w:widowControl/>
        <w:spacing w:line="360" w:lineRule="auto"/>
        <w:jc w:val="left"/>
        <w:rPr>
          <w:rFonts w:ascii="宋体" w:hAnsi="宋体"/>
          <w:kern w:val="0"/>
          <w:szCs w:val="21"/>
          <w:highlight w:val="none"/>
        </w:rPr>
      </w:pPr>
    </w:p>
    <w:p w14:paraId="096A49FE">
      <w:pPr>
        <w:widowControl/>
        <w:spacing w:line="360" w:lineRule="auto"/>
        <w:jc w:val="left"/>
        <w:rPr>
          <w:rFonts w:ascii="宋体" w:hAnsi="宋体"/>
          <w:kern w:val="0"/>
          <w:szCs w:val="21"/>
          <w:highlight w:val="none"/>
        </w:rPr>
      </w:pPr>
      <w:r>
        <w:rPr>
          <w:rFonts w:hint="eastAsia" w:ascii="宋体" w:hAnsi="宋体"/>
          <w:kern w:val="0"/>
          <w:szCs w:val="21"/>
          <w:highlight w:val="none"/>
        </w:rPr>
        <w:t>日期：</w:t>
      </w:r>
      <w:r>
        <w:rPr>
          <w:rFonts w:ascii="宋体" w:hAnsi="宋体"/>
          <w:kern w:val="0"/>
          <w:szCs w:val="21"/>
          <w:highlight w:val="none"/>
        </w:rPr>
        <w:t xml:space="preserve">     </w:t>
      </w:r>
      <w:r>
        <w:rPr>
          <w:rFonts w:hint="eastAsia" w:ascii="宋体" w:hAnsi="宋体"/>
          <w:kern w:val="0"/>
          <w:szCs w:val="21"/>
          <w:highlight w:val="none"/>
        </w:rPr>
        <w:t>年</w:t>
      </w: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 xml:space="preserve"> 日</w:t>
      </w:r>
    </w:p>
    <w:p w14:paraId="732F2A03">
      <w:pPr>
        <w:spacing w:line="360" w:lineRule="auto"/>
        <w:ind w:left="1159" w:leftChars="552" w:firstLine="2261"/>
        <w:rPr>
          <w:rFonts w:ascii="宋体" w:hAnsi="宋体" w:cs="宋体"/>
          <w:szCs w:val="21"/>
          <w:highlight w:val="none"/>
        </w:rPr>
      </w:pPr>
    </w:p>
    <w:p w14:paraId="1C567C1C">
      <w:pPr>
        <w:spacing w:line="360" w:lineRule="auto"/>
        <w:rPr>
          <w:rFonts w:ascii="宋体" w:hAnsi="宋体" w:cs="宋体"/>
          <w:szCs w:val="21"/>
          <w:highlight w:val="none"/>
        </w:rPr>
      </w:pPr>
      <w:r>
        <w:rPr>
          <w:rFonts w:ascii="宋体" w:hAnsi="宋体" w:cs="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3124200</wp:posOffset>
                </wp:positionH>
                <wp:positionV relativeFrom="paragraph">
                  <wp:posOffset>217170</wp:posOffset>
                </wp:positionV>
                <wp:extent cx="2781300" cy="1639570"/>
                <wp:effectExtent l="4445" t="4445" r="14605" b="13335"/>
                <wp:wrapNone/>
                <wp:docPr id="8" name="矩形 8"/>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708A604">
                            <w:pPr>
                              <w:ind w:firstLine="1260" w:firstLineChars="600"/>
                            </w:pPr>
                            <w:r>
                              <w:rPr>
                                <w:rFonts w:hint="eastAsia"/>
                              </w:rPr>
                              <w:t>被授权人（授权代表）</w:t>
                            </w:r>
                          </w:p>
                          <w:p w14:paraId="319E7873">
                            <w:pPr>
                              <w:ind w:firstLine="1050" w:firstLineChars="500"/>
                            </w:pPr>
                            <w:r>
                              <w:rPr>
                                <w:rFonts w:hint="eastAsia"/>
                              </w:rPr>
                              <w:t>居民身份证复印件粘贴处</w:t>
                            </w:r>
                          </w:p>
                          <w:p w14:paraId="7F5373F8">
                            <w:pPr>
                              <w:ind w:firstLine="1050" w:firstLineChars="500"/>
                            </w:pPr>
                          </w:p>
                          <w:p w14:paraId="59202D30">
                            <w:pPr>
                              <w:ind w:firstLine="1050" w:firstLineChars="500"/>
                            </w:pPr>
                            <w:r>
                              <w:rPr>
                                <w:rFonts w:hint="eastAsia"/>
                              </w:rPr>
                              <w:t xml:space="preserve">       （反面</w:t>
                            </w:r>
                            <w:r>
                              <w:t>）</w:t>
                            </w:r>
                          </w:p>
                          <w:p w14:paraId="3E8B7BCB"/>
                        </w:txbxContent>
                      </wps:txbx>
                      <wps:bodyPr upright="1"/>
                    </wps:wsp>
                  </a:graphicData>
                </a:graphic>
              </wp:anchor>
            </w:drawing>
          </mc:Choice>
          <mc:Fallback>
            <w:pict>
              <v:rect id="_x0000_s1026" o:spid="_x0000_s1026" o:spt="1" style="position:absolute;left:0pt;margin-left:246pt;margin-top:17.1pt;height:129.1pt;width:219pt;z-index:251661312;mso-width-relative:page;mso-height-relative:page;" fillcolor="#FFFFFF" filled="t" stroked="t" coordsize="21600,21600" o:gfxdata="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VOnF2AAAAAoBAAAPAAAAAAAAAAEAIAAAACIA&#10;AABkcnMvZG93bnJldi54bWxQSwECFAAUAAAACACHTuJAiI7iwgkCAAA4BAAADgAAAAAAAAABACAA&#10;AAAnAQAAZHJzL2Uyb0RvYy54bWxQSwUGAAAAAAYABgBZAQAAogUAAAAA&#10;">
                <v:fill on="t" focussize="0,0"/>
                <v:stroke color="#000000" joinstyle="miter"/>
                <v:imagedata o:title=""/>
                <o:lock v:ext="edit" aspectratio="f"/>
                <v:textbox>
                  <w:txbxContent>
                    <w:p w14:paraId="0708A604">
                      <w:pPr>
                        <w:ind w:firstLine="1260" w:firstLineChars="600"/>
                      </w:pPr>
                      <w:r>
                        <w:rPr>
                          <w:rFonts w:hint="eastAsia"/>
                        </w:rPr>
                        <w:t>被授权人（授权代表）</w:t>
                      </w:r>
                    </w:p>
                    <w:p w14:paraId="319E7873">
                      <w:pPr>
                        <w:ind w:firstLine="1050" w:firstLineChars="500"/>
                      </w:pPr>
                      <w:r>
                        <w:rPr>
                          <w:rFonts w:hint="eastAsia"/>
                        </w:rPr>
                        <w:t>居民身份证复印件粘贴处</w:t>
                      </w:r>
                    </w:p>
                    <w:p w14:paraId="7F5373F8">
                      <w:pPr>
                        <w:ind w:firstLine="1050" w:firstLineChars="500"/>
                      </w:pPr>
                    </w:p>
                    <w:p w14:paraId="59202D30">
                      <w:pPr>
                        <w:ind w:firstLine="1050" w:firstLineChars="500"/>
                      </w:pPr>
                      <w:r>
                        <w:rPr>
                          <w:rFonts w:hint="eastAsia"/>
                        </w:rPr>
                        <w:t xml:space="preserve">       （反面</w:t>
                      </w:r>
                      <w:r>
                        <w:t>）</w:t>
                      </w:r>
                    </w:p>
                    <w:p w14:paraId="3E8B7BCB"/>
                  </w:txbxContent>
                </v:textbox>
              </v:rect>
            </w:pict>
          </mc:Fallback>
        </mc:AlternateContent>
      </w:r>
      <w:r>
        <w:rPr>
          <w:rFonts w:ascii="宋体" w:hAnsi="宋体" w:cs="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217170</wp:posOffset>
                </wp:positionV>
                <wp:extent cx="2781300" cy="1639570"/>
                <wp:effectExtent l="4445" t="4445" r="14605" b="13335"/>
                <wp:wrapNone/>
                <wp:docPr id="1" name="矩形 1"/>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0E347C">
                            <w:pPr>
                              <w:ind w:firstLine="1260" w:firstLineChars="600"/>
                            </w:pPr>
                            <w:r>
                              <w:rPr>
                                <w:rFonts w:hint="eastAsia"/>
                              </w:rPr>
                              <w:t>被授权人（授权代表）</w:t>
                            </w:r>
                          </w:p>
                          <w:p w14:paraId="5488FE8C">
                            <w:pPr>
                              <w:ind w:firstLine="1050" w:firstLineChars="500"/>
                            </w:pPr>
                            <w:r>
                              <w:rPr>
                                <w:rFonts w:hint="eastAsia"/>
                              </w:rPr>
                              <w:t>居民身份证复印件粘贴处</w:t>
                            </w:r>
                          </w:p>
                          <w:p w14:paraId="543C1299"/>
                          <w:p w14:paraId="6775CFA3">
                            <w:pPr>
                              <w:jc w:val="center"/>
                            </w:pPr>
                            <w:r>
                              <w:rPr>
                                <w:rFonts w:hint="eastAsia"/>
                              </w:rPr>
                              <w:t>（正面</w:t>
                            </w:r>
                            <w:r>
                              <w:t>）</w:t>
                            </w:r>
                          </w:p>
                        </w:txbxContent>
                      </wps:txbx>
                      <wps:bodyPr upright="1"/>
                    </wps:wsp>
                  </a:graphicData>
                </a:graphic>
              </wp:anchor>
            </w:drawing>
          </mc:Choice>
          <mc:Fallback>
            <w:pict>
              <v:rect id="_x0000_s1026" o:spid="_x0000_s1026" o:spt="1" style="position:absolute;left:0pt;margin-left:11.25pt;margin-top:17.1pt;height:129.1pt;width:219pt;z-index:251660288;mso-width-relative:page;mso-height-relative:page;" fillcolor="#FFFFFF" filled="t" stroked="t" coordsize="21600,21600" o:gfxdata="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pKmp7XAAAACQEAAA8AAAAAAAAAAQAgAAAAIgAA&#10;AGRycy9kb3ducmV2LnhtbFBLAQIUABQAAAAIAIdO4kDdxxIFCQIAADgEAAAOAAAAAAAAAAEAIAAA&#10;ACYBAABkcnMvZTJvRG9jLnhtbFBLBQYAAAAABgAGAFkBAAChBQAAAAA=&#10;">
                <v:fill on="t" focussize="0,0"/>
                <v:stroke color="#000000" joinstyle="miter"/>
                <v:imagedata o:title=""/>
                <o:lock v:ext="edit" aspectratio="f"/>
                <v:textbox>
                  <w:txbxContent>
                    <w:p w14:paraId="570E347C">
                      <w:pPr>
                        <w:ind w:firstLine="1260" w:firstLineChars="600"/>
                      </w:pPr>
                      <w:r>
                        <w:rPr>
                          <w:rFonts w:hint="eastAsia"/>
                        </w:rPr>
                        <w:t>被授权人（授权代表）</w:t>
                      </w:r>
                    </w:p>
                    <w:p w14:paraId="5488FE8C">
                      <w:pPr>
                        <w:ind w:firstLine="1050" w:firstLineChars="500"/>
                      </w:pPr>
                      <w:r>
                        <w:rPr>
                          <w:rFonts w:hint="eastAsia"/>
                        </w:rPr>
                        <w:t>居民身份证复印件粘贴处</w:t>
                      </w:r>
                    </w:p>
                    <w:p w14:paraId="543C1299"/>
                    <w:p w14:paraId="6775CFA3">
                      <w:pPr>
                        <w:jc w:val="center"/>
                      </w:pPr>
                      <w:r>
                        <w:rPr>
                          <w:rFonts w:hint="eastAsia"/>
                        </w:rPr>
                        <w:t>（正面</w:t>
                      </w:r>
                      <w:r>
                        <w:t>）</w:t>
                      </w:r>
                    </w:p>
                  </w:txbxContent>
                </v:textbox>
              </v:rect>
            </w:pict>
          </mc:Fallback>
        </mc:AlternateContent>
      </w:r>
    </w:p>
    <w:p w14:paraId="4C406CB2">
      <w:pPr>
        <w:spacing w:line="360" w:lineRule="auto"/>
        <w:rPr>
          <w:rFonts w:ascii="宋体" w:hAnsi="宋体" w:cs="宋体"/>
          <w:szCs w:val="21"/>
          <w:highlight w:val="none"/>
        </w:rPr>
      </w:pPr>
    </w:p>
    <w:p w14:paraId="11CD0C4D">
      <w:pPr>
        <w:spacing w:line="360" w:lineRule="auto"/>
        <w:rPr>
          <w:rFonts w:ascii="宋体" w:hAnsi="宋体" w:cs="宋体"/>
          <w:szCs w:val="21"/>
          <w:highlight w:val="none"/>
        </w:rPr>
      </w:pPr>
    </w:p>
    <w:p w14:paraId="51C2674C">
      <w:pPr>
        <w:spacing w:line="360" w:lineRule="auto"/>
        <w:rPr>
          <w:rFonts w:ascii="宋体" w:hAnsi="宋体" w:cs="宋体"/>
          <w:szCs w:val="21"/>
          <w:highlight w:val="none"/>
        </w:rPr>
      </w:pPr>
    </w:p>
    <w:p w14:paraId="4C5B9D34">
      <w:pPr>
        <w:spacing w:line="360" w:lineRule="auto"/>
        <w:rPr>
          <w:rFonts w:ascii="宋体" w:hAnsi="宋体" w:cs="宋体"/>
          <w:szCs w:val="21"/>
          <w:highlight w:val="none"/>
        </w:rPr>
      </w:pPr>
    </w:p>
    <w:p w14:paraId="57379A6D">
      <w:pPr>
        <w:spacing w:line="360" w:lineRule="auto"/>
        <w:rPr>
          <w:rFonts w:ascii="宋体" w:hAnsi="宋体" w:cs="宋体"/>
          <w:szCs w:val="21"/>
          <w:highlight w:val="none"/>
        </w:rPr>
      </w:pPr>
    </w:p>
    <w:p w14:paraId="5FED7830">
      <w:pPr>
        <w:spacing w:line="360" w:lineRule="auto"/>
        <w:rPr>
          <w:rFonts w:ascii="宋体" w:hAnsi="宋体" w:cs="宋体"/>
          <w:szCs w:val="21"/>
          <w:highlight w:val="none"/>
        </w:rPr>
      </w:pPr>
    </w:p>
    <w:p w14:paraId="0CABFED0">
      <w:pPr>
        <w:spacing w:line="360" w:lineRule="auto"/>
        <w:rPr>
          <w:rFonts w:ascii="宋体" w:hAnsi="宋体" w:cs="宋体"/>
          <w:szCs w:val="21"/>
          <w:highlight w:val="none"/>
        </w:rPr>
      </w:pPr>
    </w:p>
    <w:p w14:paraId="52329DC5">
      <w:pPr>
        <w:spacing w:line="440" w:lineRule="exact"/>
        <w:rPr>
          <w:rFonts w:ascii="宋体" w:hAnsi="宋体" w:cs="宋体"/>
          <w:szCs w:val="21"/>
          <w:highlight w:val="none"/>
        </w:rPr>
        <w:sectPr>
          <w:pgSz w:w="11906" w:h="16838"/>
          <w:pgMar w:top="1440" w:right="1286" w:bottom="1440" w:left="1440" w:header="851" w:footer="992" w:gutter="0"/>
          <w:cols w:space="720" w:num="1"/>
          <w:docGrid w:type="lines" w:linePitch="312" w:charSpace="0"/>
        </w:sectPr>
      </w:pPr>
      <w:bookmarkStart w:id="418" w:name="_Toc226217114"/>
    </w:p>
    <w:bookmarkEnd w:id="418"/>
    <w:p w14:paraId="144DC5DA">
      <w:pPr>
        <w:numPr>
          <w:ilvl w:val="0"/>
          <w:numId w:val="37"/>
        </w:numPr>
        <w:spacing w:line="440" w:lineRule="exact"/>
        <w:rPr>
          <w:rFonts w:ascii="宋体" w:hAnsi="宋体" w:cs="宋体"/>
          <w:szCs w:val="21"/>
          <w:highlight w:val="none"/>
        </w:rPr>
      </w:pPr>
    </w:p>
    <w:p w14:paraId="2C14B82E">
      <w:pPr>
        <w:pStyle w:val="4"/>
        <w:adjustRightInd w:val="0"/>
        <w:snapToGrid w:val="0"/>
        <w:spacing w:before="156" w:beforeLines="50" w:after="156" w:afterLines="50" w:line="360" w:lineRule="auto"/>
        <w:jc w:val="center"/>
        <w:rPr>
          <w:b w:val="0"/>
          <w:bCs w:val="0"/>
          <w:highlight w:val="none"/>
        </w:rPr>
      </w:pPr>
      <w:bookmarkStart w:id="419" w:name="_Toc275865608"/>
      <w:r>
        <w:rPr>
          <w:rFonts w:hint="eastAsia"/>
          <w:b w:val="0"/>
          <w:bCs w:val="0"/>
          <w:highlight w:val="none"/>
        </w:rPr>
        <w:t>法定代表人（负责人）证明书</w:t>
      </w:r>
      <w:bookmarkEnd w:id="413"/>
      <w:bookmarkEnd w:id="414"/>
      <w:bookmarkEnd w:id="415"/>
      <w:bookmarkEnd w:id="416"/>
      <w:bookmarkEnd w:id="417"/>
      <w:bookmarkEnd w:id="419"/>
    </w:p>
    <w:p w14:paraId="5F1F0E21">
      <w:pPr>
        <w:tabs>
          <w:tab w:val="left" w:pos="900"/>
        </w:tabs>
        <w:spacing w:line="480" w:lineRule="auto"/>
        <w:ind w:firstLine="945" w:firstLineChars="450"/>
        <w:rPr>
          <w:rFonts w:ascii="宋体" w:hAnsi="宋体" w:cs="宋体"/>
          <w:szCs w:val="21"/>
          <w:highlight w:val="none"/>
        </w:rPr>
      </w:pPr>
      <w:r>
        <w:rPr>
          <w:rFonts w:hint="eastAsia" w:ascii="宋体" w:hAnsi="宋体" w:cs="宋体"/>
          <w:szCs w:val="21"/>
          <w:highlight w:val="none"/>
        </w:rPr>
        <w:t>______________同志，现任我单位职务，为法定代表人（负责人），特此证明。</w:t>
      </w:r>
    </w:p>
    <w:p w14:paraId="42AB0DCA">
      <w:pPr>
        <w:tabs>
          <w:tab w:val="left" w:pos="900"/>
        </w:tabs>
        <w:spacing w:line="480" w:lineRule="auto"/>
        <w:ind w:firstLine="945" w:firstLineChars="450"/>
        <w:rPr>
          <w:rFonts w:ascii="宋体" w:hAnsi="宋体" w:cs="宋体"/>
          <w:szCs w:val="21"/>
          <w:highlight w:val="none"/>
        </w:rPr>
      </w:pPr>
      <w:r>
        <w:rPr>
          <w:rFonts w:hint="eastAsia" w:ascii="宋体" w:hAnsi="宋体" w:cs="宋体"/>
          <w:szCs w:val="21"/>
          <w:highlight w:val="none"/>
        </w:rPr>
        <w:t>有效日期与本公司投标文件中标注的投标有效期相同。</w:t>
      </w:r>
    </w:p>
    <w:p w14:paraId="2A6358E2">
      <w:pPr>
        <w:tabs>
          <w:tab w:val="left" w:pos="900"/>
        </w:tabs>
        <w:spacing w:line="480" w:lineRule="auto"/>
        <w:ind w:firstLine="945" w:firstLineChars="450"/>
        <w:rPr>
          <w:rFonts w:ascii="宋体" w:hAnsi="宋体" w:cs="宋体"/>
          <w:szCs w:val="21"/>
          <w:highlight w:val="none"/>
        </w:rPr>
      </w:pPr>
      <w:r>
        <w:rPr>
          <w:rFonts w:hint="eastAsia" w:ascii="宋体" w:hAnsi="宋体" w:cs="宋体"/>
          <w:szCs w:val="21"/>
          <w:highlight w:val="none"/>
        </w:rPr>
        <w:t xml:space="preserve">签发日期：  年 月 日             </w:t>
      </w:r>
    </w:p>
    <w:p w14:paraId="21EA66FC">
      <w:pPr>
        <w:spacing w:line="480" w:lineRule="auto"/>
        <w:ind w:firstLine="420" w:firstLineChars="200"/>
        <w:rPr>
          <w:rFonts w:ascii="宋体" w:hAnsi="宋体" w:cs="宋体"/>
          <w:szCs w:val="21"/>
          <w:highlight w:val="none"/>
        </w:rPr>
      </w:pPr>
      <w:r>
        <w:rPr>
          <w:rFonts w:hint="eastAsia" w:ascii="宋体" w:hAnsi="宋体" w:cs="宋体"/>
          <w:szCs w:val="21"/>
          <w:highlight w:val="none"/>
        </w:rPr>
        <w:t>附：</w:t>
      </w:r>
    </w:p>
    <w:p w14:paraId="39CCE7EA">
      <w:pPr>
        <w:spacing w:line="480" w:lineRule="auto"/>
        <w:ind w:firstLine="840" w:firstLineChars="400"/>
        <w:rPr>
          <w:rFonts w:ascii="宋体" w:hAnsi="宋体" w:cs="宋体"/>
          <w:szCs w:val="21"/>
          <w:highlight w:val="none"/>
        </w:rPr>
      </w:pPr>
      <w:r>
        <w:rPr>
          <w:rFonts w:hint="eastAsia" w:ascii="宋体" w:hAnsi="宋体" w:cs="宋体"/>
          <w:szCs w:val="21"/>
          <w:highlight w:val="none"/>
        </w:rPr>
        <w:t xml:space="preserve">营业执照号码：                       </w:t>
      </w:r>
    </w:p>
    <w:p w14:paraId="2DFD7189">
      <w:pPr>
        <w:spacing w:line="480" w:lineRule="auto"/>
        <w:ind w:firstLine="840" w:firstLineChars="400"/>
        <w:rPr>
          <w:rFonts w:ascii="宋体" w:hAnsi="宋体" w:cs="宋体"/>
          <w:szCs w:val="21"/>
          <w:highlight w:val="none"/>
        </w:rPr>
      </w:pPr>
      <w:r>
        <w:rPr>
          <w:rFonts w:hint="eastAsia" w:ascii="宋体" w:hAnsi="宋体" w:cs="宋体"/>
          <w:szCs w:val="21"/>
          <w:highlight w:val="none"/>
        </w:rPr>
        <w:t>经济性质：</w:t>
      </w:r>
    </w:p>
    <w:p w14:paraId="138C2FB4">
      <w:pPr>
        <w:spacing w:line="480" w:lineRule="auto"/>
        <w:ind w:firstLine="840" w:firstLineChars="400"/>
        <w:rPr>
          <w:rFonts w:ascii="宋体" w:hAnsi="宋体" w:cs="宋体"/>
          <w:szCs w:val="21"/>
          <w:highlight w:val="none"/>
        </w:rPr>
      </w:pPr>
      <w:r>
        <w:rPr>
          <w:rFonts w:hint="eastAsia" w:ascii="宋体" w:hAnsi="宋体" w:cs="宋体"/>
          <w:szCs w:val="21"/>
          <w:highlight w:val="none"/>
        </w:rPr>
        <w:t>经营范围：</w:t>
      </w:r>
    </w:p>
    <w:p w14:paraId="6C6CDA5D">
      <w:pPr>
        <w:spacing w:line="480" w:lineRule="auto"/>
        <w:ind w:firstLine="843" w:firstLineChars="400"/>
        <w:rPr>
          <w:rFonts w:ascii="宋体" w:hAnsi="宋体" w:cs="宋体"/>
          <w:szCs w:val="21"/>
          <w:highlight w:val="none"/>
        </w:rPr>
      </w:pPr>
      <w:r>
        <w:rPr>
          <w:rFonts w:ascii="宋体" w:hAnsi="宋体" w:cs="宋体"/>
          <w:b/>
          <w:bCs/>
          <w:szCs w:val="21"/>
          <w:highlight w:val="none"/>
        </w:rPr>
        <mc:AlternateContent>
          <mc:Choice Requires="wps">
            <w:drawing>
              <wp:anchor distT="0" distB="0" distL="114300" distR="114300" simplePos="0" relativeHeight="251662336" behindDoc="0" locked="0" layoutInCell="1" allowOverlap="1">
                <wp:simplePos x="0" y="0"/>
                <wp:positionH relativeFrom="column">
                  <wp:posOffset>3528695</wp:posOffset>
                </wp:positionH>
                <wp:positionV relativeFrom="paragraph">
                  <wp:posOffset>243840</wp:posOffset>
                </wp:positionV>
                <wp:extent cx="2743200" cy="1622425"/>
                <wp:effectExtent l="4445" t="4445" r="14605" b="11430"/>
                <wp:wrapNone/>
                <wp:docPr id="2" name="矩形 2"/>
                <wp:cNvGraphicFramePr/>
                <a:graphic xmlns:a="http://schemas.openxmlformats.org/drawingml/2006/main">
                  <a:graphicData uri="http://schemas.microsoft.com/office/word/2010/wordprocessingShape">
                    <wps:wsp>
                      <wps:cNvSpPr/>
                      <wps:spPr>
                        <a:xfrm>
                          <a:off x="0" y="0"/>
                          <a:ext cx="2743200" cy="162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DF17C2">
                            <w:pPr>
                              <w:ind w:firstLine="840" w:firstLineChars="400"/>
                            </w:pPr>
                          </w:p>
                          <w:p w14:paraId="72177338">
                            <w:pPr>
                              <w:jc w:val="center"/>
                            </w:pPr>
                            <w:r>
                              <w:rPr>
                                <w:rFonts w:hint="eastAsia"/>
                              </w:rPr>
                              <w:t>法定代表人（负责人）居民身份证复印件粘贴处（反面</w:t>
                            </w:r>
                            <w:r>
                              <w:t>）</w:t>
                            </w:r>
                          </w:p>
                        </w:txbxContent>
                      </wps:txbx>
                      <wps:bodyPr upright="1"/>
                    </wps:wsp>
                  </a:graphicData>
                </a:graphic>
              </wp:anchor>
            </w:drawing>
          </mc:Choice>
          <mc:Fallback>
            <w:pict>
              <v:rect id="_x0000_s1026" o:spid="_x0000_s1026" o:spt="1" style="position:absolute;left:0pt;margin-left:277.85pt;margin-top:19.2pt;height:127.75pt;width:216pt;z-index:251662336;mso-width-relative:page;mso-height-relative:page;" fillcolor="#FFFFFF" filled="t" stroked="t" coordsize="21600,21600" o:gfxdata="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xg2D2QAAAAoBAAAPAAAAAAAAAAEAIAAAACIAAABk&#10;cnMvZG93bnJldi54bWxQSwECFAAUAAAACACHTuJAcc+3zQUCAAA4BAAADgAAAAAAAAABACAAAAAo&#10;AQAAZHJzL2Uyb0RvYy54bWxQSwUGAAAAAAYABgBZAQAAnwUAAAAA&#10;">
                <v:fill on="t" focussize="0,0"/>
                <v:stroke color="#000000" joinstyle="miter"/>
                <v:imagedata o:title=""/>
                <o:lock v:ext="edit" aspectratio="f"/>
                <v:textbox>
                  <w:txbxContent>
                    <w:p w14:paraId="56DF17C2">
                      <w:pPr>
                        <w:ind w:firstLine="840" w:firstLineChars="400"/>
                      </w:pPr>
                    </w:p>
                    <w:p w14:paraId="72177338">
                      <w:pPr>
                        <w:jc w:val="center"/>
                      </w:pPr>
                      <w:r>
                        <w:rPr>
                          <w:rFonts w:hint="eastAsia"/>
                        </w:rPr>
                        <w:t>法定代表人（负责人）居民身份证复印件粘贴处（反面</w:t>
                      </w:r>
                      <w:r>
                        <w:t>）</w:t>
                      </w:r>
                    </w:p>
                  </w:txbxContent>
                </v:textbox>
              </v:rect>
            </w:pict>
          </mc:Fallback>
        </mc:AlternateContent>
      </w:r>
      <w:r>
        <w:rPr>
          <w:rFonts w:ascii="宋体" w:hAnsi="宋体" w:cs="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575945</wp:posOffset>
                </wp:positionH>
                <wp:positionV relativeFrom="paragraph">
                  <wp:posOffset>243840</wp:posOffset>
                </wp:positionV>
                <wp:extent cx="2743200" cy="1622425"/>
                <wp:effectExtent l="4445" t="4445" r="14605" b="11430"/>
                <wp:wrapNone/>
                <wp:docPr id="4" name="矩形 4"/>
                <wp:cNvGraphicFramePr/>
                <a:graphic xmlns:a="http://schemas.openxmlformats.org/drawingml/2006/main">
                  <a:graphicData uri="http://schemas.microsoft.com/office/word/2010/wordprocessingShape">
                    <wps:wsp>
                      <wps:cNvSpPr/>
                      <wps:spPr>
                        <a:xfrm>
                          <a:off x="0" y="0"/>
                          <a:ext cx="2743200" cy="162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1DE904">
                            <w:pPr>
                              <w:ind w:firstLine="840" w:firstLineChars="400"/>
                            </w:pPr>
                          </w:p>
                          <w:p w14:paraId="539B6E54">
                            <w:pPr>
                              <w:jc w:val="center"/>
                            </w:pPr>
                            <w:r>
                              <w:rPr>
                                <w:rFonts w:hint="eastAsia"/>
                              </w:rPr>
                              <w:t>法定代表人（负责人）居民身份证复印件粘贴处（正面</w:t>
                            </w:r>
                            <w:r>
                              <w:t>）</w:t>
                            </w:r>
                          </w:p>
                        </w:txbxContent>
                      </wps:txbx>
                      <wps:bodyPr upright="1"/>
                    </wps:wsp>
                  </a:graphicData>
                </a:graphic>
              </wp:anchor>
            </w:drawing>
          </mc:Choice>
          <mc:Fallback>
            <w:pict>
              <v:rect id="_x0000_s1026" o:spid="_x0000_s1026" o:spt="1" style="position:absolute;left:0pt;margin-left:45.35pt;margin-top:19.2pt;height:127.75pt;width:216pt;z-index:251659264;mso-width-relative:page;mso-height-relative:page;" fillcolor="#FFFFFF" filled="t" stroked="t" coordsize="21600,21600" o:gfxdata="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efqovYAAAACQEAAA8AAAAAAAAAAQAgAAAAIgAAAGRy&#10;cy9kb3ducmV2LnhtbFBLAQIUABQAAAAIAIdO4kDSSqdbBQIAADgEAAAOAAAAAAAAAAEAIAAAACcB&#10;AABkcnMvZTJvRG9jLnhtbFBLBQYAAAAABgAGAFkBAACeBQAAAAA=&#10;">
                <v:fill on="t" focussize="0,0"/>
                <v:stroke color="#000000" joinstyle="miter"/>
                <v:imagedata o:title=""/>
                <o:lock v:ext="edit" aspectratio="f"/>
                <v:textbox>
                  <w:txbxContent>
                    <w:p w14:paraId="461DE904">
                      <w:pPr>
                        <w:ind w:firstLine="840" w:firstLineChars="400"/>
                      </w:pPr>
                    </w:p>
                    <w:p w14:paraId="539B6E54">
                      <w:pPr>
                        <w:jc w:val="center"/>
                      </w:pPr>
                      <w:r>
                        <w:rPr>
                          <w:rFonts w:hint="eastAsia"/>
                        </w:rPr>
                        <w:t>法定代表人（负责人）居民身份证复印件粘贴处（正面</w:t>
                      </w:r>
                      <w:r>
                        <w:t>）</w:t>
                      </w:r>
                    </w:p>
                  </w:txbxContent>
                </v:textbox>
              </v:rect>
            </w:pict>
          </mc:Fallback>
        </mc:AlternateContent>
      </w:r>
    </w:p>
    <w:p w14:paraId="3010ADA8">
      <w:pPr>
        <w:spacing w:line="500" w:lineRule="exact"/>
        <w:rPr>
          <w:rFonts w:ascii="宋体" w:hAnsi="宋体" w:cs="宋体"/>
          <w:b/>
          <w:bCs/>
          <w:szCs w:val="21"/>
          <w:highlight w:val="none"/>
        </w:rPr>
      </w:pPr>
    </w:p>
    <w:p w14:paraId="17E9784E">
      <w:pPr>
        <w:spacing w:line="500" w:lineRule="exact"/>
        <w:rPr>
          <w:rFonts w:ascii="宋体" w:hAnsi="宋体" w:cs="宋体"/>
          <w:b/>
          <w:bCs/>
          <w:szCs w:val="21"/>
          <w:highlight w:val="none"/>
        </w:rPr>
      </w:pPr>
    </w:p>
    <w:p w14:paraId="77E65898">
      <w:pPr>
        <w:spacing w:line="500" w:lineRule="exact"/>
        <w:rPr>
          <w:rFonts w:ascii="宋体" w:hAnsi="宋体" w:cs="宋体"/>
          <w:b/>
          <w:bCs/>
          <w:szCs w:val="21"/>
          <w:highlight w:val="none"/>
        </w:rPr>
      </w:pPr>
    </w:p>
    <w:p w14:paraId="28B2F62A">
      <w:pPr>
        <w:spacing w:line="500" w:lineRule="exact"/>
        <w:rPr>
          <w:rFonts w:ascii="宋体" w:hAnsi="宋体" w:cs="宋体"/>
          <w:b/>
          <w:bCs/>
          <w:szCs w:val="21"/>
          <w:highlight w:val="none"/>
        </w:rPr>
      </w:pPr>
    </w:p>
    <w:p w14:paraId="77E9856A">
      <w:pPr>
        <w:spacing w:line="500" w:lineRule="exact"/>
        <w:rPr>
          <w:rFonts w:ascii="宋体" w:hAnsi="宋体" w:cs="宋体"/>
          <w:b/>
          <w:bCs/>
          <w:szCs w:val="21"/>
          <w:highlight w:val="none"/>
        </w:rPr>
      </w:pPr>
    </w:p>
    <w:p w14:paraId="35BADF9C">
      <w:pPr>
        <w:spacing w:line="500" w:lineRule="exact"/>
        <w:rPr>
          <w:rFonts w:ascii="宋体" w:hAnsi="宋体" w:cs="宋体"/>
          <w:b/>
          <w:bCs/>
          <w:szCs w:val="21"/>
          <w:highlight w:val="none"/>
        </w:rPr>
      </w:pPr>
    </w:p>
    <w:p w14:paraId="7BE69AF8">
      <w:pPr>
        <w:spacing w:line="500" w:lineRule="exact"/>
        <w:rPr>
          <w:rFonts w:ascii="宋体" w:hAnsi="宋体" w:cs="宋体"/>
          <w:b/>
          <w:bCs/>
          <w:szCs w:val="21"/>
          <w:highlight w:val="none"/>
        </w:rPr>
      </w:pPr>
    </w:p>
    <w:p w14:paraId="68D0F5E9">
      <w:pPr>
        <w:spacing w:line="500" w:lineRule="exact"/>
        <w:ind w:left="4830" w:leftChars="2200" w:hanging="210" w:hangingChars="100"/>
        <w:rPr>
          <w:rFonts w:ascii="宋体" w:hAnsi="宋体" w:cs="宋体"/>
          <w:szCs w:val="21"/>
          <w:highlight w:val="none"/>
        </w:rPr>
      </w:pPr>
      <w:r>
        <w:rPr>
          <w:rFonts w:hint="eastAsia" w:ascii="宋体" w:hAnsi="宋体" w:cs="宋体"/>
          <w:szCs w:val="21"/>
          <w:highlight w:val="none"/>
        </w:rPr>
        <w:t>投标人名称(加盖公章)：</w:t>
      </w:r>
    </w:p>
    <w:p w14:paraId="28F86743">
      <w:pPr>
        <w:spacing w:line="500" w:lineRule="exact"/>
        <w:ind w:left="4830" w:leftChars="2200" w:hanging="210" w:hangingChars="100"/>
        <w:rPr>
          <w:rFonts w:ascii="宋体" w:hAnsi="宋体" w:cs="宋体"/>
          <w:szCs w:val="21"/>
          <w:highlight w:val="none"/>
        </w:rPr>
      </w:pPr>
      <w:r>
        <w:rPr>
          <w:rFonts w:hint="eastAsia" w:ascii="宋体" w:hAnsi="宋体" w:cs="宋体"/>
          <w:szCs w:val="21"/>
          <w:highlight w:val="none"/>
        </w:rPr>
        <w:t>地址：</w:t>
      </w:r>
    </w:p>
    <w:p w14:paraId="2288CFEA">
      <w:pPr>
        <w:spacing w:line="500" w:lineRule="exact"/>
        <w:ind w:left="4830" w:leftChars="2200" w:hanging="210" w:hangingChars="100"/>
        <w:rPr>
          <w:rFonts w:ascii="宋体" w:hAnsi="宋体" w:cs="宋体"/>
          <w:b/>
          <w:bCs/>
          <w:szCs w:val="21"/>
          <w:highlight w:val="none"/>
        </w:rPr>
      </w:pPr>
      <w:r>
        <w:rPr>
          <w:rFonts w:hint="eastAsia" w:ascii="宋体" w:hAnsi="宋体" w:cs="宋体"/>
          <w:szCs w:val="21"/>
          <w:highlight w:val="none"/>
        </w:rPr>
        <w:t>日期：</w:t>
      </w:r>
    </w:p>
    <w:p w14:paraId="0C8DA1CD">
      <w:pPr>
        <w:rPr>
          <w:rFonts w:ascii="宋体" w:hAnsi="宋体" w:cs="宋体"/>
          <w:bCs/>
          <w:szCs w:val="21"/>
          <w:highlight w:val="none"/>
        </w:rPr>
      </w:pPr>
      <w:r>
        <w:rPr>
          <w:rFonts w:ascii="宋体" w:hAnsi="宋体" w:cs="宋体"/>
          <w:bCs/>
          <w:szCs w:val="21"/>
          <w:highlight w:val="none"/>
        </w:rPr>
        <w:br w:type="page"/>
      </w:r>
    </w:p>
    <w:p w14:paraId="0E0ADC1D">
      <w:pPr>
        <w:numPr>
          <w:ilvl w:val="0"/>
          <w:numId w:val="37"/>
        </w:numPr>
        <w:spacing w:line="440" w:lineRule="exact"/>
        <w:rPr>
          <w:highlight w:val="none"/>
        </w:rPr>
      </w:pPr>
    </w:p>
    <w:p w14:paraId="6A2F40EE">
      <w:pPr>
        <w:pStyle w:val="4"/>
        <w:adjustRightInd w:val="0"/>
        <w:snapToGrid w:val="0"/>
        <w:spacing w:before="156" w:beforeLines="50" w:after="156" w:afterLines="50" w:line="360" w:lineRule="auto"/>
        <w:jc w:val="center"/>
        <w:rPr>
          <w:b w:val="0"/>
          <w:bCs w:val="0"/>
          <w:highlight w:val="none"/>
        </w:rPr>
      </w:pPr>
      <w:bookmarkStart w:id="420" w:name="_Toc275865619"/>
      <w:r>
        <w:rPr>
          <w:rFonts w:hint="eastAsia"/>
          <w:b w:val="0"/>
          <w:bCs w:val="0"/>
          <w:highlight w:val="none"/>
        </w:rPr>
        <w:t>实质性响应一览表</w:t>
      </w:r>
      <w:bookmarkEnd w:id="420"/>
    </w:p>
    <w:p w14:paraId="5B0235F7">
      <w:pPr>
        <w:widowControl/>
        <w:wordWrap w:val="0"/>
        <w:spacing w:line="360" w:lineRule="auto"/>
        <w:jc w:val="left"/>
        <w:rPr>
          <w:rFonts w:ascii="宋体" w:hAnsi="宋体" w:cs="宋体"/>
          <w:b/>
          <w:szCs w:val="21"/>
          <w:highlight w:val="none"/>
        </w:rPr>
      </w:pPr>
      <w:r>
        <w:rPr>
          <w:rFonts w:hint="eastAsia" w:ascii="宋体" w:hAnsi="宋体" w:cs="宋体"/>
          <w:szCs w:val="21"/>
          <w:highlight w:val="none"/>
        </w:rPr>
        <w:t>投标人名称：                                                     项目编号：GDZC-24GZ166</w:t>
      </w:r>
      <w:r>
        <w:rPr>
          <w:rFonts w:hint="eastAsia" w:ascii="宋体" w:hAnsi="宋体" w:cs="宋体"/>
          <w:kern w:val="0"/>
          <w:szCs w:val="21"/>
          <w:highlight w:val="none"/>
        </w:rPr>
        <w:t> </w:t>
      </w:r>
    </w:p>
    <w:tbl>
      <w:tblPr>
        <w:tblStyle w:val="30"/>
        <w:tblW w:w="9223" w:type="dxa"/>
        <w:tblInd w:w="6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2"/>
        <w:gridCol w:w="1766"/>
        <w:gridCol w:w="1726"/>
        <w:gridCol w:w="1440"/>
      </w:tblGrid>
      <w:tr w14:paraId="46B68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19" w:type="dxa"/>
            <w:tcBorders>
              <w:tl2br w:val="nil"/>
              <w:tr2bl w:val="nil"/>
            </w:tcBorders>
            <w:shd w:val="clear" w:color="auto" w:fill="EEECE1"/>
            <w:vAlign w:val="center"/>
          </w:tcPr>
          <w:p w14:paraId="5E73BBDE">
            <w:pPr>
              <w:spacing w:line="320" w:lineRule="exact"/>
              <w:ind w:left="-90" w:leftChars="-43" w:right="-103" w:rightChars="-49"/>
              <w:jc w:val="center"/>
              <w:rPr>
                <w:rFonts w:ascii="宋体" w:hAnsi="宋体" w:cs="宋体"/>
                <w:szCs w:val="21"/>
                <w:highlight w:val="none"/>
              </w:rPr>
            </w:pPr>
            <w:r>
              <w:rPr>
                <w:rFonts w:hint="eastAsia" w:ascii="宋体" w:hAnsi="宋体" w:cs="宋体"/>
                <w:szCs w:val="21"/>
                <w:highlight w:val="none"/>
              </w:rPr>
              <w:t>序号</w:t>
            </w:r>
          </w:p>
        </w:tc>
        <w:tc>
          <w:tcPr>
            <w:tcW w:w="3572" w:type="dxa"/>
            <w:tcBorders>
              <w:tl2br w:val="nil"/>
              <w:tr2bl w:val="nil"/>
            </w:tcBorders>
            <w:shd w:val="clear" w:color="auto" w:fill="EEECE1"/>
            <w:vAlign w:val="center"/>
          </w:tcPr>
          <w:p w14:paraId="5E02D8CE">
            <w:pPr>
              <w:spacing w:line="320" w:lineRule="exact"/>
              <w:jc w:val="center"/>
              <w:rPr>
                <w:rFonts w:ascii="宋体" w:hAnsi="宋体" w:cs="宋体"/>
                <w:szCs w:val="21"/>
                <w:highlight w:val="none"/>
              </w:rPr>
            </w:pPr>
            <w:r>
              <w:rPr>
                <w:rFonts w:hint="eastAsia" w:ascii="宋体" w:hAnsi="宋体" w:cs="宋体"/>
                <w:szCs w:val="21"/>
                <w:highlight w:val="none"/>
              </w:rPr>
              <w:t>原条款描述</w:t>
            </w:r>
          </w:p>
        </w:tc>
        <w:tc>
          <w:tcPr>
            <w:tcW w:w="1766" w:type="dxa"/>
            <w:tcBorders>
              <w:tl2br w:val="nil"/>
              <w:tr2bl w:val="nil"/>
            </w:tcBorders>
            <w:shd w:val="clear" w:color="auto" w:fill="EEECE1"/>
            <w:vAlign w:val="center"/>
          </w:tcPr>
          <w:p w14:paraId="64EDBA88">
            <w:pPr>
              <w:spacing w:line="320" w:lineRule="exact"/>
              <w:jc w:val="center"/>
              <w:rPr>
                <w:rFonts w:ascii="宋体" w:hAnsi="宋体" w:cs="宋体"/>
                <w:szCs w:val="21"/>
                <w:highlight w:val="none"/>
              </w:rPr>
            </w:pPr>
            <w:r>
              <w:rPr>
                <w:rFonts w:hint="eastAsia" w:ascii="宋体" w:hAnsi="宋体" w:cs="宋体"/>
                <w:szCs w:val="21"/>
                <w:highlight w:val="none"/>
              </w:rPr>
              <w:t>投标人响应描述</w:t>
            </w:r>
          </w:p>
        </w:tc>
        <w:tc>
          <w:tcPr>
            <w:tcW w:w="1726" w:type="dxa"/>
            <w:tcBorders>
              <w:tl2br w:val="nil"/>
              <w:tr2bl w:val="nil"/>
            </w:tcBorders>
            <w:shd w:val="clear" w:color="auto" w:fill="EEECE1"/>
            <w:vAlign w:val="center"/>
          </w:tcPr>
          <w:p w14:paraId="6978D080">
            <w:pPr>
              <w:spacing w:line="320" w:lineRule="exact"/>
              <w:jc w:val="center"/>
              <w:rPr>
                <w:rFonts w:ascii="宋体" w:hAnsi="宋体" w:cs="宋体"/>
                <w:szCs w:val="21"/>
                <w:highlight w:val="none"/>
              </w:rPr>
            </w:pPr>
            <w:r>
              <w:rPr>
                <w:rFonts w:hint="eastAsia" w:ascii="宋体" w:hAnsi="宋体" w:cs="宋体"/>
                <w:szCs w:val="21"/>
                <w:highlight w:val="none"/>
              </w:rPr>
              <w:t>偏离情况说明</w:t>
            </w:r>
          </w:p>
          <w:p w14:paraId="03CB270D">
            <w:pPr>
              <w:spacing w:line="320" w:lineRule="exact"/>
              <w:jc w:val="center"/>
              <w:rPr>
                <w:rFonts w:ascii="宋体" w:hAnsi="宋体" w:cs="宋体"/>
                <w:szCs w:val="21"/>
                <w:highlight w:val="none"/>
              </w:rPr>
            </w:pPr>
            <w:r>
              <w:rPr>
                <w:rFonts w:hint="eastAsia" w:ascii="宋体" w:hAnsi="宋体" w:cs="宋体"/>
                <w:szCs w:val="21"/>
                <w:highlight w:val="none"/>
              </w:rPr>
              <w:t>（正偏离/完全响应/负偏离）</w:t>
            </w:r>
          </w:p>
        </w:tc>
        <w:tc>
          <w:tcPr>
            <w:tcW w:w="1440" w:type="dxa"/>
            <w:tcBorders>
              <w:tl2br w:val="nil"/>
              <w:tr2bl w:val="nil"/>
            </w:tcBorders>
            <w:shd w:val="clear" w:color="auto" w:fill="EEECE1"/>
            <w:vAlign w:val="center"/>
          </w:tcPr>
          <w:p w14:paraId="0C92318A">
            <w:pPr>
              <w:spacing w:line="320" w:lineRule="exact"/>
              <w:jc w:val="center"/>
              <w:rPr>
                <w:rFonts w:ascii="宋体" w:hAnsi="宋体" w:cs="宋体"/>
                <w:szCs w:val="21"/>
                <w:highlight w:val="none"/>
              </w:rPr>
            </w:pPr>
            <w:r>
              <w:rPr>
                <w:rFonts w:hint="eastAsia" w:ascii="宋体" w:hAnsi="宋体" w:cs="宋体"/>
                <w:szCs w:val="21"/>
                <w:highlight w:val="none"/>
              </w:rPr>
              <w:t>查阅/证明文件指引</w:t>
            </w:r>
          </w:p>
        </w:tc>
      </w:tr>
      <w:tr w14:paraId="2C54C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23" w:type="dxa"/>
            <w:gridSpan w:val="5"/>
            <w:tcBorders>
              <w:tl2br w:val="nil"/>
              <w:tr2bl w:val="nil"/>
            </w:tcBorders>
            <w:vAlign w:val="center"/>
          </w:tcPr>
          <w:p w14:paraId="3F748A32">
            <w:pPr>
              <w:spacing w:line="320" w:lineRule="exact"/>
              <w:jc w:val="center"/>
              <w:rPr>
                <w:rFonts w:ascii="宋体" w:hAnsi="宋体" w:cs="宋体"/>
                <w:szCs w:val="21"/>
                <w:highlight w:val="none"/>
              </w:rPr>
            </w:pPr>
            <w:r>
              <w:rPr>
                <w:rFonts w:hint="eastAsia" w:ascii="宋体" w:hAnsi="宋体" w:cs="宋体"/>
                <w:b/>
                <w:bCs/>
                <w:szCs w:val="21"/>
                <w:highlight w:val="none"/>
              </w:rPr>
              <w:t>商务要求</w:t>
            </w:r>
          </w:p>
        </w:tc>
      </w:tr>
      <w:tr w14:paraId="0961A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9" w:type="dxa"/>
            <w:tcBorders>
              <w:tl2br w:val="nil"/>
              <w:tr2bl w:val="nil"/>
            </w:tcBorders>
            <w:vAlign w:val="center"/>
          </w:tcPr>
          <w:p w14:paraId="54747198">
            <w:pPr>
              <w:numPr>
                <w:ilvl w:val="0"/>
                <w:numId w:val="42"/>
              </w:numPr>
              <w:spacing w:line="320" w:lineRule="exact"/>
              <w:jc w:val="center"/>
              <w:rPr>
                <w:rFonts w:ascii="宋体" w:hAnsi="宋体" w:cs="宋体"/>
                <w:szCs w:val="21"/>
                <w:highlight w:val="none"/>
              </w:rPr>
            </w:pPr>
          </w:p>
        </w:tc>
        <w:tc>
          <w:tcPr>
            <w:tcW w:w="3572" w:type="dxa"/>
            <w:tcBorders>
              <w:tl2br w:val="nil"/>
              <w:tr2bl w:val="nil"/>
            </w:tcBorders>
            <w:vAlign w:val="center"/>
          </w:tcPr>
          <w:p w14:paraId="095F3C5B">
            <w:pPr>
              <w:spacing w:before="78" w:beforeLines="25" w:line="320" w:lineRule="exact"/>
              <w:rPr>
                <w:rFonts w:ascii="宋体" w:hAnsi="宋体" w:cs="宋体"/>
                <w:b/>
                <w:bCs/>
                <w:szCs w:val="21"/>
                <w:highlight w:val="none"/>
              </w:rPr>
            </w:pPr>
            <w:r>
              <w:rPr>
                <w:rFonts w:hint="eastAsia" w:ascii="宋体" w:hAnsi="宋体" w:cs="宋体"/>
                <w:b/>
                <w:bCs/>
                <w:szCs w:val="21"/>
                <w:highlight w:val="none"/>
              </w:rPr>
              <w:t>一、报价要求</w:t>
            </w:r>
          </w:p>
          <w:p w14:paraId="6ACE80C4">
            <w:pPr>
              <w:spacing w:before="78" w:beforeLines="25" w:line="320" w:lineRule="exact"/>
              <w:rPr>
                <w:rFonts w:hint="eastAsia" w:ascii="宋体" w:hAnsi="宋体" w:cs="宋体"/>
                <w:szCs w:val="21"/>
                <w:highlight w:val="none"/>
              </w:rPr>
            </w:pPr>
            <w:r>
              <w:rPr>
                <w:rFonts w:hint="eastAsia" w:ascii="宋体" w:hAnsi="宋体" w:cs="宋体"/>
                <w:szCs w:val="21"/>
                <w:highlight w:val="none"/>
              </w:rPr>
              <w:t>1.除非在合同条款中另有规定，本项目服务费率在合同实施期间不因其它因素的变动而调整。中标人的承销费率作为招标人中期票据发行结束后计算承销费用的依据。</w:t>
            </w:r>
          </w:p>
          <w:p w14:paraId="3E70DE39">
            <w:pPr>
              <w:spacing w:before="78" w:beforeLines="25" w:line="320" w:lineRule="exact"/>
              <w:rPr>
                <w:rFonts w:hint="eastAsia" w:ascii="宋体" w:hAnsi="宋体" w:cs="宋体"/>
                <w:szCs w:val="21"/>
                <w:highlight w:val="none"/>
              </w:rPr>
            </w:pPr>
            <w:r>
              <w:rPr>
                <w:rFonts w:hint="eastAsia" w:ascii="宋体" w:hAnsi="宋体" w:cs="宋体"/>
                <w:szCs w:val="21"/>
                <w:highlight w:val="none"/>
              </w:rPr>
              <w:t>2.投标人应在合理范围内报价，本项目投标报价的最高限价是0.40‰/年。投标报价不能高于最高限价，否则视为无效投标。投标报价低于0.10‰/年的，需在投标文件中附上投标报价说明，未提供投标报价说明的，原则上视为不响应招标文件，将视为无效投标。本项目投标报价以承销费率进行报价，投标人按照开标一览表格式填报。</w:t>
            </w:r>
          </w:p>
          <w:p w14:paraId="2218833B">
            <w:pPr>
              <w:spacing w:before="78" w:beforeLines="25" w:line="320" w:lineRule="exact"/>
              <w:rPr>
                <w:rFonts w:hint="eastAsia" w:ascii="宋体" w:hAnsi="宋体" w:cs="宋体"/>
                <w:szCs w:val="21"/>
                <w:highlight w:val="none"/>
              </w:rPr>
            </w:pPr>
            <w:r>
              <w:rPr>
                <w:rFonts w:hint="eastAsia" w:ascii="宋体" w:hAnsi="宋体" w:cs="宋体"/>
                <w:szCs w:val="21"/>
                <w:highlight w:val="none"/>
              </w:rPr>
              <w:t>3.所报价格已包括提供服务过程中可预见和不可预见的费用和合理利润，包括但不限于：服务实施过程中应缴纳的税费、管理费、保险费（含意外保险）、工作人员差旅和食宿费、财务、耗材、办公等一切与该项目管理有关的费用，招标人不再支付任何费用。承销费用将根据实际发行时募资到位数额及承销份额进行计算支付，牵头主承销商以及联席主承销商的承销费以各自的承销份额×中标费率计算出来的金额进行收取。</w:t>
            </w:r>
          </w:p>
          <w:p w14:paraId="4E7727A6">
            <w:pPr>
              <w:spacing w:before="78" w:beforeLines="25" w:line="320" w:lineRule="exact"/>
              <w:rPr>
                <w:rFonts w:ascii="宋体" w:hAnsi="宋体" w:cs="宋体"/>
                <w:szCs w:val="21"/>
                <w:highlight w:val="none"/>
              </w:rPr>
            </w:pPr>
            <w:r>
              <w:rPr>
                <w:rFonts w:hint="eastAsia" w:ascii="宋体" w:hAnsi="宋体" w:cs="宋体"/>
                <w:szCs w:val="21"/>
                <w:highlight w:val="none"/>
              </w:rPr>
              <w:t>4.中标费率为所有中标人报价的算术平均值（四舍五入后，小数点后保留两位有效数）。</w:t>
            </w:r>
          </w:p>
        </w:tc>
        <w:tc>
          <w:tcPr>
            <w:tcW w:w="1766" w:type="dxa"/>
            <w:tcBorders>
              <w:tl2br w:val="nil"/>
              <w:tr2bl w:val="nil"/>
            </w:tcBorders>
            <w:vAlign w:val="center"/>
          </w:tcPr>
          <w:p w14:paraId="01A04BB6">
            <w:pPr>
              <w:spacing w:line="320" w:lineRule="exact"/>
              <w:jc w:val="center"/>
              <w:rPr>
                <w:rFonts w:ascii="宋体" w:hAnsi="宋体" w:cs="宋体"/>
                <w:szCs w:val="21"/>
                <w:highlight w:val="none"/>
              </w:rPr>
            </w:pPr>
          </w:p>
        </w:tc>
        <w:tc>
          <w:tcPr>
            <w:tcW w:w="1726" w:type="dxa"/>
            <w:tcBorders>
              <w:tl2br w:val="nil"/>
              <w:tr2bl w:val="nil"/>
            </w:tcBorders>
            <w:vAlign w:val="center"/>
          </w:tcPr>
          <w:p w14:paraId="42BA9216">
            <w:pPr>
              <w:spacing w:line="320" w:lineRule="exact"/>
              <w:jc w:val="center"/>
              <w:rPr>
                <w:rFonts w:ascii="宋体" w:hAnsi="宋体" w:cs="宋体"/>
                <w:szCs w:val="21"/>
                <w:highlight w:val="none"/>
              </w:rPr>
            </w:pPr>
          </w:p>
        </w:tc>
        <w:tc>
          <w:tcPr>
            <w:tcW w:w="1440" w:type="dxa"/>
            <w:tcBorders>
              <w:tl2br w:val="nil"/>
              <w:tr2bl w:val="nil"/>
            </w:tcBorders>
            <w:vAlign w:val="center"/>
          </w:tcPr>
          <w:p w14:paraId="1C431202">
            <w:pPr>
              <w:spacing w:line="32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14:paraId="57883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l2br w:val="nil"/>
              <w:tr2bl w:val="nil"/>
            </w:tcBorders>
            <w:vAlign w:val="center"/>
          </w:tcPr>
          <w:p w14:paraId="1F7F90DA">
            <w:pPr>
              <w:numPr>
                <w:ilvl w:val="0"/>
                <w:numId w:val="42"/>
              </w:numPr>
              <w:spacing w:line="320" w:lineRule="exact"/>
              <w:jc w:val="center"/>
              <w:rPr>
                <w:rFonts w:ascii="宋体" w:hAnsi="宋体" w:cs="宋体"/>
                <w:szCs w:val="21"/>
                <w:highlight w:val="none"/>
              </w:rPr>
            </w:pPr>
          </w:p>
        </w:tc>
        <w:tc>
          <w:tcPr>
            <w:tcW w:w="3572" w:type="dxa"/>
            <w:tcBorders>
              <w:tl2br w:val="nil"/>
              <w:tr2bl w:val="nil"/>
            </w:tcBorders>
            <w:vAlign w:val="center"/>
          </w:tcPr>
          <w:p w14:paraId="04CCFA1D">
            <w:pPr>
              <w:spacing w:line="320" w:lineRule="exact"/>
              <w:rPr>
                <w:rFonts w:ascii="宋体" w:hAnsi="宋体" w:cs="宋体"/>
                <w:szCs w:val="21"/>
                <w:highlight w:val="none"/>
              </w:rPr>
            </w:pPr>
            <w:r>
              <w:rPr>
                <w:rFonts w:hint="eastAsia" w:ascii="宋体" w:hAnsi="宋体" w:cs="宋体"/>
                <w:b/>
                <w:bCs/>
                <w:szCs w:val="21"/>
                <w:highlight w:val="none"/>
              </w:rPr>
              <w:t>二、服务地点：</w:t>
            </w:r>
            <w:r>
              <w:rPr>
                <w:rFonts w:hint="eastAsia" w:ascii="宋体" w:hAnsi="宋体" w:cs="宋体"/>
                <w:szCs w:val="21"/>
                <w:highlight w:val="none"/>
              </w:rPr>
              <w:t>本项目的服务地点为佛山市南海区为主，必要时可能需赴监管部门现场处理相关工作。</w:t>
            </w:r>
          </w:p>
        </w:tc>
        <w:tc>
          <w:tcPr>
            <w:tcW w:w="1766" w:type="dxa"/>
            <w:tcBorders>
              <w:tl2br w:val="nil"/>
              <w:tr2bl w:val="nil"/>
            </w:tcBorders>
            <w:vAlign w:val="center"/>
          </w:tcPr>
          <w:p w14:paraId="3599F666">
            <w:pPr>
              <w:spacing w:line="320" w:lineRule="exact"/>
              <w:jc w:val="center"/>
              <w:rPr>
                <w:rFonts w:ascii="宋体" w:hAnsi="宋体" w:cs="宋体"/>
                <w:szCs w:val="21"/>
                <w:highlight w:val="none"/>
              </w:rPr>
            </w:pPr>
          </w:p>
        </w:tc>
        <w:tc>
          <w:tcPr>
            <w:tcW w:w="1726" w:type="dxa"/>
            <w:tcBorders>
              <w:tl2br w:val="nil"/>
              <w:tr2bl w:val="nil"/>
            </w:tcBorders>
            <w:vAlign w:val="center"/>
          </w:tcPr>
          <w:p w14:paraId="7FDE0D8D">
            <w:pPr>
              <w:spacing w:line="320" w:lineRule="exact"/>
              <w:jc w:val="center"/>
              <w:rPr>
                <w:rFonts w:ascii="宋体" w:hAnsi="宋体" w:cs="宋体"/>
                <w:szCs w:val="21"/>
                <w:highlight w:val="none"/>
              </w:rPr>
            </w:pPr>
          </w:p>
        </w:tc>
        <w:tc>
          <w:tcPr>
            <w:tcW w:w="1440" w:type="dxa"/>
            <w:tcBorders>
              <w:tl2br w:val="nil"/>
              <w:tr2bl w:val="nil"/>
            </w:tcBorders>
            <w:vAlign w:val="center"/>
          </w:tcPr>
          <w:p w14:paraId="1183D638">
            <w:pPr>
              <w:spacing w:line="32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14:paraId="19F56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l2br w:val="nil"/>
              <w:tr2bl w:val="nil"/>
            </w:tcBorders>
            <w:vAlign w:val="center"/>
          </w:tcPr>
          <w:p w14:paraId="0853004B">
            <w:pPr>
              <w:numPr>
                <w:ilvl w:val="0"/>
                <w:numId w:val="42"/>
              </w:numPr>
              <w:spacing w:line="320" w:lineRule="exact"/>
              <w:jc w:val="center"/>
              <w:rPr>
                <w:rFonts w:ascii="宋体" w:hAnsi="宋体" w:cs="宋体"/>
                <w:szCs w:val="21"/>
                <w:highlight w:val="none"/>
              </w:rPr>
            </w:pPr>
          </w:p>
        </w:tc>
        <w:tc>
          <w:tcPr>
            <w:tcW w:w="3572" w:type="dxa"/>
            <w:tcBorders>
              <w:tl2br w:val="nil"/>
              <w:tr2bl w:val="nil"/>
            </w:tcBorders>
            <w:vAlign w:val="center"/>
          </w:tcPr>
          <w:p w14:paraId="16ABACA1">
            <w:pPr>
              <w:spacing w:line="320" w:lineRule="exact"/>
              <w:rPr>
                <w:rFonts w:ascii="宋体" w:hAnsi="宋体" w:cs="宋体"/>
                <w:szCs w:val="21"/>
                <w:highlight w:val="none"/>
              </w:rPr>
            </w:pPr>
            <w:r>
              <w:rPr>
                <w:rFonts w:hint="eastAsia" w:ascii="宋体" w:hAnsi="宋体" w:cs="宋体"/>
                <w:b/>
                <w:bCs/>
                <w:szCs w:val="21"/>
                <w:highlight w:val="none"/>
              </w:rPr>
              <w:t>三、服务期：</w:t>
            </w:r>
            <w:r>
              <w:rPr>
                <w:rFonts w:hint="eastAsia" w:ascii="宋体" w:hAnsi="宋体" w:cs="宋体"/>
                <w:szCs w:val="21"/>
                <w:highlight w:val="none"/>
              </w:rPr>
              <w:t>直至中期票据全部偿付为止。</w:t>
            </w:r>
          </w:p>
        </w:tc>
        <w:tc>
          <w:tcPr>
            <w:tcW w:w="1766" w:type="dxa"/>
            <w:tcBorders>
              <w:tl2br w:val="nil"/>
              <w:tr2bl w:val="nil"/>
            </w:tcBorders>
            <w:vAlign w:val="center"/>
          </w:tcPr>
          <w:p w14:paraId="5F2AECDC">
            <w:pPr>
              <w:spacing w:line="320" w:lineRule="exact"/>
              <w:jc w:val="center"/>
              <w:rPr>
                <w:rFonts w:ascii="宋体" w:hAnsi="宋体" w:cs="宋体"/>
                <w:szCs w:val="21"/>
                <w:highlight w:val="none"/>
              </w:rPr>
            </w:pPr>
          </w:p>
        </w:tc>
        <w:tc>
          <w:tcPr>
            <w:tcW w:w="1726" w:type="dxa"/>
            <w:tcBorders>
              <w:tl2br w:val="nil"/>
              <w:tr2bl w:val="nil"/>
            </w:tcBorders>
            <w:vAlign w:val="center"/>
          </w:tcPr>
          <w:p w14:paraId="37E7036A">
            <w:pPr>
              <w:spacing w:line="320" w:lineRule="exact"/>
              <w:jc w:val="center"/>
              <w:rPr>
                <w:rFonts w:ascii="宋体" w:hAnsi="宋体" w:cs="宋体"/>
                <w:szCs w:val="21"/>
                <w:highlight w:val="none"/>
              </w:rPr>
            </w:pPr>
          </w:p>
        </w:tc>
        <w:tc>
          <w:tcPr>
            <w:tcW w:w="1440" w:type="dxa"/>
            <w:tcBorders>
              <w:tl2br w:val="nil"/>
              <w:tr2bl w:val="nil"/>
            </w:tcBorders>
            <w:vAlign w:val="center"/>
          </w:tcPr>
          <w:p w14:paraId="563795BE">
            <w:pPr>
              <w:spacing w:line="32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14:paraId="16A67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l2br w:val="nil"/>
              <w:tr2bl w:val="nil"/>
            </w:tcBorders>
            <w:vAlign w:val="center"/>
          </w:tcPr>
          <w:p w14:paraId="66B2A17E">
            <w:pPr>
              <w:numPr>
                <w:ilvl w:val="0"/>
                <w:numId w:val="42"/>
              </w:numPr>
              <w:spacing w:line="320" w:lineRule="exact"/>
              <w:jc w:val="center"/>
              <w:rPr>
                <w:rFonts w:ascii="宋体" w:hAnsi="宋体" w:cs="宋体"/>
                <w:szCs w:val="21"/>
                <w:highlight w:val="none"/>
              </w:rPr>
            </w:pPr>
          </w:p>
        </w:tc>
        <w:tc>
          <w:tcPr>
            <w:tcW w:w="3572" w:type="dxa"/>
            <w:tcBorders>
              <w:tl2br w:val="nil"/>
              <w:tr2bl w:val="nil"/>
            </w:tcBorders>
            <w:vAlign w:val="center"/>
          </w:tcPr>
          <w:p w14:paraId="1E8530E2">
            <w:pPr>
              <w:spacing w:line="320" w:lineRule="exact"/>
              <w:rPr>
                <w:rFonts w:ascii="宋体" w:hAnsi="宋体" w:cs="宋体"/>
                <w:b/>
                <w:bCs/>
                <w:szCs w:val="21"/>
                <w:highlight w:val="none"/>
              </w:rPr>
            </w:pPr>
            <w:r>
              <w:rPr>
                <w:rFonts w:hint="eastAsia" w:ascii="宋体" w:hAnsi="宋体" w:cs="宋体"/>
                <w:b/>
                <w:bCs/>
                <w:szCs w:val="21"/>
                <w:highlight w:val="none"/>
              </w:rPr>
              <w:t>四、中标人须知</w:t>
            </w:r>
          </w:p>
          <w:p w14:paraId="4E56C426">
            <w:pPr>
              <w:spacing w:line="320" w:lineRule="exact"/>
              <w:rPr>
                <w:rFonts w:hint="eastAsia" w:ascii="宋体" w:hAnsi="宋体" w:cs="宋体"/>
                <w:szCs w:val="21"/>
                <w:highlight w:val="none"/>
              </w:rPr>
            </w:pPr>
            <w:r>
              <w:rPr>
                <w:rFonts w:hint="eastAsia" w:ascii="宋体" w:hAnsi="宋体" w:cs="宋体"/>
                <w:szCs w:val="21"/>
                <w:highlight w:val="none"/>
              </w:rPr>
              <w:t>1.如果被选定的中标人不能按照招标文件的要求及投标文件的承诺签订中标合同，或经核定中标人的投标文件与事实不符，从而影响公平、公正及影响中标合同执行时，招标人有权取消该中标人的中标资格。</w:t>
            </w:r>
          </w:p>
          <w:p w14:paraId="7A1689DE">
            <w:pPr>
              <w:spacing w:line="320" w:lineRule="exact"/>
              <w:rPr>
                <w:rFonts w:hint="eastAsia" w:ascii="宋体" w:hAnsi="宋体" w:cs="宋体"/>
                <w:szCs w:val="21"/>
                <w:highlight w:val="none"/>
              </w:rPr>
            </w:pPr>
            <w:r>
              <w:rPr>
                <w:rFonts w:hint="eastAsia" w:ascii="宋体" w:hAnsi="宋体" w:cs="宋体"/>
                <w:szCs w:val="21"/>
                <w:highlight w:val="none"/>
              </w:rPr>
              <w:t>2.综合得分排名前六名的中标人取得本次注册发行中期票据的承销服务资格。</w:t>
            </w:r>
          </w:p>
          <w:p w14:paraId="069C015A">
            <w:pPr>
              <w:spacing w:line="320" w:lineRule="exact"/>
              <w:rPr>
                <w:rFonts w:hint="eastAsia" w:ascii="宋体" w:hAnsi="宋体" w:cs="宋体"/>
                <w:szCs w:val="21"/>
                <w:highlight w:val="none"/>
              </w:rPr>
            </w:pPr>
            <w:r>
              <w:rPr>
                <w:rFonts w:hint="eastAsia" w:ascii="宋体" w:hAnsi="宋体" w:cs="宋体"/>
                <w:szCs w:val="21"/>
                <w:highlight w:val="none"/>
              </w:rPr>
              <w:t>（1）注册阶段：综合得分排名第一的中标人作为牵头主承销商，综合得分排名第二的中标人作为联席主承销商，共同负责中期票据申报材料编制，并完成注册。</w:t>
            </w:r>
          </w:p>
          <w:p w14:paraId="3F55C282">
            <w:pPr>
              <w:spacing w:line="320" w:lineRule="exact"/>
              <w:rPr>
                <w:rFonts w:hint="eastAsia" w:ascii="宋体" w:hAnsi="宋体" w:cs="宋体"/>
                <w:szCs w:val="21"/>
                <w:highlight w:val="none"/>
              </w:rPr>
            </w:pPr>
            <w:r>
              <w:rPr>
                <w:rFonts w:hint="eastAsia" w:ascii="宋体" w:hAnsi="宋体" w:cs="宋体"/>
                <w:szCs w:val="21"/>
                <w:highlight w:val="none"/>
              </w:rPr>
              <w:t>（2）首期发行：综合得分排名第一的作为牵头主承销商参与首期发行及牵头组织申报材料，其余中标人作为联席主承销商参与首期发行，具体承销份额的分配由招标人确定。</w:t>
            </w:r>
          </w:p>
          <w:p w14:paraId="04FBF690">
            <w:pPr>
              <w:spacing w:line="320" w:lineRule="exact"/>
              <w:rPr>
                <w:rFonts w:hint="eastAsia" w:ascii="宋体" w:hAnsi="宋体" w:cs="宋体"/>
                <w:szCs w:val="21"/>
                <w:highlight w:val="none"/>
              </w:rPr>
            </w:pPr>
            <w:r>
              <w:rPr>
                <w:rFonts w:hint="eastAsia" w:ascii="宋体" w:hAnsi="宋体" w:cs="宋体"/>
                <w:szCs w:val="21"/>
                <w:highlight w:val="none"/>
              </w:rPr>
              <w:t>（3）后续每期发行：牵头主承销商角色的选定、具体承销份额的分配等由招标人确定。</w:t>
            </w:r>
          </w:p>
          <w:p w14:paraId="6A3A607C">
            <w:pPr>
              <w:spacing w:line="320" w:lineRule="exac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如在某期债券实际发行中，若某一中标人因其自身原因导致不具备法律法规规定的承销条件的，招标人有权依序确定下一名中标候选人为中标人，牵头主承销商角色的选定、具体承销份额的分配等由招标人重新确定。</w:t>
            </w:r>
          </w:p>
        </w:tc>
        <w:tc>
          <w:tcPr>
            <w:tcW w:w="1766" w:type="dxa"/>
            <w:tcBorders>
              <w:tl2br w:val="nil"/>
              <w:tr2bl w:val="nil"/>
            </w:tcBorders>
            <w:vAlign w:val="center"/>
          </w:tcPr>
          <w:p w14:paraId="1AD78A02">
            <w:pPr>
              <w:spacing w:line="320" w:lineRule="exact"/>
              <w:jc w:val="center"/>
              <w:rPr>
                <w:rFonts w:ascii="宋体" w:hAnsi="宋体" w:cs="宋体"/>
                <w:szCs w:val="21"/>
                <w:highlight w:val="none"/>
              </w:rPr>
            </w:pPr>
          </w:p>
        </w:tc>
        <w:tc>
          <w:tcPr>
            <w:tcW w:w="1726" w:type="dxa"/>
            <w:tcBorders>
              <w:tl2br w:val="nil"/>
              <w:tr2bl w:val="nil"/>
            </w:tcBorders>
            <w:vAlign w:val="center"/>
          </w:tcPr>
          <w:p w14:paraId="0DE11513">
            <w:pPr>
              <w:spacing w:line="320" w:lineRule="exact"/>
              <w:jc w:val="center"/>
              <w:rPr>
                <w:rFonts w:ascii="宋体" w:hAnsi="宋体" w:cs="宋体"/>
                <w:szCs w:val="21"/>
                <w:highlight w:val="none"/>
              </w:rPr>
            </w:pPr>
          </w:p>
        </w:tc>
        <w:tc>
          <w:tcPr>
            <w:tcW w:w="1440" w:type="dxa"/>
            <w:tcBorders>
              <w:tl2br w:val="nil"/>
              <w:tr2bl w:val="nil"/>
            </w:tcBorders>
            <w:vAlign w:val="center"/>
          </w:tcPr>
          <w:p w14:paraId="29D77FDF">
            <w:pPr>
              <w:tabs>
                <w:tab w:val="left" w:pos="489"/>
              </w:tabs>
              <w:spacing w:line="320" w:lineRule="exact"/>
              <w:jc w:val="left"/>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14:paraId="7CF79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l2br w:val="nil"/>
              <w:tr2bl w:val="nil"/>
            </w:tcBorders>
            <w:vAlign w:val="center"/>
          </w:tcPr>
          <w:p w14:paraId="0C4AC100">
            <w:pPr>
              <w:numPr>
                <w:ilvl w:val="0"/>
                <w:numId w:val="42"/>
              </w:numPr>
              <w:spacing w:line="320" w:lineRule="exact"/>
              <w:jc w:val="center"/>
              <w:rPr>
                <w:rFonts w:ascii="宋体" w:hAnsi="宋体" w:cs="宋体"/>
                <w:szCs w:val="21"/>
                <w:highlight w:val="none"/>
              </w:rPr>
            </w:pPr>
          </w:p>
        </w:tc>
        <w:tc>
          <w:tcPr>
            <w:tcW w:w="3572" w:type="dxa"/>
            <w:tcBorders>
              <w:tl2br w:val="nil"/>
              <w:tr2bl w:val="nil"/>
            </w:tcBorders>
            <w:vAlign w:val="center"/>
          </w:tcPr>
          <w:p w14:paraId="21F7FB16">
            <w:pPr>
              <w:spacing w:after="60" w:line="320" w:lineRule="exact"/>
              <w:rPr>
                <w:rFonts w:hint="eastAsia" w:ascii="宋体" w:hAnsi="宋体" w:cs="宋体"/>
                <w:b/>
                <w:bCs/>
                <w:szCs w:val="21"/>
                <w:highlight w:val="none"/>
              </w:rPr>
            </w:pPr>
            <w:r>
              <w:rPr>
                <w:rFonts w:hint="eastAsia" w:ascii="宋体" w:hAnsi="宋体" w:cs="宋体"/>
                <w:b/>
                <w:bCs/>
                <w:szCs w:val="21"/>
                <w:highlight w:val="none"/>
              </w:rPr>
              <w:t>五、承销费的结算方式</w:t>
            </w:r>
          </w:p>
          <w:p w14:paraId="6C5C4C95">
            <w:pPr>
              <w:spacing w:line="320" w:lineRule="exact"/>
              <w:rPr>
                <w:rFonts w:hint="eastAsia" w:ascii="宋体" w:hAnsi="宋体" w:cs="宋体"/>
                <w:szCs w:val="21"/>
                <w:highlight w:val="none"/>
              </w:rPr>
            </w:pPr>
            <w:r>
              <w:rPr>
                <w:rFonts w:hint="eastAsia" w:ascii="宋体" w:hAnsi="宋体" w:cs="宋体"/>
                <w:szCs w:val="21"/>
                <w:highlight w:val="none"/>
              </w:rPr>
              <w:t>1.承销费根据当期中期票据余额及中标的承销年费率、各承销商的承销比例按周年(自当期中期票据发行缴款完毕日起一年为一周年)支付，直至当期的中期票据偿付完毕。</w:t>
            </w:r>
          </w:p>
          <w:p w14:paraId="06C52BFA">
            <w:pPr>
              <w:spacing w:after="60" w:line="320" w:lineRule="exact"/>
              <w:rPr>
                <w:rFonts w:ascii="宋体" w:hAnsi="宋体" w:cs="宋体"/>
                <w:szCs w:val="21"/>
                <w:highlight w:val="none"/>
              </w:rPr>
            </w:pPr>
            <w:r>
              <w:rPr>
                <w:rFonts w:hint="eastAsia" w:ascii="宋体" w:hAnsi="宋体" w:cs="宋体"/>
                <w:szCs w:val="21"/>
                <w:highlight w:val="none"/>
              </w:rPr>
              <w:t>每期发债的承销费，首年承销费由簿记管理人在缴款日从募集资金中扣收，剩余承销费按年由招标人在当期债务融资工具存续期间的缴款日在当年的对应日(到期还本付息日除外)后十个工作日内支付。</w:t>
            </w:r>
          </w:p>
        </w:tc>
        <w:tc>
          <w:tcPr>
            <w:tcW w:w="1766" w:type="dxa"/>
            <w:tcBorders>
              <w:tl2br w:val="nil"/>
              <w:tr2bl w:val="nil"/>
            </w:tcBorders>
            <w:vAlign w:val="center"/>
          </w:tcPr>
          <w:p w14:paraId="1E737FDF">
            <w:pPr>
              <w:spacing w:line="320" w:lineRule="exact"/>
              <w:jc w:val="center"/>
              <w:rPr>
                <w:rFonts w:ascii="宋体" w:hAnsi="宋体" w:cs="宋体"/>
                <w:szCs w:val="21"/>
                <w:highlight w:val="none"/>
              </w:rPr>
            </w:pPr>
          </w:p>
        </w:tc>
        <w:tc>
          <w:tcPr>
            <w:tcW w:w="1726" w:type="dxa"/>
            <w:tcBorders>
              <w:tl2br w:val="nil"/>
              <w:tr2bl w:val="nil"/>
            </w:tcBorders>
            <w:vAlign w:val="center"/>
          </w:tcPr>
          <w:p w14:paraId="5DF7F9F7">
            <w:pPr>
              <w:spacing w:line="320" w:lineRule="exact"/>
              <w:jc w:val="center"/>
              <w:rPr>
                <w:rFonts w:ascii="宋体" w:hAnsi="宋体" w:cs="宋体"/>
                <w:szCs w:val="21"/>
                <w:highlight w:val="none"/>
              </w:rPr>
            </w:pPr>
          </w:p>
        </w:tc>
        <w:tc>
          <w:tcPr>
            <w:tcW w:w="1440" w:type="dxa"/>
            <w:tcBorders>
              <w:tl2br w:val="nil"/>
              <w:tr2bl w:val="nil"/>
            </w:tcBorders>
            <w:vAlign w:val="center"/>
          </w:tcPr>
          <w:p w14:paraId="437641AE">
            <w:pPr>
              <w:spacing w:line="320" w:lineRule="exact"/>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14:paraId="2900D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l2br w:val="nil"/>
              <w:tr2bl w:val="nil"/>
            </w:tcBorders>
            <w:vAlign w:val="center"/>
          </w:tcPr>
          <w:p w14:paraId="0BD0EF3E">
            <w:pPr>
              <w:numPr>
                <w:ilvl w:val="0"/>
                <w:numId w:val="42"/>
              </w:numPr>
              <w:spacing w:line="320" w:lineRule="exact"/>
              <w:jc w:val="center"/>
              <w:rPr>
                <w:rFonts w:ascii="宋体" w:hAnsi="宋体" w:cs="宋体"/>
                <w:szCs w:val="21"/>
                <w:highlight w:val="none"/>
              </w:rPr>
            </w:pPr>
          </w:p>
        </w:tc>
        <w:tc>
          <w:tcPr>
            <w:tcW w:w="3572" w:type="dxa"/>
            <w:tcBorders>
              <w:tl2br w:val="nil"/>
              <w:tr2bl w:val="nil"/>
            </w:tcBorders>
            <w:vAlign w:val="center"/>
          </w:tcPr>
          <w:p w14:paraId="19E96F57">
            <w:pPr>
              <w:spacing w:line="320" w:lineRule="exact"/>
              <w:rPr>
                <w:rFonts w:ascii="宋体" w:hAnsi="宋体" w:cs="宋体"/>
                <w:b/>
                <w:bCs/>
                <w:szCs w:val="21"/>
                <w:highlight w:val="none"/>
              </w:rPr>
            </w:pPr>
            <w:r>
              <w:rPr>
                <w:rFonts w:hint="eastAsia" w:ascii="宋体" w:hAnsi="宋体" w:cs="宋体"/>
                <w:b/>
                <w:bCs/>
                <w:szCs w:val="21"/>
                <w:highlight w:val="none"/>
              </w:rPr>
              <w:t>六、知识产权产权归属</w:t>
            </w:r>
          </w:p>
          <w:p w14:paraId="779F7F88">
            <w:pPr>
              <w:spacing w:line="320" w:lineRule="exact"/>
              <w:rPr>
                <w:rFonts w:ascii="宋体" w:hAnsi="宋体" w:cs="宋体"/>
                <w:szCs w:val="21"/>
                <w:highlight w:val="none"/>
              </w:rPr>
            </w:pPr>
            <w:r>
              <w:rPr>
                <w:rFonts w:hint="eastAsia" w:ascii="宋体" w:hAnsi="宋体" w:cs="宋体"/>
                <w:szCs w:val="21"/>
                <w:highlight w:val="none"/>
              </w:rPr>
              <w:t>与本项目相关的成果、资料的知识产权归招标人所有。</w:t>
            </w:r>
          </w:p>
        </w:tc>
        <w:tc>
          <w:tcPr>
            <w:tcW w:w="1766" w:type="dxa"/>
            <w:tcBorders>
              <w:tl2br w:val="nil"/>
              <w:tr2bl w:val="nil"/>
            </w:tcBorders>
            <w:vAlign w:val="center"/>
          </w:tcPr>
          <w:p w14:paraId="4332031D">
            <w:pPr>
              <w:spacing w:line="320" w:lineRule="exact"/>
              <w:jc w:val="center"/>
              <w:rPr>
                <w:rFonts w:ascii="宋体" w:hAnsi="宋体" w:cs="宋体"/>
                <w:szCs w:val="21"/>
                <w:highlight w:val="none"/>
              </w:rPr>
            </w:pPr>
          </w:p>
        </w:tc>
        <w:tc>
          <w:tcPr>
            <w:tcW w:w="1726" w:type="dxa"/>
            <w:tcBorders>
              <w:tl2br w:val="nil"/>
              <w:tr2bl w:val="nil"/>
            </w:tcBorders>
            <w:vAlign w:val="center"/>
          </w:tcPr>
          <w:p w14:paraId="32E10B78">
            <w:pPr>
              <w:spacing w:line="320" w:lineRule="exact"/>
              <w:jc w:val="center"/>
              <w:rPr>
                <w:rFonts w:ascii="宋体" w:hAnsi="宋体" w:cs="宋体"/>
                <w:szCs w:val="21"/>
                <w:highlight w:val="none"/>
              </w:rPr>
            </w:pPr>
          </w:p>
        </w:tc>
        <w:tc>
          <w:tcPr>
            <w:tcW w:w="1440" w:type="dxa"/>
            <w:tcBorders>
              <w:tl2br w:val="nil"/>
              <w:tr2bl w:val="nil"/>
            </w:tcBorders>
            <w:vAlign w:val="center"/>
          </w:tcPr>
          <w:p w14:paraId="58E0D876">
            <w:pPr>
              <w:spacing w:line="320" w:lineRule="exact"/>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14:paraId="6BF89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l2br w:val="nil"/>
              <w:tr2bl w:val="nil"/>
            </w:tcBorders>
            <w:vAlign w:val="center"/>
          </w:tcPr>
          <w:p w14:paraId="3057D69C">
            <w:pPr>
              <w:numPr>
                <w:ilvl w:val="0"/>
                <w:numId w:val="42"/>
              </w:numPr>
              <w:spacing w:line="320" w:lineRule="exact"/>
              <w:jc w:val="center"/>
              <w:rPr>
                <w:rFonts w:ascii="宋体" w:hAnsi="宋体" w:cs="宋体"/>
                <w:szCs w:val="21"/>
                <w:highlight w:val="none"/>
              </w:rPr>
            </w:pPr>
          </w:p>
        </w:tc>
        <w:tc>
          <w:tcPr>
            <w:tcW w:w="3572" w:type="dxa"/>
            <w:tcBorders>
              <w:tl2br w:val="nil"/>
              <w:tr2bl w:val="nil"/>
            </w:tcBorders>
            <w:vAlign w:val="center"/>
          </w:tcPr>
          <w:p w14:paraId="76EF6C42">
            <w:pPr>
              <w:spacing w:line="320" w:lineRule="exact"/>
              <w:rPr>
                <w:rFonts w:ascii="宋体" w:hAnsi="宋体" w:cs="宋体"/>
                <w:b/>
                <w:bCs/>
                <w:szCs w:val="21"/>
                <w:highlight w:val="none"/>
              </w:rPr>
            </w:pPr>
            <w:r>
              <w:rPr>
                <w:rFonts w:hint="eastAsia" w:ascii="宋体" w:hAnsi="宋体" w:cs="宋体"/>
                <w:b/>
                <w:bCs/>
                <w:szCs w:val="21"/>
                <w:highlight w:val="none"/>
              </w:rPr>
              <w:t>七、保密</w:t>
            </w:r>
          </w:p>
          <w:p w14:paraId="2BCB7DE2">
            <w:pPr>
              <w:spacing w:line="320" w:lineRule="exact"/>
              <w:rPr>
                <w:rFonts w:ascii="宋体" w:hAnsi="宋体" w:cs="宋体"/>
                <w:szCs w:val="21"/>
                <w:highlight w:val="none"/>
              </w:rPr>
            </w:pPr>
            <w:r>
              <w:rPr>
                <w:rFonts w:hint="eastAsia" w:ascii="宋体" w:hAnsi="宋体" w:cs="宋体"/>
                <w:szCs w:val="21"/>
                <w:highlight w:val="none"/>
              </w:rPr>
              <w:t>本项目实施期间所有相关的成果、资料，未经对方同意，均不得复制、不得泄露、不得擅自修改、传送或向第三人转让或用于本合同外的项目；均以违法违约处理。中标人负有对成果资料保密的责任。</w:t>
            </w:r>
          </w:p>
        </w:tc>
        <w:tc>
          <w:tcPr>
            <w:tcW w:w="1766" w:type="dxa"/>
            <w:tcBorders>
              <w:tl2br w:val="nil"/>
              <w:tr2bl w:val="nil"/>
            </w:tcBorders>
            <w:vAlign w:val="center"/>
          </w:tcPr>
          <w:p w14:paraId="46EFDE2A">
            <w:pPr>
              <w:spacing w:line="320" w:lineRule="exact"/>
              <w:jc w:val="center"/>
              <w:rPr>
                <w:rFonts w:ascii="宋体" w:hAnsi="宋体" w:cs="宋体"/>
                <w:szCs w:val="21"/>
                <w:highlight w:val="none"/>
              </w:rPr>
            </w:pPr>
          </w:p>
        </w:tc>
        <w:tc>
          <w:tcPr>
            <w:tcW w:w="1726" w:type="dxa"/>
            <w:tcBorders>
              <w:tl2br w:val="nil"/>
              <w:tr2bl w:val="nil"/>
            </w:tcBorders>
            <w:vAlign w:val="center"/>
          </w:tcPr>
          <w:p w14:paraId="03744434">
            <w:pPr>
              <w:spacing w:line="320" w:lineRule="exact"/>
              <w:jc w:val="center"/>
              <w:rPr>
                <w:rFonts w:ascii="宋体" w:hAnsi="宋体" w:cs="宋体"/>
                <w:szCs w:val="21"/>
                <w:highlight w:val="none"/>
              </w:rPr>
            </w:pPr>
          </w:p>
        </w:tc>
        <w:tc>
          <w:tcPr>
            <w:tcW w:w="1440" w:type="dxa"/>
            <w:tcBorders>
              <w:tl2br w:val="nil"/>
              <w:tr2bl w:val="nil"/>
            </w:tcBorders>
            <w:vAlign w:val="center"/>
          </w:tcPr>
          <w:p w14:paraId="1239D919">
            <w:pPr>
              <w:spacing w:line="320" w:lineRule="exact"/>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14:paraId="5E982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l2br w:val="nil"/>
              <w:tr2bl w:val="nil"/>
            </w:tcBorders>
            <w:vAlign w:val="center"/>
          </w:tcPr>
          <w:p w14:paraId="00E31C17">
            <w:pPr>
              <w:numPr>
                <w:ilvl w:val="0"/>
                <w:numId w:val="42"/>
              </w:numPr>
              <w:spacing w:line="320" w:lineRule="exact"/>
              <w:jc w:val="center"/>
              <w:rPr>
                <w:rFonts w:ascii="宋体" w:hAnsi="宋体" w:cs="宋体"/>
                <w:szCs w:val="21"/>
                <w:highlight w:val="none"/>
              </w:rPr>
            </w:pPr>
          </w:p>
        </w:tc>
        <w:tc>
          <w:tcPr>
            <w:tcW w:w="3572" w:type="dxa"/>
            <w:tcBorders>
              <w:tl2br w:val="nil"/>
              <w:tr2bl w:val="nil"/>
            </w:tcBorders>
            <w:vAlign w:val="center"/>
          </w:tcPr>
          <w:p w14:paraId="294BB83E">
            <w:pPr>
              <w:spacing w:line="320" w:lineRule="exact"/>
              <w:rPr>
                <w:rFonts w:ascii="宋体" w:hAnsi="宋体" w:cs="宋体"/>
                <w:b/>
                <w:bCs/>
                <w:szCs w:val="21"/>
                <w:highlight w:val="none"/>
              </w:rPr>
            </w:pPr>
            <w:r>
              <w:rPr>
                <w:rFonts w:hint="eastAsia" w:ascii="宋体" w:hAnsi="宋体" w:cs="宋体"/>
                <w:b/>
                <w:bCs/>
                <w:szCs w:val="21"/>
                <w:highlight w:val="none"/>
              </w:rPr>
              <w:t>八、承销比例及承销费的分配</w:t>
            </w:r>
          </w:p>
          <w:p w14:paraId="54008633">
            <w:pPr>
              <w:spacing w:line="320" w:lineRule="exact"/>
              <w:rPr>
                <w:rFonts w:ascii="宋体" w:hAnsi="宋体" w:cs="宋体"/>
                <w:szCs w:val="21"/>
                <w:highlight w:val="none"/>
              </w:rPr>
            </w:pPr>
            <w:r>
              <w:rPr>
                <w:rFonts w:hint="eastAsia" w:ascii="宋体" w:hAnsi="宋体" w:cs="宋体"/>
                <w:szCs w:val="21"/>
                <w:highlight w:val="none"/>
              </w:rPr>
              <w:t>承销费按各主承销商的承销比例进行分配，承销比例以当期中票发行时的承销协议约定为准。（具体承销份额的分配由招标人确定）</w:t>
            </w:r>
          </w:p>
        </w:tc>
        <w:tc>
          <w:tcPr>
            <w:tcW w:w="1766" w:type="dxa"/>
            <w:tcBorders>
              <w:tl2br w:val="nil"/>
              <w:tr2bl w:val="nil"/>
            </w:tcBorders>
            <w:vAlign w:val="center"/>
          </w:tcPr>
          <w:p w14:paraId="5BABBC0B">
            <w:pPr>
              <w:spacing w:line="320" w:lineRule="exact"/>
              <w:jc w:val="center"/>
              <w:rPr>
                <w:rFonts w:ascii="宋体" w:hAnsi="宋体" w:cs="宋体"/>
                <w:szCs w:val="21"/>
                <w:highlight w:val="none"/>
              </w:rPr>
            </w:pPr>
          </w:p>
        </w:tc>
        <w:tc>
          <w:tcPr>
            <w:tcW w:w="1726" w:type="dxa"/>
            <w:tcBorders>
              <w:tl2br w:val="nil"/>
              <w:tr2bl w:val="nil"/>
            </w:tcBorders>
            <w:vAlign w:val="center"/>
          </w:tcPr>
          <w:p w14:paraId="0159B6E3">
            <w:pPr>
              <w:spacing w:line="320" w:lineRule="exact"/>
              <w:jc w:val="center"/>
              <w:rPr>
                <w:rFonts w:ascii="宋体" w:hAnsi="宋体" w:cs="宋体"/>
                <w:szCs w:val="21"/>
                <w:highlight w:val="none"/>
              </w:rPr>
            </w:pPr>
          </w:p>
        </w:tc>
        <w:tc>
          <w:tcPr>
            <w:tcW w:w="1440" w:type="dxa"/>
            <w:tcBorders>
              <w:tl2br w:val="nil"/>
              <w:tr2bl w:val="nil"/>
            </w:tcBorders>
            <w:vAlign w:val="center"/>
          </w:tcPr>
          <w:p w14:paraId="3B13F6FD">
            <w:pPr>
              <w:spacing w:line="320" w:lineRule="exact"/>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14:paraId="71A3C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l2br w:val="nil"/>
              <w:tr2bl w:val="nil"/>
            </w:tcBorders>
            <w:vAlign w:val="center"/>
          </w:tcPr>
          <w:p w14:paraId="75204CDD">
            <w:pPr>
              <w:numPr>
                <w:ilvl w:val="0"/>
                <w:numId w:val="42"/>
              </w:numPr>
              <w:spacing w:line="320" w:lineRule="exact"/>
              <w:jc w:val="center"/>
              <w:rPr>
                <w:rFonts w:ascii="宋体" w:hAnsi="宋体" w:cs="宋体"/>
                <w:szCs w:val="21"/>
                <w:highlight w:val="none"/>
              </w:rPr>
            </w:pPr>
          </w:p>
        </w:tc>
        <w:tc>
          <w:tcPr>
            <w:tcW w:w="3572" w:type="dxa"/>
            <w:tcBorders>
              <w:tl2br w:val="nil"/>
              <w:tr2bl w:val="nil"/>
            </w:tcBorders>
            <w:vAlign w:val="center"/>
          </w:tcPr>
          <w:p w14:paraId="0137BA5A">
            <w:pPr>
              <w:spacing w:line="320" w:lineRule="exact"/>
              <w:rPr>
                <w:rFonts w:hint="eastAsia" w:ascii="宋体" w:hAnsi="宋体" w:cs="宋体"/>
                <w:b/>
                <w:bCs/>
                <w:szCs w:val="21"/>
                <w:highlight w:val="none"/>
              </w:rPr>
            </w:pPr>
            <w:r>
              <w:rPr>
                <w:rFonts w:hint="eastAsia" w:ascii="宋体" w:hAnsi="宋体" w:cs="宋体"/>
                <w:b/>
                <w:bCs/>
                <w:szCs w:val="21"/>
                <w:highlight w:val="none"/>
              </w:rPr>
              <w:t>九、其他要求</w:t>
            </w:r>
          </w:p>
          <w:p w14:paraId="18743492">
            <w:pPr>
              <w:spacing w:line="320" w:lineRule="exact"/>
              <w:rPr>
                <w:rFonts w:hint="eastAsia" w:ascii="宋体" w:hAnsi="宋体" w:cs="宋体"/>
                <w:szCs w:val="21"/>
                <w:highlight w:val="none"/>
              </w:rPr>
            </w:pPr>
            <w:r>
              <w:rPr>
                <w:rFonts w:hint="eastAsia" w:ascii="宋体" w:hAnsi="宋体" w:cs="宋体"/>
                <w:szCs w:val="21"/>
                <w:highlight w:val="none"/>
              </w:rPr>
              <w:t>与本项目相关的任何争议，各方应遵循平等互利的原则，通过友好协商的方式予以解决；若协商无法达成共识，可依法向招标人所在地具有管辖权的人民法院提起民事诉讼。</w:t>
            </w:r>
          </w:p>
        </w:tc>
        <w:tc>
          <w:tcPr>
            <w:tcW w:w="1766" w:type="dxa"/>
            <w:tcBorders>
              <w:tl2br w:val="nil"/>
              <w:tr2bl w:val="nil"/>
            </w:tcBorders>
            <w:vAlign w:val="center"/>
          </w:tcPr>
          <w:p w14:paraId="645F000A">
            <w:pPr>
              <w:spacing w:line="320" w:lineRule="exact"/>
              <w:jc w:val="center"/>
              <w:rPr>
                <w:rFonts w:ascii="宋体" w:hAnsi="宋体" w:cs="宋体"/>
                <w:szCs w:val="21"/>
                <w:highlight w:val="none"/>
              </w:rPr>
            </w:pPr>
          </w:p>
        </w:tc>
        <w:tc>
          <w:tcPr>
            <w:tcW w:w="1726" w:type="dxa"/>
            <w:tcBorders>
              <w:tl2br w:val="nil"/>
              <w:tr2bl w:val="nil"/>
            </w:tcBorders>
            <w:vAlign w:val="center"/>
          </w:tcPr>
          <w:p w14:paraId="3D9B4B2D">
            <w:pPr>
              <w:spacing w:line="320" w:lineRule="exact"/>
              <w:jc w:val="center"/>
              <w:rPr>
                <w:rFonts w:ascii="宋体" w:hAnsi="宋体" w:cs="宋体"/>
                <w:szCs w:val="21"/>
                <w:highlight w:val="none"/>
              </w:rPr>
            </w:pPr>
          </w:p>
        </w:tc>
        <w:tc>
          <w:tcPr>
            <w:tcW w:w="1440" w:type="dxa"/>
            <w:tcBorders>
              <w:tl2br w:val="nil"/>
              <w:tr2bl w:val="nil"/>
            </w:tcBorders>
            <w:vAlign w:val="center"/>
          </w:tcPr>
          <w:p w14:paraId="44CB1A35">
            <w:pPr>
              <w:spacing w:line="320" w:lineRule="exact"/>
              <w:rPr>
                <w:rFonts w:hint="eastAsia"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bl>
    <w:p w14:paraId="08351314">
      <w:pPr>
        <w:spacing w:line="400" w:lineRule="exact"/>
        <w:rPr>
          <w:rFonts w:ascii="宋体" w:hAnsi="宋体" w:cs="宋体"/>
          <w:szCs w:val="21"/>
          <w:highlight w:val="none"/>
        </w:rPr>
      </w:pPr>
      <w:r>
        <w:rPr>
          <w:rFonts w:hint="eastAsia" w:ascii="宋体" w:hAnsi="宋体" w:cs="宋体"/>
          <w:szCs w:val="21"/>
          <w:highlight w:val="none"/>
        </w:rPr>
        <w:t>说明：</w:t>
      </w:r>
    </w:p>
    <w:p w14:paraId="2D312226">
      <w:pPr>
        <w:numPr>
          <w:ilvl w:val="0"/>
          <w:numId w:val="43"/>
        </w:numPr>
        <w:spacing w:line="400" w:lineRule="exact"/>
        <w:rPr>
          <w:rFonts w:ascii="宋体" w:hAnsi="宋体" w:cs="宋体"/>
          <w:szCs w:val="21"/>
          <w:highlight w:val="none"/>
        </w:rPr>
      </w:pPr>
      <w:r>
        <w:rPr>
          <w:rFonts w:hint="eastAsia" w:ascii="宋体" w:hAnsi="宋体" w:cs="宋体"/>
          <w:b/>
          <w:bCs/>
          <w:szCs w:val="21"/>
          <w:highlight w:val="none"/>
        </w:rPr>
        <w:t>用户需求书中打“★”号条款（如有）及</w:t>
      </w:r>
      <w:r>
        <w:rPr>
          <w:rFonts w:hint="eastAsia" w:ascii="宋体" w:hAnsi="宋体" w:cs="宋体"/>
          <w:b/>
          <w:bCs/>
          <w:sz w:val="24"/>
          <w:highlight w:val="none"/>
          <w:u w:val="double"/>
        </w:rPr>
        <w:t>商务要求</w:t>
      </w:r>
      <w:r>
        <w:rPr>
          <w:rFonts w:hint="eastAsia" w:ascii="宋体" w:hAnsi="宋体" w:cs="宋体"/>
          <w:b/>
          <w:bCs/>
          <w:szCs w:val="21"/>
          <w:highlight w:val="none"/>
        </w:rPr>
        <w:t>均为实质性条款，投标人如有任何一条负偏离则导致投标无效。</w:t>
      </w:r>
    </w:p>
    <w:p w14:paraId="622C6571">
      <w:pPr>
        <w:numPr>
          <w:ilvl w:val="0"/>
          <w:numId w:val="43"/>
        </w:numPr>
        <w:spacing w:line="400" w:lineRule="exact"/>
        <w:rPr>
          <w:rFonts w:ascii="宋体" w:hAnsi="宋体" w:cs="宋体"/>
          <w:szCs w:val="21"/>
          <w:highlight w:val="none"/>
        </w:rPr>
      </w:pPr>
      <w:r>
        <w:rPr>
          <w:rFonts w:hint="eastAsia" w:ascii="宋体" w:hAnsi="宋体" w:cs="宋体"/>
          <w:szCs w:val="21"/>
          <w:highlight w:val="none"/>
        </w:rPr>
        <w:t>投标人必须对应招标文件带“</w:t>
      </w:r>
      <w:r>
        <w:rPr>
          <w:rFonts w:hint="eastAsia" w:ascii="宋体" w:hAnsi="宋体" w:cs="宋体"/>
          <w:b/>
          <w:bCs/>
          <w:szCs w:val="21"/>
          <w:highlight w:val="none"/>
        </w:rPr>
        <w:t>★</w:t>
      </w:r>
      <w:r>
        <w:rPr>
          <w:rFonts w:hint="eastAsia" w:ascii="宋体" w:hAnsi="宋体" w:cs="宋体"/>
          <w:szCs w:val="21"/>
          <w:highlight w:val="none"/>
        </w:rPr>
        <w:t>”的实质性条款（如有）</w:t>
      </w:r>
      <w:r>
        <w:rPr>
          <w:rFonts w:hint="eastAsia"/>
          <w:highlight w:val="none"/>
        </w:rPr>
        <w:t>及</w:t>
      </w:r>
      <w:r>
        <w:rPr>
          <w:rFonts w:hint="eastAsia" w:ascii="宋体" w:hAnsi="宋体" w:cs="宋体"/>
          <w:b/>
          <w:bCs/>
          <w:sz w:val="24"/>
          <w:highlight w:val="none"/>
          <w:u w:val="double"/>
        </w:rPr>
        <w:t>商务要求</w:t>
      </w:r>
      <w:r>
        <w:rPr>
          <w:rFonts w:hint="eastAsia" w:ascii="宋体" w:hAnsi="宋体" w:cs="宋体"/>
          <w:szCs w:val="21"/>
          <w:highlight w:val="none"/>
        </w:rPr>
        <w:t>逐条应答并按要求填写上表。</w:t>
      </w:r>
    </w:p>
    <w:p w14:paraId="035AC62F">
      <w:pPr>
        <w:numPr>
          <w:ilvl w:val="0"/>
          <w:numId w:val="43"/>
        </w:numPr>
        <w:spacing w:line="400" w:lineRule="exact"/>
        <w:rPr>
          <w:rFonts w:ascii="宋体" w:hAnsi="宋体" w:cs="宋体"/>
          <w:szCs w:val="21"/>
          <w:highlight w:val="none"/>
        </w:rPr>
      </w:pPr>
      <w:r>
        <w:rPr>
          <w:rFonts w:hint="eastAsia" w:ascii="宋体" w:hAnsi="宋体" w:cs="宋体"/>
          <w:szCs w:val="21"/>
          <w:highlight w:val="none"/>
        </w:rPr>
        <w:t>本表中“原条款描述”的条款与用户需求中的条款描述不一致的以用户需求中规定的为准。</w:t>
      </w:r>
    </w:p>
    <w:p w14:paraId="12E55549">
      <w:pPr>
        <w:spacing w:line="500" w:lineRule="exact"/>
        <w:jc w:val="right"/>
        <w:rPr>
          <w:rFonts w:ascii="宋体" w:hAnsi="宋体" w:cs="宋体"/>
          <w:spacing w:val="4"/>
          <w:szCs w:val="21"/>
          <w:highlight w:val="none"/>
        </w:rPr>
      </w:pPr>
    </w:p>
    <w:p w14:paraId="24ED62F7">
      <w:pPr>
        <w:spacing w:line="480" w:lineRule="auto"/>
        <w:ind w:firstLine="109" w:firstLineChars="50"/>
        <w:jc w:val="center"/>
        <w:rPr>
          <w:rFonts w:ascii="宋体" w:hAnsi="宋体" w:cs="宋体"/>
          <w:spacing w:val="4"/>
          <w:szCs w:val="21"/>
          <w:highlight w:val="none"/>
        </w:rPr>
      </w:pPr>
      <w:r>
        <w:rPr>
          <w:rFonts w:hint="eastAsia" w:ascii="宋体" w:hAnsi="宋体" w:cs="宋体"/>
          <w:spacing w:val="4"/>
          <w:szCs w:val="21"/>
          <w:highlight w:val="none"/>
        </w:rPr>
        <w:t xml:space="preserve">                                                  投标人名称（加盖公章）：</w:t>
      </w:r>
    </w:p>
    <w:p w14:paraId="2592F4B8">
      <w:pPr>
        <w:spacing w:line="480" w:lineRule="auto"/>
        <w:ind w:firstLine="6322" w:firstLineChars="2900"/>
        <w:rPr>
          <w:rFonts w:ascii="宋体" w:hAnsi="宋体" w:cs="宋体"/>
          <w:spacing w:val="4"/>
          <w:szCs w:val="21"/>
          <w:highlight w:val="none"/>
          <w:u w:val="single"/>
        </w:rPr>
      </w:pPr>
      <w:r>
        <w:rPr>
          <w:rFonts w:hint="eastAsia" w:ascii="宋体" w:hAnsi="宋体" w:cs="宋体"/>
          <w:spacing w:val="4"/>
          <w:szCs w:val="21"/>
          <w:highlight w:val="none"/>
        </w:rPr>
        <w:t>日期：</w:t>
      </w:r>
      <w:r>
        <w:rPr>
          <w:rFonts w:ascii="宋体" w:hAnsi="宋体"/>
          <w:kern w:val="0"/>
          <w:szCs w:val="21"/>
          <w:highlight w:val="none"/>
        </w:rPr>
        <w:t xml:space="preserve">     </w:t>
      </w:r>
      <w:r>
        <w:rPr>
          <w:rFonts w:hint="eastAsia" w:ascii="宋体" w:hAnsi="宋体"/>
          <w:kern w:val="0"/>
          <w:szCs w:val="21"/>
          <w:highlight w:val="none"/>
        </w:rPr>
        <w:t>年</w:t>
      </w: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 xml:space="preserve"> 日</w:t>
      </w:r>
    </w:p>
    <w:p w14:paraId="246645DB">
      <w:pPr>
        <w:spacing w:line="400" w:lineRule="exact"/>
        <w:rPr>
          <w:rFonts w:ascii="宋体" w:hAnsi="宋体" w:cs="宋体"/>
          <w:b/>
          <w:bCs/>
          <w:szCs w:val="21"/>
          <w:highlight w:val="none"/>
        </w:rPr>
        <w:sectPr>
          <w:pgSz w:w="11906" w:h="16838"/>
          <w:pgMar w:top="1440" w:right="1286" w:bottom="1440" w:left="1440" w:header="851" w:footer="992" w:gutter="0"/>
          <w:cols w:space="720" w:num="1"/>
          <w:docGrid w:type="lines" w:linePitch="312" w:charSpace="0"/>
        </w:sectPr>
      </w:pPr>
    </w:p>
    <w:p w14:paraId="5AFC82F3">
      <w:pPr>
        <w:numPr>
          <w:ilvl w:val="0"/>
          <w:numId w:val="37"/>
        </w:numPr>
        <w:spacing w:line="440" w:lineRule="exact"/>
        <w:rPr>
          <w:highlight w:val="none"/>
        </w:rPr>
      </w:pPr>
    </w:p>
    <w:p w14:paraId="3F2A8896">
      <w:pPr>
        <w:pStyle w:val="4"/>
        <w:adjustRightInd w:val="0"/>
        <w:snapToGrid w:val="0"/>
        <w:spacing w:before="156" w:beforeLines="50" w:after="156" w:afterLines="50" w:line="360" w:lineRule="auto"/>
        <w:jc w:val="center"/>
        <w:rPr>
          <w:b w:val="0"/>
          <w:bCs w:val="0"/>
          <w:highlight w:val="none"/>
        </w:rPr>
      </w:pPr>
      <w:r>
        <w:rPr>
          <w:rFonts w:hint="eastAsia"/>
          <w:b w:val="0"/>
          <w:bCs w:val="0"/>
          <w:highlight w:val="none"/>
        </w:rPr>
        <w:t>开标一览表(报价表)</w:t>
      </w:r>
    </w:p>
    <w:p w14:paraId="715F2506">
      <w:pPr>
        <w:tabs>
          <w:tab w:val="left" w:pos="7740"/>
        </w:tabs>
        <w:adjustRightInd w:val="0"/>
        <w:snapToGrid w:val="0"/>
        <w:rPr>
          <w:rFonts w:ascii="宋体" w:hAnsi="宋体" w:cs="宋体"/>
          <w:szCs w:val="21"/>
          <w:highlight w:val="none"/>
        </w:rPr>
      </w:pPr>
      <w:r>
        <w:rPr>
          <w:rFonts w:hint="eastAsia" w:ascii="宋体" w:hAnsi="宋体" w:cs="宋体"/>
          <w:szCs w:val="21"/>
          <w:highlight w:val="none"/>
        </w:rPr>
        <w:t>投标人名称：                                                    项目编号：GDZC-24GZ166</w:t>
      </w:r>
    </w:p>
    <w:tbl>
      <w:tblPr>
        <w:tblStyle w:val="30"/>
        <w:tblW w:w="90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27"/>
        <w:gridCol w:w="4300"/>
      </w:tblGrid>
      <w:tr w14:paraId="67075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27" w:type="dxa"/>
            <w:tcBorders>
              <w:top w:val="single" w:color="auto" w:sz="12" w:space="0"/>
              <w:bottom w:val="double" w:color="auto" w:sz="4" w:space="0"/>
            </w:tcBorders>
            <w:shd w:val="clear" w:color="auto" w:fill="EEECE1"/>
            <w:vAlign w:val="center"/>
          </w:tcPr>
          <w:p w14:paraId="5B13CBFF">
            <w:pPr>
              <w:adjustRightInd w:val="0"/>
              <w:snapToGrid w:val="0"/>
              <w:jc w:val="center"/>
              <w:rPr>
                <w:rFonts w:ascii="宋体"/>
                <w:b/>
                <w:szCs w:val="21"/>
                <w:highlight w:val="none"/>
              </w:rPr>
            </w:pPr>
            <w:r>
              <w:rPr>
                <w:rFonts w:hint="eastAsia" w:ascii="宋体"/>
                <w:b/>
                <w:szCs w:val="21"/>
                <w:highlight w:val="none"/>
              </w:rPr>
              <w:t>采购内容</w:t>
            </w:r>
          </w:p>
        </w:tc>
        <w:tc>
          <w:tcPr>
            <w:tcW w:w="4300" w:type="dxa"/>
            <w:tcBorders>
              <w:top w:val="single" w:color="auto" w:sz="12" w:space="0"/>
              <w:bottom w:val="double" w:color="auto" w:sz="4" w:space="0"/>
            </w:tcBorders>
            <w:shd w:val="clear" w:color="auto" w:fill="EEECE1"/>
            <w:vAlign w:val="center"/>
          </w:tcPr>
          <w:p w14:paraId="615C06F3">
            <w:pPr>
              <w:adjustRightInd w:val="0"/>
              <w:snapToGrid w:val="0"/>
              <w:jc w:val="center"/>
              <w:rPr>
                <w:rFonts w:ascii="宋体"/>
                <w:b/>
                <w:szCs w:val="21"/>
                <w:highlight w:val="none"/>
              </w:rPr>
            </w:pPr>
            <w:r>
              <w:rPr>
                <w:rFonts w:hint="eastAsia" w:ascii="宋体"/>
                <w:b/>
                <w:szCs w:val="21"/>
                <w:highlight w:val="none"/>
              </w:rPr>
              <w:t>承销费率（‰/年）</w:t>
            </w:r>
          </w:p>
        </w:tc>
      </w:tr>
      <w:tr w14:paraId="3FCB4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4727" w:type="dxa"/>
            <w:tcBorders>
              <w:top w:val="single" w:color="auto" w:sz="4" w:space="0"/>
            </w:tcBorders>
            <w:vAlign w:val="center"/>
          </w:tcPr>
          <w:p w14:paraId="5826AE61">
            <w:pPr>
              <w:autoSpaceDE w:val="0"/>
              <w:autoSpaceDN w:val="0"/>
              <w:adjustRightInd w:val="0"/>
              <w:jc w:val="center"/>
              <w:rPr>
                <w:rFonts w:ascii="宋体" w:hAnsi="宋体"/>
                <w:highlight w:val="none"/>
              </w:rPr>
            </w:pPr>
            <w:r>
              <w:rPr>
                <w:rFonts w:hint="eastAsia" w:ascii="宋体" w:hAnsi="宋体"/>
                <w:bCs/>
                <w:szCs w:val="21"/>
                <w:highlight w:val="none"/>
              </w:rPr>
              <w:t>广东南海产业集团有限公司注册发行中期票据选取主承销商项目</w:t>
            </w:r>
          </w:p>
        </w:tc>
        <w:tc>
          <w:tcPr>
            <w:tcW w:w="4300" w:type="dxa"/>
            <w:tcBorders>
              <w:top w:val="single" w:color="auto" w:sz="4" w:space="0"/>
            </w:tcBorders>
            <w:vAlign w:val="center"/>
          </w:tcPr>
          <w:p w14:paraId="36F54D65">
            <w:pPr>
              <w:adjustRightInd w:val="0"/>
              <w:snapToGrid w:val="0"/>
              <w:rPr>
                <w:rFonts w:ascii="宋体"/>
                <w:bCs/>
                <w:szCs w:val="21"/>
                <w:highlight w:val="none"/>
              </w:rPr>
            </w:pPr>
          </w:p>
        </w:tc>
      </w:tr>
    </w:tbl>
    <w:p w14:paraId="06A328F0">
      <w:pPr>
        <w:spacing w:line="500" w:lineRule="exact"/>
        <w:rPr>
          <w:rFonts w:ascii="宋体" w:hAnsi="宋体" w:cs="宋体"/>
          <w:szCs w:val="21"/>
          <w:highlight w:val="none"/>
        </w:rPr>
      </w:pPr>
    </w:p>
    <w:p w14:paraId="0A6B24CB">
      <w:pPr>
        <w:spacing w:line="500" w:lineRule="exact"/>
        <w:rPr>
          <w:rFonts w:ascii="宋体" w:hAnsi="宋体" w:cs="宋体"/>
          <w:szCs w:val="21"/>
          <w:highlight w:val="none"/>
          <w:u w:val="single"/>
        </w:rPr>
      </w:pPr>
      <w:r>
        <w:rPr>
          <w:rFonts w:hint="eastAsia" w:ascii="宋体" w:hAnsi="宋体" w:cs="宋体"/>
          <w:szCs w:val="21"/>
          <w:highlight w:val="none"/>
        </w:rPr>
        <w:t>投标人名称(加盖公章)</w:t>
      </w:r>
      <w:r>
        <w:rPr>
          <w:rFonts w:hint="eastAsia" w:ascii="宋体" w:hAnsi="宋体" w:cs="宋体"/>
          <w:spacing w:val="4"/>
          <w:szCs w:val="21"/>
          <w:highlight w:val="none"/>
        </w:rPr>
        <w:t>：</w:t>
      </w:r>
    </w:p>
    <w:p w14:paraId="1B48FF77">
      <w:pPr>
        <w:rPr>
          <w:rFonts w:ascii="宋体" w:hAnsi="宋体" w:cs="宋体"/>
          <w:spacing w:val="4"/>
          <w:szCs w:val="21"/>
          <w:highlight w:val="none"/>
        </w:rPr>
      </w:pPr>
    </w:p>
    <w:p w14:paraId="33C376D6">
      <w:pPr>
        <w:spacing w:line="520" w:lineRule="exact"/>
        <w:rPr>
          <w:rFonts w:ascii="宋体" w:hAnsi="宋体" w:cs="宋体"/>
          <w:spacing w:val="4"/>
          <w:szCs w:val="21"/>
          <w:highlight w:val="none"/>
        </w:rPr>
      </w:pPr>
      <w:r>
        <w:rPr>
          <w:rFonts w:hint="eastAsia" w:ascii="宋体" w:hAnsi="宋体" w:cs="宋体"/>
          <w:szCs w:val="21"/>
          <w:highlight w:val="none"/>
        </w:rPr>
        <w:t>法定代表人或投标人授权代表（签名或盖章）：</w:t>
      </w:r>
      <w:r>
        <w:rPr>
          <w:rFonts w:hint="eastAsia" w:ascii="宋体" w:hAnsi="宋体" w:cs="宋体"/>
          <w:spacing w:val="4"/>
          <w:szCs w:val="21"/>
          <w:highlight w:val="none"/>
        </w:rPr>
        <w:t xml:space="preserve"> </w:t>
      </w:r>
    </w:p>
    <w:p w14:paraId="7AA095F4">
      <w:pPr>
        <w:rPr>
          <w:rFonts w:ascii="宋体" w:hAnsi="宋体" w:cs="宋体"/>
          <w:spacing w:val="4"/>
          <w:szCs w:val="21"/>
          <w:highlight w:val="none"/>
        </w:rPr>
      </w:pPr>
    </w:p>
    <w:p w14:paraId="1880EDAC">
      <w:pPr>
        <w:spacing w:line="520" w:lineRule="exact"/>
        <w:rPr>
          <w:rFonts w:ascii="宋体" w:hAnsi="宋体" w:cs="宋体"/>
          <w:spacing w:val="4"/>
          <w:szCs w:val="21"/>
          <w:highlight w:val="none"/>
        </w:rPr>
      </w:pPr>
      <w:r>
        <w:rPr>
          <w:rFonts w:hint="eastAsia" w:ascii="宋体" w:hAnsi="宋体" w:cs="宋体"/>
          <w:spacing w:val="4"/>
          <w:szCs w:val="21"/>
          <w:highlight w:val="none"/>
        </w:rPr>
        <w:t>日期：</w:t>
      </w:r>
      <w:r>
        <w:rPr>
          <w:rFonts w:ascii="宋体" w:hAnsi="宋体"/>
          <w:kern w:val="0"/>
          <w:szCs w:val="21"/>
          <w:highlight w:val="none"/>
        </w:rPr>
        <w:t xml:space="preserve">     </w:t>
      </w:r>
      <w:r>
        <w:rPr>
          <w:rFonts w:hint="eastAsia" w:ascii="宋体" w:hAnsi="宋体"/>
          <w:kern w:val="0"/>
          <w:szCs w:val="21"/>
          <w:highlight w:val="none"/>
        </w:rPr>
        <w:t>年</w:t>
      </w: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 xml:space="preserve"> 日</w:t>
      </w:r>
    </w:p>
    <w:p w14:paraId="1496F490">
      <w:pPr>
        <w:spacing w:line="400" w:lineRule="exact"/>
        <w:rPr>
          <w:rFonts w:ascii="宋体" w:hAnsi="宋体" w:cs="宋体"/>
          <w:b/>
          <w:bCs/>
          <w:szCs w:val="21"/>
          <w:highlight w:val="none"/>
        </w:rPr>
      </w:pPr>
    </w:p>
    <w:p w14:paraId="27C5C8AF">
      <w:pPr>
        <w:spacing w:line="400" w:lineRule="exact"/>
        <w:rPr>
          <w:rFonts w:ascii="宋体" w:hAnsi="宋体" w:cs="宋体"/>
          <w:b/>
          <w:bCs/>
          <w:szCs w:val="21"/>
          <w:highlight w:val="none"/>
        </w:rPr>
      </w:pPr>
      <w:r>
        <w:rPr>
          <w:rFonts w:hint="eastAsia" w:ascii="宋体" w:hAnsi="宋体" w:cs="宋体"/>
          <w:b/>
          <w:bCs/>
          <w:szCs w:val="21"/>
          <w:highlight w:val="none"/>
        </w:rPr>
        <w:t>备注：</w:t>
      </w:r>
    </w:p>
    <w:p w14:paraId="7CD504BF">
      <w:pPr>
        <w:numPr>
          <w:ilvl w:val="1"/>
          <w:numId w:val="44"/>
        </w:numPr>
        <w:tabs>
          <w:tab w:val="left" w:pos="360"/>
          <w:tab w:val="clear" w:pos="1620"/>
        </w:tabs>
        <w:snapToGrid w:val="0"/>
        <w:spacing w:line="360" w:lineRule="auto"/>
        <w:ind w:left="360"/>
        <w:rPr>
          <w:rFonts w:ascii="宋体" w:hAnsi="宋体" w:cs="宋体"/>
          <w:b/>
          <w:bCs/>
          <w:szCs w:val="21"/>
          <w:highlight w:val="none"/>
        </w:rPr>
      </w:pPr>
      <w:r>
        <w:rPr>
          <w:rFonts w:hint="eastAsia" w:ascii="宋体" w:hAnsi="宋体" w:cs="宋体"/>
          <w:b/>
          <w:szCs w:val="21"/>
          <w:highlight w:val="none"/>
        </w:rPr>
        <w:t>此表为投标文件的组成部分，须附在正、副本的投标文件中，并另封装一份于开标小信封中。</w:t>
      </w:r>
    </w:p>
    <w:p w14:paraId="3BF42C74">
      <w:pPr>
        <w:numPr>
          <w:ilvl w:val="1"/>
          <w:numId w:val="44"/>
        </w:numPr>
        <w:tabs>
          <w:tab w:val="left" w:pos="360"/>
          <w:tab w:val="clear" w:pos="1620"/>
        </w:tabs>
        <w:snapToGrid w:val="0"/>
        <w:spacing w:line="360" w:lineRule="auto"/>
        <w:ind w:left="360"/>
        <w:rPr>
          <w:rFonts w:ascii="宋体" w:hAnsi="宋体" w:cs="宋体"/>
          <w:b/>
          <w:bCs/>
          <w:szCs w:val="21"/>
          <w:highlight w:val="none"/>
        </w:rPr>
      </w:pPr>
      <w:r>
        <w:rPr>
          <w:rFonts w:hint="eastAsia" w:ascii="宋体" w:hAnsi="宋体" w:cs="宋体"/>
          <w:b/>
          <w:szCs w:val="21"/>
          <w:highlight w:val="none"/>
        </w:rPr>
        <w:t>此表内投标报价为最终价，投标文件内不得含有任何对本报价进行修改的其他说明或资料，否则为无效投标</w:t>
      </w:r>
      <w:r>
        <w:rPr>
          <w:rFonts w:hint="eastAsia" w:ascii="宋体" w:hAnsi="宋体" w:cs="宋体"/>
          <w:b/>
          <w:bCs/>
          <w:szCs w:val="21"/>
          <w:highlight w:val="none"/>
        </w:rPr>
        <w:t>。</w:t>
      </w:r>
    </w:p>
    <w:p w14:paraId="27AEF7A8">
      <w:pPr>
        <w:numPr>
          <w:ilvl w:val="1"/>
          <w:numId w:val="44"/>
        </w:numPr>
        <w:tabs>
          <w:tab w:val="left" w:pos="360"/>
          <w:tab w:val="left" w:pos="840"/>
          <w:tab w:val="clear" w:pos="1620"/>
        </w:tabs>
        <w:snapToGrid w:val="0"/>
        <w:spacing w:line="360" w:lineRule="auto"/>
        <w:ind w:left="360"/>
        <w:rPr>
          <w:rFonts w:ascii="宋体" w:hAnsi="宋体" w:cs="宋体"/>
          <w:b/>
          <w:szCs w:val="21"/>
          <w:highlight w:val="none"/>
        </w:rPr>
      </w:pPr>
      <w:r>
        <w:rPr>
          <w:rFonts w:hint="eastAsia" w:ascii="宋体" w:hAnsi="宋体" w:cs="宋体"/>
          <w:b/>
          <w:szCs w:val="21"/>
          <w:highlight w:val="none"/>
        </w:rPr>
        <w:t>投标报价要求具体见第五章“</w:t>
      </w:r>
      <w:bookmarkStart w:id="421" w:name="_Toc322076489"/>
      <w:r>
        <w:rPr>
          <w:rFonts w:hint="eastAsia" w:ascii="宋体" w:hAnsi="宋体" w:cs="宋体"/>
          <w:b/>
          <w:bCs/>
          <w:szCs w:val="21"/>
          <w:highlight w:val="none"/>
        </w:rPr>
        <w:t>投标报价</w:t>
      </w:r>
      <w:bookmarkEnd w:id="421"/>
      <w:r>
        <w:rPr>
          <w:rFonts w:hint="eastAsia" w:ascii="宋体" w:hAnsi="宋体" w:cs="宋体"/>
          <w:b/>
          <w:szCs w:val="21"/>
          <w:highlight w:val="none"/>
        </w:rPr>
        <w:t>”要求及用户需求书的要求。</w:t>
      </w:r>
    </w:p>
    <w:p w14:paraId="330C9D1D">
      <w:pPr>
        <w:numPr>
          <w:ilvl w:val="1"/>
          <w:numId w:val="44"/>
        </w:numPr>
        <w:tabs>
          <w:tab w:val="left" w:pos="360"/>
          <w:tab w:val="left" w:pos="840"/>
          <w:tab w:val="clear" w:pos="1620"/>
        </w:tabs>
        <w:snapToGrid w:val="0"/>
        <w:spacing w:line="360" w:lineRule="auto"/>
        <w:ind w:left="360"/>
        <w:rPr>
          <w:rFonts w:ascii="宋体" w:hAnsi="宋体" w:cs="宋体"/>
          <w:b/>
          <w:szCs w:val="21"/>
          <w:highlight w:val="none"/>
        </w:rPr>
      </w:pPr>
      <w:r>
        <w:rPr>
          <w:rFonts w:hint="eastAsia" w:ascii="宋体" w:hAnsi="宋体" w:cs="宋体"/>
          <w:b/>
          <w:szCs w:val="21"/>
          <w:highlight w:val="none"/>
        </w:rPr>
        <w:t>投标人应在合理范围内报价，本项目投标报价的最高限价是0.40‰/年。投标报价不能高于最高限价，否则视为无效投标。投标报价低于0.10‰/年的需在投标文件中附投标报价说明，未提供投标报价说明的原则上视为不响应招标文件，</w:t>
      </w:r>
      <w:r>
        <w:rPr>
          <w:rFonts w:hint="eastAsia" w:ascii="宋体" w:hAnsi="宋体" w:cs="宋体"/>
          <w:szCs w:val="21"/>
          <w:highlight w:val="none"/>
        </w:rPr>
        <w:t>将视为无效投标</w:t>
      </w:r>
      <w:r>
        <w:rPr>
          <w:rFonts w:hint="eastAsia" w:ascii="宋体" w:hAnsi="宋体" w:cs="宋体"/>
          <w:b/>
          <w:szCs w:val="21"/>
          <w:highlight w:val="none"/>
        </w:rPr>
        <w:t>。</w:t>
      </w:r>
    </w:p>
    <w:p w14:paraId="794C3A0F">
      <w:pPr>
        <w:numPr>
          <w:ilvl w:val="1"/>
          <w:numId w:val="44"/>
        </w:numPr>
        <w:tabs>
          <w:tab w:val="left" w:pos="360"/>
          <w:tab w:val="left" w:pos="840"/>
          <w:tab w:val="clear" w:pos="1620"/>
        </w:tabs>
        <w:snapToGrid w:val="0"/>
        <w:spacing w:line="360" w:lineRule="auto"/>
        <w:ind w:left="360"/>
        <w:rPr>
          <w:rFonts w:ascii="宋体" w:hAnsi="宋体" w:cs="宋体"/>
          <w:b/>
          <w:szCs w:val="21"/>
          <w:highlight w:val="none"/>
        </w:rPr>
      </w:pPr>
      <w:r>
        <w:rPr>
          <w:rFonts w:hint="eastAsia" w:ascii="宋体" w:hAnsi="宋体" w:cs="宋体"/>
          <w:b/>
          <w:szCs w:val="21"/>
          <w:highlight w:val="none"/>
        </w:rPr>
        <w:t>费率报价保留小数点后两位有效数字。</w:t>
      </w:r>
    </w:p>
    <w:p w14:paraId="4EDB5302">
      <w:pPr>
        <w:pStyle w:val="4"/>
        <w:adjustRightInd w:val="0"/>
        <w:snapToGrid w:val="0"/>
        <w:spacing w:before="156" w:beforeLines="50" w:after="156" w:afterLines="50" w:line="360" w:lineRule="auto"/>
        <w:jc w:val="center"/>
        <w:rPr>
          <w:rFonts w:ascii="宋体" w:hAnsi="宋体" w:cs="宋体"/>
          <w:szCs w:val="21"/>
          <w:highlight w:val="none"/>
        </w:rPr>
      </w:pPr>
      <w:r>
        <w:rPr>
          <w:rFonts w:hint="eastAsia" w:ascii="宋体" w:hAnsi="宋体" w:cs="宋体"/>
          <w:szCs w:val="21"/>
          <w:highlight w:val="none"/>
        </w:rPr>
        <w:br w:type="page"/>
      </w:r>
    </w:p>
    <w:p w14:paraId="01A88DC7">
      <w:pPr>
        <w:numPr>
          <w:ilvl w:val="0"/>
          <w:numId w:val="37"/>
        </w:numPr>
        <w:spacing w:line="440" w:lineRule="exact"/>
        <w:rPr>
          <w:rFonts w:ascii="宋体" w:hAnsi="宋体" w:cs="宋体"/>
          <w:bCs/>
          <w:szCs w:val="21"/>
          <w:highlight w:val="none"/>
        </w:rPr>
      </w:pPr>
    </w:p>
    <w:p w14:paraId="0A636924">
      <w:pPr>
        <w:spacing w:line="440" w:lineRule="exact"/>
        <w:jc w:val="center"/>
        <w:rPr>
          <w:rFonts w:ascii="Arial" w:hAnsi="Arial" w:eastAsia="黑体"/>
          <w:bCs/>
          <w:sz w:val="32"/>
          <w:szCs w:val="32"/>
          <w:highlight w:val="none"/>
        </w:rPr>
      </w:pPr>
      <w:r>
        <w:rPr>
          <w:rFonts w:hint="eastAsia" w:ascii="Arial" w:hAnsi="Arial" w:eastAsia="黑体"/>
          <w:bCs/>
          <w:sz w:val="32"/>
          <w:szCs w:val="32"/>
          <w:highlight w:val="none"/>
        </w:rPr>
        <w:t>用户需求书响应一览表</w:t>
      </w:r>
    </w:p>
    <w:p w14:paraId="6684487D">
      <w:pPr>
        <w:spacing w:after="156" w:afterLines="50"/>
        <w:jc w:val="center"/>
        <w:outlineLvl w:val="2"/>
        <w:rPr>
          <w:rFonts w:ascii="宋体" w:hAnsi="宋体" w:cs="宋体"/>
          <w:szCs w:val="21"/>
          <w:highlight w:val="none"/>
        </w:rPr>
      </w:pPr>
      <w:r>
        <w:rPr>
          <w:rFonts w:hint="eastAsia" w:ascii="宋体" w:hAnsi="宋体" w:cs="宋体"/>
          <w:szCs w:val="21"/>
          <w:highlight w:val="none"/>
        </w:rPr>
        <w:t>投标人名称：                                                     项目编号：GDZC-24GZ166</w:t>
      </w:r>
    </w:p>
    <w:tbl>
      <w:tblPr>
        <w:tblStyle w:val="30"/>
        <w:tblW w:w="9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740"/>
        <w:gridCol w:w="1890"/>
        <w:gridCol w:w="1695"/>
        <w:gridCol w:w="1166"/>
      </w:tblGrid>
      <w:tr w14:paraId="4E40A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vAlign w:val="center"/>
          </w:tcPr>
          <w:p w14:paraId="7EFBEABD">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序号</w:t>
            </w:r>
          </w:p>
        </w:tc>
        <w:tc>
          <w:tcPr>
            <w:tcW w:w="3740" w:type="dxa"/>
            <w:tcBorders>
              <w:top w:val="single" w:color="auto" w:sz="12" w:space="0"/>
              <w:bottom w:val="double" w:color="auto" w:sz="4" w:space="0"/>
            </w:tcBorders>
            <w:shd w:val="clear" w:color="auto" w:fill="EEECE1"/>
            <w:vAlign w:val="center"/>
          </w:tcPr>
          <w:p w14:paraId="2E578012">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招标文件条款描述</w:t>
            </w:r>
          </w:p>
        </w:tc>
        <w:tc>
          <w:tcPr>
            <w:tcW w:w="1890" w:type="dxa"/>
            <w:tcBorders>
              <w:top w:val="single" w:color="auto" w:sz="12" w:space="0"/>
              <w:bottom w:val="double" w:color="auto" w:sz="4" w:space="0"/>
            </w:tcBorders>
            <w:shd w:val="clear" w:color="auto" w:fill="EEECE1"/>
            <w:vAlign w:val="center"/>
          </w:tcPr>
          <w:p w14:paraId="58EE3BB4">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投标人响应描述</w:t>
            </w:r>
          </w:p>
          <w:p w14:paraId="33319F08">
            <w:pPr>
              <w:adjustRightInd w:val="0"/>
              <w:snapToGrid w:val="0"/>
              <w:ind w:left="-71" w:leftChars="-34" w:right="-73" w:rightChars="-35"/>
              <w:jc w:val="center"/>
              <w:rPr>
                <w:rFonts w:ascii="宋体" w:hAnsi="宋体" w:cs="宋体"/>
                <w:szCs w:val="21"/>
                <w:highlight w:val="none"/>
              </w:rPr>
            </w:pPr>
            <w:r>
              <w:rPr>
                <w:rFonts w:hint="eastAsia" w:ascii="宋体" w:hAnsi="宋体" w:cs="宋体"/>
                <w:b/>
                <w:bCs/>
                <w:szCs w:val="21"/>
                <w:highlight w:val="none"/>
              </w:rPr>
              <w:t>(投标人应按响应服务实际数据填写)</w:t>
            </w:r>
          </w:p>
        </w:tc>
        <w:tc>
          <w:tcPr>
            <w:tcW w:w="1695" w:type="dxa"/>
            <w:tcBorders>
              <w:top w:val="single" w:color="auto" w:sz="12" w:space="0"/>
              <w:bottom w:val="double" w:color="auto" w:sz="4" w:space="0"/>
            </w:tcBorders>
            <w:shd w:val="clear" w:color="auto" w:fill="EEECE1"/>
            <w:vAlign w:val="center"/>
          </w:tcPr>
          <w:p w14:paraId="3FEC3585">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偏离情况说明</w:t>
            </w:r>
          </w:p>
          <w:p w14:paraId="06100E8E">
            <w:pPr>
              <w:adjustRightInd w:val="0"/>
              <w:snapToGrid w:val="0"/>
              <w:jc w:val="center"/>
              <w:rPr>
                <w:rFonts w:ascii="宋体" w:hAnsi="宋体" w:cs="宋体"/>
                <w:b/>
                <w:szCs w:val="21"/>
                <w:highlight w:val="none"/>
              </w:rPr>
            </w:pPr>
            <w:r>
              <w:rPr>
                <w:rFonts w:hint="eastAsia" w:ascii="宋体" w:hAnsi="宋体" w:cs="宋体"/>
                <w:b/>
                <w:szCs w:val="21"/>
                <w:highlight w:val="none"/>
              </w:rPr>
              <w:t>（正偏离/完全响应/负偏离）</w:t>
            </w:r>
          </w:p>
        </w:tc>
        <w:tc>
          <w:tcPr>
            <w:tcW w:w="1166" w:type="dxa"/>
            <w:tcBorders>
              <w:top w:val="single" w:color="auto" w:sz="12" w:space="0"/>
              <w:bottom w:val="double" w:color="auto" w:sz="4" w:space="0"/>
            </w:tcBorders>
            <w:shd w:val="clear" w:color="auto" w:fill="EEECE1"/>
            <w:vAlign w:val="center"/>
          </w:tcPr>
          <w:p w14:paraId="2B798CAE">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查阅/证明文件指引</w:t>
            </w:r>
          </w:p>
        </w:tc>
      </w:tr>
      <w:tr w14:paraId="74D09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14:paraId="29306DA7">
            <w:pPr>
              <w:jc w:val="center"/>
              <w:rPr>
                <w:rFonts w:ascii="宋体" w:hAnsi="宋体" w:cs="宋体"/>
                <w:b/>
                <w:szCs w:val="21"/>
                <w:highlight w:val="none"/>
              </w:rPr>
            </w:pPr>
            <w:r>
              <w:rPr>
                <w:rFonts w:hint="eastAsia" w:ascii="宋体" w:hAnsi="宋体" w:cs="宋体"/>
                <w:b/>
                <w:szCs w:val="21"/>
                <w:highlight w:val="none"/>
              </w:rPr>
              <w:t>一般条款（除带“</w:t>
            </w:r>
            <w:r>
              <w:rPr>
                <w:rFonts w:hint="eastAsia" w:ascii="宋体" w:hAnsi="宋体" w:cs="宋体"/>
                <w:b/>
                <w:bCs/>
                <w:szCs w:val="21"/>
                <w:highlight w:val="none"/>
              </w:rPr>
              <w:t>★</w:t>
            </w:r>
            <w:r>
              <w:rPr>
                <w:rFonts w:hint="eastAsia" w:ascii="宋体" w:hAnsi="宋体" w:cs="宋体"/>
                <w:b/>
                <w:szCs w:val="21"/>
                <w:highlight w:val="none"/>
              </w:rPr>
              <w:t>”及“商务要求”之外的条款）</w:t>
            </w:r>
          </w:p>
        </w:tc>
      </w:tr>
      <w:tr w14:paraId="6B31B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14:paraId="1FEF0B45">
            <w:pPr>
              <w:numPr>
                <w:ilvl w:val="0"/>
                <w:numId w:val="45"/>
              </w:numPr>
              <w:jc w:val="center"/>
              <w:rPr>
                <w:rFonts w:ascii="宋体" w:hAnsi="宋体" w:cs="宋体"/>
                <w:szCs w:val="21"/>
                <w:highlight w:val="none"/>
              </w:rPr>
            </w:pPr>
          </w:p>
        </w:tc>
        <w:tc>
          <w:tcPr>
            <w:tcW w:w="3740" w:type="dxa"/>
            <w:vAlign w:val="center"/>
          </w:tcPr>
          <w:p w14:paraId="2B56A60B">
            <w:pPr>
              <w:rPr>
                <w:rFonts w:ascii="宋体" w:hAnsi="宋体" w:cs="宋体"/>
                <w:b/>
                <w:bCs/>
                <w:szCs w:val="21"/>
                <w:highlight w:val="none"/>
              </w:rPr>
            </w:pPr>
            <w:r>
              <w:rPr>
                <w:rFonts w:hint="eastAsia" w:ascii="宋体" w:hAnsi="宋体" w:cs="宋体"/>
                <w:b/>
                <w:bCs/>
                <w:szCs w:val="21"/>
                <w:highlight w:val="none"/>
              </w:rPr>
              <w:t>一、项目概况</w:t>
            </w:r>
          </w:p>
          <w:p w14:paraId="6172DCDC">
            <w:pPr>
              <w:rPr>
                <w:rFonts w:hint="eastAsia" w:ascii="宋体" w:hAnsi="宋体" w:cs="宋体"/>
                <w:szCs w:val="21"/>
                <w:highlight w:val="none"/>
              </w:rPr>
            </w:pPr>
            <w:r>
              <w:rPr>
                <w:rFonts w:hint="eastAsia" w:ascii="宋体" w:hAnsi="宋体" w:cs="宋体"/>
                <w:szCs w:val="21"/>
                <w:highlight w:val="none"/>
              </w:rPr>
              <w:t>1．采购项目名称：广东南海产业集团有限公司注册发行中期票据选取主承销商项目</w:t>
            </w:r>
          </w:p>
          <w:p w14:paraId="5636AA1E">
            <w:pPr>
              <w:rPr>
                <w:rFonts w:hint="eastAsia" w:ascii="宋体" w:hAnsi="宋体" w:cs="宋体"/>
                <w:szCs w:val="21"/>
                <w:highlight w:val="none"/>
              </w:rPr>
            </w:pPr>
            <w:r>
              <w:rPr>
                <w:rFonts w:hint="eastAsia" w:ascii="宋体" w:hAnsi="宋体" w:cs="宋体"/>
                <w:szCs w:val="21"/>
                <w:highlight w:val="none"/>
              </w:rPr>
              <w:t>2．注册和发行的规模：本次中期票据的注册发行额度为不超过25亿元（含），并根据招标人的资金使用安排，在注册额度内确定各期发行规模。</w:t>
            </w:r>
          </w:p>
          <w:p w14:paraId="4A99A6B7">
            <w:pPr>
              <w:rPr>
                <w:rFonts w:hint="eastAsia" w:ascii="宋体" w:hAnsi="宋体" w:cs="宋体"/>
                <w:szCs w:val="21"/>
                <w:highlight w:val="none"/>
              </w:rPr>
            </w:pPr>
            <w:r>
              <w:rPr>
                <w:rFonts w:hint="eastAsia" w:ascii="宋体" w:hAnsi="宋体" w:cs="宋体"/>
                <w:szCs w:val="21"/>
                <w:highlight w:val="none"/>
              </w:rPr>
              <w:t>3．发行期限：不超过5年（含）。</w:t>
            </w:r>
          </w:p>
          <w:p w14:paraId="469344EC">
            <w:pPr>
              <w:rPr>
                <w:rFonts w:hint="eastAsia" w:ascii="宋体" w:hAnsi="宋体" w:cs="宋体"/>
                <w:szCs w:val="21"/>
                <w:highlight w:val="none"/>
              </w:rPr>
            </w:pPr>
            <w:r>
              <w:rPr>
                <w:rFonts w:hint="eastAsia" w:ascii="宋体" w:hAnsi="宋体" w:cs="宋体"/>
                <w:szCs w:val="21"/>
                <w:highlight w:val="none"/>
              </w:rPr>
              <w:t>4．发行时点：获得注册通知书后，在有效期内安排发行。</w:t>
            </w:r>
          </w:p>
          <w:p w14:paraId="0AF506AE">
            <w:pPr>
              <w:rPr>
                <w:rFonts w:ascii="宋体" w:hAnsi="宋体" w:cs="宋体"/>
                <w:szCs w:val="21"/>
                <w:highlight w:val="none"/>
              </w:rPr>
            </w:pPr>
            <w:r>
              <w:rPr>
                <w:rFonts w:hint="eastAsia" w:ascii="宋体" w:hAnsi="宋体" w:cs="宋体"/>
                <w:szCs w:val="21"/>
                <w:highlight w:val="none"/>
              </w:rPr>
              <w:t>5．承销方式：余额包销。</w:t>
            </w:r>
          </w:p>
        </w:tc>
        <w:tc>
          <w:tcPr>
            <w:tcW w:w="1890" w:type="dxa"/>
            <w:vAlign w:val="center"/>
          </w:tcPr>
          <w:p w14:paraId="0B275404">
            <w:pPr>
              <w:jc w:val="center"/>
              <w:rPr>
                <w:rFonts w:ascii="宋体" w:hAnsi="宋体" w:cs="宋体"/>
                <w:szCs w:val="21"/>
                <w:highlight w:val="none"/>
              </w:rPr>
            </w:pPr>
          </w:p>
        </w:tc>
        <w:tc>
          <w:tcPr>
            <w:tcW w:w="1695" w:type="dxa"/>
            <w:vAlign w:val="center"/>
          </w:tcPr>
          <w:p w14:paraId="363B21B6">
            <w:pPr>
              <w:jc w:val="center"/>
              <w:rPr>
                <w:rFonts w:ascii="宋体" w:hAnsi="宋体" w:cs="宋体"/>
                <w:szCs w:val="21"/>
                <w:highlight w:val="none"/>
              </w:rPr>
            </w:pPr>
          </w:p>
        </w:tc>
        <w:tc>
          <w:tcPr>
            <w:tcW w:w="1166" w:type="dxa"/>
            <w:vAlign w:val="center"/>
          </w:tcPr>
          <w:p w14:paraId="6814F29B">
            <w:pPr>
              <w:jc w:val="center"/>
              <w:rPr>
                <w:rFonts w:ascii="宋体" w:hAnsi="宋体" w:cs="宋体"/>
                <w:szCs w:val="21"/>
                <w:highlight w:val="none"/>
              </w:rPr>
            </w:pPr>
            <w:r>
              <w:rPr>
                <w:rFonts w:hint="eastAsia" w:ascii="宋体" w:hAnsi="宋体" w:cs="宋体"/>
                <w:szCs w:val="21"/>
                <w:highlight w:val="none"/>
              </w:rPr>
              <w:t>见《投标文件》第页</w:t>
            </w:r>
          </w:p>
        </w:tc>
      </w:tr>
      <w:tr w14:paraId="7E7F1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14:paraId="61C3C803">
            <w:pPr>
              <w:numPr>
                <w:ilvl w:val="0"/>
                <w:numId w:val="45"/>
              </w:numPr>
              <w:jc w:val="center"/>
              <w:rPr>
                <w:rFonts w:ascii="宋体" w:hAnsi="宋体" w:cs="宋体"/>
                <w:szCs w:val="21"/>
                <w:highlight w:val="none"/>
              </w:rPr>
            </w:pPr>
          </w:p>
        </w:tc>
        <w:tc>
          <w:tcPr>
            <w:tcW w:w="3740" w:type="dxa"/>
            <w:vAlign w:val="center"/>
          </w:tcPr>
          <w:p w14:paraId="76D6A532">
            <w:pPr>
              <w:jc w:val="left"/>
              <w:rPr>
                <w:rFonts w:ascii="宋体" w:hAnsi="宋体" w:cs="宋体"/>
                <w:b w:val="0"/>
                <w:bCs w:val="0"/>
                <w:szCs w:val="21"/>
                <w:highlight w:val="none"/>
              </w:rPr>
            </w:pPr>
            <w:r>
              <w:rPr>
                <w:rFonts w:hint="eastAsia" w:ascii="宋体" w:hAnsi="宋体" w:cs="宋体"/>
                <w:b w:val="0"/>
                <w:bCs w:val="0"/>
                <w:szCs w:val="21"/>
                <w:highlight w:val="none"/>
              </w:rPr>
              <w:t>二、服务内容</w:t>
            </w:r>
          </w:p>
          <w:p w14:paraId="04DD4672">
            <w:pPr>
              <w:jc w:val="left"/>
              <w:rPr>
                <w:rFonts w:hint="eastAsia" w:ascii="宋体" w:hAnsi="宋体" w:cs="宋体"/>
                <w:b w:val="0"/>
                <w:bCs w:val="0"/>
                <w:szCs w:val="21"/>
                <w:highlight w:val="none"/>
              </w:rPr>
            </w:pPr>
            <w:r>
              <w:rPr>
                <w:rFonts w:hint="eastAsia" w:ascii="宋体" w:hAnsi="宋体" w:cs="宋体"/>
                <w:b w:val="0"/>
                <w:bCs w:val="0"/>
                <w:szCs w:val="21"/>
                <w:highlight w:val="none"/>
              </w:rPr>
              <w:t>1.招标项目内容</w:t>
            </w:r>
          </w:p>
          <w:p w14:paraId="6356D22D">
            <w:pPr>
              <w:jc w:val="left"/>
              <w:rPr>
                <w:rFonts w:hint="eastAsia" w:ascii="宋体" w:hAnsi="宋体" w:cs="宋体"/>
                <w:b w:val="0"/>
                <w:bCs w:val="0"/>
                <w:szCs w:val="21"/>
                <w:highlight w:val="none"/>
              </w:rPr>
            </w:pPr>
            <w:r>
              <w:rPr>
                <w:rFonts w:hint="eastAsia" w:ascii="宋体" w:hAnsi="宋体" w:cs="宋体"/>
                <w:b w:val="0"/>
                <w:bCs w:val="0"/>
                <w:szCs w:val="21"/>
                <w:highlight w:val="none"/>
              </w:rPr>
              <w:t>本项目服务内容包括：注册发行咨询服务，申报材料编制及中期票据申报服务，中期票据发行、挂牌及托管服务，存续期服务。具体内容如下：</w:t>
            </w:r>
          </w:p>
          <w:p w14:paraId="36E6CADF">
            <w:pPr>
              <w:jc w:val="left"/>
              <w:rPr>
                <w:rFonts w:hint="eastAsia" w:ascii="宋体" w:hAnsi="宋体" w:cs="宋体"/>
                <w:b/>
                <w:bCs/>
                <w:szCs w:val="21"/>
                <w:highlight w:val="none"/>
              </w:rPr>
            </w:pPr>
            <w:r>
              <w:rPr>
                <w:rFonts w:hint="eastAsia" w:ascii="宋体" w:hAnsi="宋体" w:cs="宋体"/>
                <w:b/>
                <w:bCs/>
                <w:szCs w:val="21"/>
                <w:highlight w:val="none"/>
              </w:rPr>
              <w:t>(1)融资咨询服务</w:t>
            </w:r>
          </w:p>
          <w:p w14:paraId="3A39FEE7">
            <w:pPr>
              <w:jc w:val="left"/>
              <w:rPr>
                <w:rFonts w:hint="eastAsia" w:ascii="宋体" w:hAnsi="宋体" w:cs="宋体"/>
                <w:b w:val="0"/>
                <w:bCs w:val="0"/>
                <w:szCs w:val="21"/>
                <w:highlight w:val="none"/>
              </w:rPr>
            </w:pPr>
            <w:r>
              <w:rPr>
                <w:rFonts w:hint="eastAsia" w:ascii="宋体" w:hAnsi="宋体" w:cs="宋体"/>
                <w:b w:val="0"/>
                <w:bCs w:val="0"/>
                <w:szCs w:val="21"/>
                <w:highlight w:val="none"/>
              </w:rPr>
              <w:t>1)为招标人提供融资咨询服务；</w:t>
            </w:r>
          </w:p>
          <w:p w14:paraId="2FB50739">
            <w:pPr>
              <w:jc w:val="left"/>
              <w:rPr>
                <w:rFonts w:hint="eastAsia" w:ascii="宋体" w:hAnsi="宋体" w:cs="宋体"/>
                <w:b w:val="0"/>
                <w:bCs w:val="0"/>
                <w:szCs w:val="21"/>
                <w:highlight w:val="none"/>
              </w:rPr>
            </w:pPr>
            <w:r>
              <w:rPr>
                <w:rFonts w:hint="eastAsia" w:ascii="宋体" w:hAnsi="宋体" w:cs="宋体"/>
                <w:b w:val="0"/>
                <w:bCs w:val="0"/>
                <w:szCs w:val="21"/>
                <w:highlight w:val="none"/>
              </w:rPr>
              <w:t>2)核查招标人运营状况，调查招标人是否符合发行中期票据要求，包括招标人运营资质、历史沿革、治理结构、业务情况和财务状况等；</w:t>
            </w:r>
          </w:p>
          <w:p w14:paraId="36C2E863">
            <w:pPr>
              <w:jc w:val="left"/>
              <w:rPr>
                <w:rFonts w:hint="eastAsia" w:ascii="宋体" w:hAnsi="宋体" w:cs="宋体"/>
                <w:b w:val="0"/>
                <w:bCs w:val="0"/>
                <w:szCs w:val="21"/>
                <w:highlight w:val="none"/>
              </w:rPr>
            </w:pPr>
            <w:r>
              <w:rPr>
                <w:rFonts w:hint="eastAsia" w:ascii="宋体" w:hAnsi="宋体" w:cs="宋体"/>
                <w:b w:val="0"/>
                <w:bCs w:val="0"/>
                <w:szCs w:val="21"/>
                <w:highlight w:val="none"/>
              </w:rPr>
              <w:t>3)对招标人发行中期票据的可行性提供建议。</w:t>
            </w:r>
          </w:p>
          <w:p w14:paraId="14368467">
            <w:pPr>
              <w:jc w:val="left"/>
              <w:rPr>
                <w:rFonts w:hint="eastAsia" w:ascii="宋体" w:hAnsi="宋体" w:cs="宋体"/>
                <w:b/>
                <w:bCs/>
                <w:szCs w:val="21"/>
                <w:highlight w:val="none"/>
              </w:rPr>
            </w:pPr>
            <w:r>
              <w:rPr>
                <w:rFonts w:hint="eastAsia" w:ascii="宋体" w:hAnsi="宋体" w:cs="宋体"/>
                <w:b/>
                <w:bCs/>
                <w:szCs w:val="21"/>
                <w:highlight w:val="none"/>
              </w:rPr>
              <w:t>(2)申报材料编制及中期票据申报服务</w:t>
            </w:r>
          </w:p>
          <w:p w14:paraId="1B68E5B6">
            <w:pPr>
              <w:jc w:val="left"/>
              <w:rPr>
                <w:rFonts w:hint="eastAsia" w:ascii="宋体" w:hAnsi="宋体" w:cs="宋体"/>
                <w:b w:val="0"/>
                <w:bCs w:val="0"/>
                <w:szCs w:val="21"/>
                <w:highlight w:val="none"/>
              </w:rPr>
            </w:pPr>
            <w:r>
              <w:rPr>
                <w:rFonts w:hint="eastAsia" w:ascii="宋体" w:hAnsi="宋体" w:cs="宋体"/>
                <w:b w:val="0"/>
                <w:bCs w:val="0"/>
                <w:szCs w:val="21"/>
                <w:highlight w:val="none"/>
              </w:rPr>
              <w:t>1)负责协助招标人编写募集说明书及其他有关监管部门要求的必要文件；</w:t>
            </w:r>
          </w:p>
          <w:p w14:paraId="1F32A67F">
            <w:pPr>
              <w:jc w:val="left"/>
              <w:rPr>
                <w:rFonts w:hint="eastAsia" w:ascii="宋体" w:hAnsi="宋体" w:cs="宋体"/>
                <w:b w:val="0"/>
                <w:bCs w:val="0"/>
                <w:szCs w:val="21"/>
                <w:highlight w:val="none"/>
              </w:rPr>
            </w:pPr>
            <w:r>
              <w:rPr>
                <w:rFonts w:hint="eastAsia" w:ascii="宋体" w:hAnsi="宋体" w:cs="宋体"/>
                <w:b w:val="0"/>
                <w:bCs w:val="0"/>
                <w:szCs w:val="21"/>
                <w:highlight w:val="none"/>
              </w:rPr>
              <w:t>2)负责统筹发行中期票据申报工作，包括拟定工作时间表，协调审计机构、律师事务所、信用评级公司等中介机构的工作进度等；</w:t>
            </w:r>
          </w:p>
          <w:p w14:paraId="761144F9">
            <w:pPr>
              <w:jc w:val="left"/>
              <w:rPr>
                <w:rFonts w:hint="eastAsia" w:ascii="宋体" w:hAnsi="宋体" w:cs="宋体"/>
                <w:b w:val="0"/>
                <w:bCs w:val="0"/>
                <w:szCs w:val="21"/>
                <w:highlight w:val="none"/>
              </w:rPr>
            </w:pPr>
            <w:r>
              <w:rPr>
                <w:rFonts w:hint="eastAsia" w:ascii="宋体" w:hAnsi="宋体" w:cs="宋体"/>
                <w:b w:val="0"/>
                <w:bCs w:val="0"/>
                <w:szCs w:val="21"/>
                <w:highlight w:val="none"/>
              </w:rPr>
              <w:t>3)协助招标人设计中期票据发行方案，包括：发行规模、发行期限、发行方式、发行范围及对象、承销方式和还本付息方式及风险应对方案等，并对中期票据募集资金投资项目的合规性进行审核；</w:t>
            </w:r>
          </w:p>
          <w:p w14:paraId="42C77ED8">
            <w:pPr>
              <w:jc w:val="left"/>
              <w:rPr>
                <w:rFonts w:hint="eastAsia" w:ascii="宋体" w:hAnsi="宋体" w:cs="宋体"/>
                <w:b w:val="0"/>
                <w:bCs w:val="0"/>
                <w:szCs w:val="21"/>
                <w:highlight w:val="none"/>
              </w:rPr>
            </w:pPr>
            <w:r>
              <w:rPr>
                <w:rFonts w:hint="eastAsia" w:ascii="宋体" w:hAnsi="宋体" w:cs="宋体"/>
                <w:b w:val="0"/>
                <w:bCs w:val="0"/>
                <w:szCs w:val="21"/>
                <w:highlight w:val="none"/>
              </w:rPr>
              <w:t>4)组织承销团并对承销团成员的资质进行审核；</w:t>
            </w:r>
          </w:p>
          <w:p w14:paraId="6B25E2BE">
            <w:pPr>
              <w:jc w:val="left"/>
              <w:rPr>
                <w:rFonts w:hint="eastAsia" w:ascii="宋体" w:hAnsi="宋体" w:cs="宋体"/>
                <w:b w:val="0"/>
                <w:bCs w:val="0"/>
                <w:szCs w:val="21"/>
                <w:highlight w:val="none"/>
              </w:rPr>
            </w:pPr>
            <w:r>
              <w:rPr>
                <w:rFonts w:hint="eastAsia" w:ascii="宋体" w:hAnsi="宋体" w:cs="宋体"/>
                <w:b w:val="0"/>
                <w:bCs w:val="0"/>
                <w:szCs w:val="21"/>
                <w:highlight w:val="none"/>
              </w:rPr>
              <w:t>5)协助招标人向有关各级主管机关会签工作；</w:t>
            </w:r>
          </w:p>
          <w:p w14:paraId="22985B8C">
            <w:pPr>
              <w:jc w:val="left"/>
              <w:rPr>
                <w:rFonts w:hint="eastAsia" w:ascii="宋体" w:hAnsi="宋体" w:cs="宋体"/>
                <w:b w:val="0"/>
                <w:bCs w:val="0"/>
                <w:szCs w:val="21"/>
                <w:highlight w:val="none"/>
              </w:rPr>
            </w:pPr>
            <w:r>
              <w:rPr>
                <w:rFonts w:hint="eastAsia" w:ascii="宋体" w:hAnsi="宋体" w:cs="宋体"/>
                <w:b w:val="0"/>
                <w:bCs w:val="0"/>
                <w:szCs w:val="21"/>
                <w:highlight w:val="none"/>
              </w:rPr>
              <w:t>6)协助招标人向有关中国银行间市场交易商协会申报注册及其他相关申报工作；</w:t>
            </w:r>
          </w:p>
          <w:p w14:paraId="5E267981">
            <w:pPr>
              <w:jc w:val="left"/>
              <w:rPr>
                <w:rFonts w:hint="eastAsia" w:ascii="宋体" w:hAnsi="宋体" w:cs="宋体"/>
                <w:b w:val="0"/>
                <w:bCs w:val="0"/>
                <w:szCs w:val="21"/>
                <w:highlight w:val="none"/>
              </w:rPr>
            </w:pPr>
            <w:r>
              <w:rPr>
                <w:rFonts w:hint="eastAsia" w:ascii="宋体" w:hAnsi="宋体" w:cs="宋体"/>
                <w:b w:val="0"/>
                <w:bCs w:val="0"/>
                <w:szCs w:val="21"/>
                <w:highlight w:val="none"/>
              </w:rPr>
              <w:t>7)协调招标人和中介机构对中国银行间市场交易商协会反馈意见进行答复及组织相关回复资料。</w:t>
            </w:r>
          </w:p>
          <w:p w14:paraId="01B46D02">
            <w:pPr>
              <w:jc w:val="left"/>
              <w:rPr>
                <w:rFonts w:hint="eastAsia" w:ascii="宋体" w:hAnsi="宋体" w:cs="宋体"/>
                <w:b/>
                <w:bCs/>
                <w:szCs w:val="21"/>
                <w:highlight w:val="none"/>
              </w:rPr>
            </w:pPr>
            <w:r>
              <w:rPr>
                <w:rFonts w:hint="eastAsia" w:ascii="宋体" w:hAnsi="宋体" w:cs="宋体"/>
                <w:b/>
                <w:bCs/>
                <w:szCs w:val="21"/>
                <w:highlight w:val="none"/>
              </w:rPr>
              <w:t>(3)中期票据发行、挂牌及托管服务</w:t>
            </w:r>
          </w:p>
          <w:p w14:paraId="6DBA325E">
            <w:pPr>
              <w:jc w:val="left"/>
              <w:rPr>
                <w:rFonts w:hint="eastAsia" w:ascii="宋体" w:hAnsi="宋体" w:cs="宋体"/>
                <w:b w:val="0"/>
                <w:bCs w:val="0"/>
                <w:szCs w:val="21"/>
                <w:highlight w:val="none"/>
              </w:rPr>
            </w:pPr>
            <w:r>
              <w:rPr>
                <w:rFonts w:hint="eastAsia" w:ascii="宋体" w:hAnsi="宋体" w:cs="宋体"/>
                <w:b w:val="0"/>
                <w:bCs w:val="0"/>
                <w:szCs w:val="21"/>
                <w:highlight w:val="none"/>
              </w:rPr>
              <w:t>1)中期票据项目获得有关主管机关批文，协助招标人安排合适的时间择机发行；</w:t>
            </w:r>
          </w:p>
          <w:p w14:paraId="1AB2DC71">
            <w:pPr>
              <w:jc w:val="left"/>
              <w:rPr>
                <w:rFonts w:hint="eastAsia" w:ascii="宋体" w:hAnsi="宋体" w:cs="宋体"/>
                <w:b w:val="0"/>
                <w:bCs w:val="0"/>
                <w:szCs w:val="21"/>
                <w:highlight w:val="none"/>
              </w:rPr>
            </w:pPr>
            <w:r>
              <w:rPr>
                <w:rFonts w:hint="eastAsia" w:ascii="宋体" w:hAnsi="宋体" w:cs="宋体"/>
                <w:b w:val="0"/>
                <w:bCs w:val="0"/>
                <w:szCs w:val="21"/>
                <w:highlight w:val="none"/>
              </w:rPr>
              <w:t>2)负责中期票据发行后的挂牌登记、托管工作；</w:t>
            </w:r>
          </w:p>
          <w:p w14:paraId="7F0CD548">
            <w:pPr>
              <w:jc w:val="left"/>
              <w:rPr>
                <w:rFonts w:hint="eastAsia" w:ascii="宋体" w:hAnsi="宋体" w:cs="宋体"/>
                <w:b w:val="0"/>
                <w:bCs w:val="0"/>
                <w:szCs w:val="21"/>
                <w:highlight w:val="none"/>
              </w:rPr>
            </w:pPr>
            <w:r>
              <w:rPr>
                <w:rFonts w:hint="eastAsia" w:ascii="宋体" w:hAnsi="宋体" w:cs="宋体"/>
                <w:b w:val="0"/>
                <w:bCs w:val="0"/>
                <w:szCs w:val="21"/>
                <w:highlight w:val="none"/>
              </w:rPr>
              <w:t>3)根据承销协议的约定履行中期票据余额包销义务；</w:t>
            </w:r>
          </w:p>
          <w:p w14:paraId="59D9E84A">
            <w:pPr>
              <w:jc w:val="left"/>
              <w:rPr>
                <w:rFonts w:hint="eastAsia" w:ascii="宋体" w:hAnsi="宋体" w:cs="宋体"/>
                <w:b w:val="0"/>
                <w:bCs w:val="0"/>
                <w:szCs w:val="21"/>
                <w:highlight w:val="none"/>
              </w:rPr>
            </w:pPr>
            <w:r>
              <w:rPr>
                <w:rFonts w:hint="eastAsia" w:ascii="宋体" w:hAnsi="宋体" w:cs="宋体"/>
                <w:b w:val="0"/>
                <w:bCs w:val="0"/>
                <w:szCs w:val="21"/>
                <w:highlight w:val="none"/>
              </w:rPr>
              <w:t>4)负责组织承销团按规定的中期票据发行总额和发行期限发售中期票据。</w:t>
            </w:r>
          </w:p>
          <w:p w14:paraId="3257E58D">
            <w:pPr>
              <w:jc w:val="left"/>
              <w:rPr>
                <w:rFonts w:hint="eastAsia" w:ascii="宋体" w:hAnsi="宋体" w:cs="宋体"/>
                <w:b/>
                <w:bCs/>
                <w:szCs w:val="21"/>
                <w:highlight w:val="none"/>
              </w:rPr>
            </w:pPr>
            <w:r>
              <w:rPr>
                <w:rFonts w:hint="eastAsia" w:ascii="宋体" w:hAnsi="宋体" w:cs="宋体"/>
                <w:b/>
                <w:bCs/>
                <w:szCs w:val="21"/>
                <w:highlight w:val="none"/>
              </w:rPr>
              <w:t>(4)存续期服务</w:t>
            </w:r>
          </w:p>
          <w:p w14:paraId="1AEF5FD3">
            <w:pPr>
              <w:jc w:val="left"/>
              <w:rPr>
                <w:rFonts w:hint="eastAsia" w:ascii="宋体" w:hAnsi="宋体" w:cs="宋体"/>
                <w:b w:val="0"/>
                <w:bCs w:val="0"/>
                <w:szCs w:val="21"/>
                <w:highlight w:val="none"/>
              </w:rPr>
            </w:pPr>
            <w:r>
              <w:rPr>
                <w:rFonts w:hint="eastAsia" w:ascii="宋体" w:hAnsi="宋体" w:cs="宋体"/>
                <w:b w:val="0"/>
                <w:bCs w:val="0"/>
                <w:szCs w:val="21"/>
                <w:highlight w:val="none"/>
              </w:rPr>
              <w:t>1)提醒、督促招标人按时筹措资金、还本付息并按规定对有关情况及时进行信息披露；</w:t>
            </w:r>
          </w:p>
          <w:p w14:paraId="6919933D">
            <w:pPr>
              <w:jc w:val="left"/>
              <w:rPr>
                <w:rFonts w:hint="eastAsia" w:ascii="宋体" w:hAnsi="宋体" w:cs="宋体"/>
                <w:b w:val="0"/>
                <w:bCs w:val="0"/>
                <w:szCs w:val="21"/>
                <w:highlight w:val="none"/>
              </w:rPr>
            </w:pPr>
            <w:r>
              <w:rPr>
                <w:rFonts w:hint="eastAsia" w:ascii="宋体" w:hAnsi="宋体" w:cs="宋体"/>
                <w:b w:val="0"/>
                <w:bCs w:val="0"/>
                <w:szCs w:val="21"/>
                <w:highlight w:val="none"/>
              </w:rPr>
              <w:t>2)在存续期内协助招标人定期报告的披露以及就影响当期中期票据的外部因素、不可抗力及招标人自身因素引起的重大变化或重大事项，根据募集说明书的约定及时进行信息披露。</w:t>
            </w:r>
          </w:p>
          <w:p w14:paraId="282A26A9">
            <w:pPr>
              <w:jc w:val="left"/>
              <w:rPr>
                <w:rFonts w:hint="eastAsia" w:ascii="宋体" w:hAnsi="宋体" w:cs="宋体"/>
                <w:b w:val="0"/>
                <w:bCs w:val="0"/>
                <w:szCs w:val="21"/>
                <w:highlight w:val="none"/>
              </w:rPr>
            </w:pPr>
            <w:r>
              <w:rPr>
                <w:rFonts w:hint="eastAsia" w:ascii="宋体" w:hAnsi="宋体" w:cs="宋体"/>
                <w:b w:val="0"/>
                <w:bCs w:val="0"/>
                <w:szCs w:val="21"/>
                <w:highlight w:val="none"/>
              </w:rPr>
              <w:t>3)按照中国银行间市场交易商协会的要求，完成与本项目中期票据发行有关且应由主承销商负责的其他工作。</w:t>
            </w:r>
          </w:p>
          <w:p w14:paraId="3B9FB692">
            <w:pPr>
              <w:jc w:val="left"/>
              <w:rPr>
                <w:rFonts w:hint="eastAsia" w:ascii="宋体" w:hAnsi="宋体" w:cs="宋体"/>
                <w:b/>
                <w:bCs/>
                <w:szCs w:val="21"/>
                <w:highlight w:val="none"/>
              </w:rPr>
            </w:pPr>
            <w:r>
              <w:rPr>
                <w:rFonts w:hint="eastAsia" w:ascii="宋体" w:hAnsi="宋体" w:cs="宋体"/>
                <w:b/>
                <w:bCs/>
                <w:szCs w:val="21"/>
                <w:highlight w:val="none"/>
              </w:rPr>
              <w:t>2.服务要求</w:t>
            </w:r>
          </w:p>
          <w:p w14:paraId="7F09524A">
            <w:pPr>
              <w:jc w:val="left"/>
              <w:rPr>
                <w:rFonts w:hint="eastAsia" w:ascii="宋体" w:hAnsi="宋体" w:cs="宋体"/>
                <w:b w:val="0"/>
                <w:bCs w:val="0"/>
                <w:szCs w:val="21"/>
                <w:highlight w:val="none"/>
              </w:rPr>
            </w:pPr>
            <w:r>
              <w:rPr>
                <w:rFonts w:hint="eastAsia" w:ascii="宋体" w:hAnsi="宋体" w:cs="宋体"/>
                <w:b w:val="0"/>
                <w:bCs w:val="0"/>
                <w:szCs w:val="21"/>
                <w:highlight w:val="none"/>
              </w:rPr>
              <w:t>(1)中标人应具有专业中期票据发行团队，并组建人员充足，分工合理，综合素质高，有丰富的同类项目的经验的工作小组为本次中期票据注册发行提供服务。为本招标项目设置项目工作组，成员不少于8人（含），并能根据招标人的要求派人到现场办公；投标文件中所承诺的人员应确保到位，以保障高效、优质地完成中期票据发行工作；项目工作组成员在提供服务期间不得随意更换，但在以下情况下例外：</w:t>
            </w:r>
          </w:p>
          <w:p w14:paraId="386C8F5B">
            <w:pPr>
              <w:jc w:val="left"/>
              <w:rPr>
                <w:rFonts w:hint="eastAsia" w:ascii="宋体" w:hAnsi="宋体" w:cs="宋体"/>
                <w:b w:val="0"/>
                <w:bCs w:val="0"/>
                <w:szCs w:val="21"/>
                <w:highlight w:val="none"/>
              </w:rPr>
            </w:pPr>
            <w:r>
              <w:rPr>
                <w:rFonts w:hint="eastAsia" w:ascii="宋体" w:hAnsi="宋体" w:cs="宋体"/>
                <w:b w:val="0"/>
                <w:bCs w:val="0"/>
                <w:szCs w:val="21"/>
                <w:highlight w:val="none"/>
              </w:rPr>
              <w:t>1)招标人要求更换；</w:t>
            </w:r>
          </w:p>
          <w:p w14:paraId="57EC67AF">
            <w:pPr>
              <w:jc w:val="left"/>
              <w:rPr>
                <w:rFonts w:hint="eastAsia" w:ascii="宋体" w:hAnsi="宋体" w:cs="宋体"/>
                <w:b w:val="0"/>
                <w:bCs w:val="0"/>
                <w:szCs w:val="21"/>
                <w:highlight w:val="none"/>
              </w:rPr>
            </w:pPr>
            <w:r>
              <w:rPr>
                <w:rFonts w:hint="eastAsia" w:ascii="宋体" w:hAnsi="宋体" w:cs="宋体"/>
                <w:b w:val="0"/>
                <w:bCs w:val="0"/>
                <w:szCs w:val="21"/>
                <w:highlight w:val="none"/>
              </w:rPr>
              <w:t>2)征得招标人书面同意更换人员。</w:t>
            </w:r>
          </w:p>
          <w:p w14:paraId="025144A2">
            <w:pPr>
              <w:jc w:val="left"/>
              <w:rPr>
                <w:rFonts w:hint="eastAsia" w:ascii="宋体" w:hAnsi="宋体" w:cs="宋体"/>
                <w:b w:val="0"/>
                <w:bCs w:val="0"/>
                <w:szCs w:val="21"/>
                <w:highlight w:val="none"/>
              </w:rPr>
            </w:pPr>
            <w:r>
              <w:rPr>
                <w:rFonts w:hint="eastAsia" w:ascii="宋体" w:hAnsi="宋体" w:cs="宋体"/>
                <w:b w:val="0"/>
                <w:bCs w:val="0"/>
                <w:szCs w:val="21"/>
                <w:highlight w:val="none"/>
              </w:rPr>
              <w:t>(2)中标人应根据招标人的要求，制定合理的中期票据发行工作计划，并就中期票据的发行时间、发行期限、本息兑付安排以及资金用途等内容提供合理化建议。</w:t>
            </w:r>
          </w:p>
          <w:p w14:paraId="12B6BC05">
            <w:pPr>
              <w:jc w:val="left"/>
              <w:rPr>
                <w:rFonts w:hint="eastAsia" w:ascii="宋体" w:hAnsi="宋体" w:cs="宋体"/>
                <w:b w:val="0"/>
                <w:bCs w:val="0"/>
                <w:szCs w:val="21"/>
                <w:highlight w:val="none"/>
              </w:rPr>
            </w:pPr>
            <w:r>
              <w:rPr>
                <w:rFonts w:hint="eastAsia" w:ascii="宋体" w:hAnsi="宋体" w:cs="宋体"/>
                <w:b w:val="0"/>
                <w:bCs w:val="0"/>
                <w:szCs w:val="21"/>
                <w:highlight w:val="none"/>
              </w:rPr>
              <w:t>(3)在中期票据申报、发行过程中，中标人负责协调相关中介机构的工作进度。</w:t>
            </w:r>
          </w:p>
          <w:p w14:paraId="66D9F00E">
            <w:pPr>
              <w:jc w:val="left"/>
              <w:rPr>
                <w:rFonts w:hint="eastAsia" w:ascii="宋体" w:hAnsi="宋体" w:cs="宋体"/>
                <w:b w:val="0"/>
                <w:bCs w:val="0"/>
                <w:szCs w:val="21"/>
                <w:highlight w:val="none"/>
              </w:rPr>
            </w:pPr>
            <w:r>
              <w:rPr>
                <w:rFonts w:hint="eastAsia" w:ascii="宋体" w:hAnsi="宋体" w:cs="宋体"/>
                <w:b w:val="0"/>
                <w:bCs w:val="0"/>
                <w:szCs w:val="21"/>
                <w:highlight w:val="none"/>
              </w:rPr>
              <w:t>(4)经有关主管部门批准后，中标人负责中期票据发行和挂牌工作，并根据承销协议的约定开展中期票据承销工作，履行中期票据余额包销义务。</w:t>
            </w:r>
          </w:p>
          <w:p w14:paraId="2E0F872F">
            <w:pPr>
              <w:jc w:val="left"/>
              <w:rPr>
                <w:rFonts w:hint="eastAsia" w:ascii="宋体" w:hAnsi="宋体" w:cs="宋体"/>
                <w:b w:val="0"/>
                <w:bCs w:val="0"/>
                <w:szCs w:val="21"/>
                <w:highlight w:val="none"/>
              </w:rPr>
            </w:pPr>
            <w:r>
              <w:rPr>
                <w:rFonts w:hint="eastAsia" w:ascii="宋体" w:hAnsi="宋体" w:cs="宋体"/>
                <w:b w:val="0"/>
                <w:bCs w:val="0"/>
                <w:szCs w:val="21"/>
                <w:highlight w:val="none"/>
              </w:rPr>
              <w:t>(5)中标人应按法律及中期票据主管部门相关自律规范文件的规定，建立后续管理工作机制和相关制度，设立专门机构或岗位持续对招标人开展跟踪、监测、调查等后续管理工作。</w:t>
            </w:r>
          </w:p>
          <w:p w14:paraId="572CA237">
            <w:pPr>
              <w:jc w:val="left"/>
              <w:rPr>
                <w:rFonts w:hint="eastAsia" w:ascii="宋体" w:hAnsi="宋体" w:cs="宋体"/>
                <w:b w:val="0"/>
                <w:bCs w:val="0"/>
                <w:szCs w:val="21"/>
                <w:highlight w:val="none"/>
              </w:rPr>
            </w:pPr>
            <w:r>
              <w:rPr>
                <w:rFonts w:hint="eastAsia" w:ascii="宋体" w:hAnsi="宋体" w:cs="宋体"/>
                <w:b w:val="0"/>
                <w:bCs w:val="0"/>
                <w:szCs w:val="21"/>
                <w:highlight w:val="none"/>
              </w:rPr>
              <w:t>(6)在中期票据存续期内，中标人对招标人募集资金使用、还本付息等情况予以监控，及时披露招标人重大变化，保障投资人利益。</w:t>
            </w:r>
          </w:p>
          <w:p w14:paraId="1A4E7F91">
            <w:pPr>
              <w:jc w:val="left"/>
              <w:rPr>
                <w:rFonts w:hint="eastAsia" w:ascii="宋体" w:hAnsi="宋体" w:cs="宋体"/>
                <w:b w:val="0"/>
                <w:bCs w:val="0"/>
                <w:szCs w:val="21"/>
                <w:highlight w:val="none"/>
              </w:rPr>
            </w:pPr>
            <w:r>
              <w:rPr>
                <w:rFonts w:hint="eastAsia" w:ascii="宋体" w:hAnsi="宋体" w:cs="宋体"/>
                <w:b w:val="0"/>
                <w:bCs w:val="0"/>
                <w:szCs w:val="21"/>
                <w:highlight w:val="none"/>
              </w:rPr>
              <w:t>(7)履行保密义务，中标人应对招标人提供的资料进行保密，不私自对外泄露。</w:t>
            </w:r>
          </w:p>
          <w:p w14:paraId="70A641B0">
            <w:pPr>
              <w:jc w:val="left"/>
              <w:rPr>
                <w:rFonts w:hint="eastAsia" w:ascii="宋体" w:hAnsi="宋体" w:cs="宋体"/>
                <w:b w:val="0"/>
                <w:bCs w:val="0"/>
                <w:szCs w:val="21"/>
                <w:highlight w:val="none"/>
              </w:rPr>
            </w:pPr>
            <w:r>
              <w:rPr>
                <w:rFonts w:hint="eastAsia" w:ascii="宋体" w:hAnsi="宋体" w:cs="宋体"/>
                <w:b w:val="0"/>
                <w:bCs w:val="0"/>
                <w:szCs w:val="21"/>
                <w:highlight w:val="none"/>
              </w:rPr>
              <w:t>(8)中标人应承担提供服务期间的所有风险和责任。</w:t>
            </w:r>
          </w:p>
          <w:p w14:paraId="1D571DFB">
            <w:pPr>
              <w:jc w:val="left"/>
              <w:rPr>
                <w:rFonts w:hint="eastAsia" w:ascii="宋体" w:hAnsi="宋体" w:cs="宋体"/>
                <w:b w:val="0"/>
                <w:bCs w:val="0"/>
                <w:szCs w:val="21"/>
                <w:highlight w:val="none"/>
              </w:rPr>
            </w:pPr>
            <w:r>
              <w:rPr>
                <w:rFonts w:hint="eastAsia" w:ascii="宋体" w:hAnsi="宋体" w:cs="宋体"/>
                <w:b w:val="0"/>
                <w:bCs w:val="0"/>
                <w:szCs w:val="21"/>
                <w:highlight w:val="none"/>
              </w:rPr>
              <w:t>(9)除下列情况外，中标人应当对执行业务过程中知悉的招标人信息予以保密：</w:t>
            </w:r>
          </w:p>
          <w:p w14:paraId="04424CCC">
            <w:pPr>
              <w:jc w:val="left"/>
              <w:rPr>
                <w:rFonts w:hint="eastAsia" w:ascii="宋体" w:hAnsi="宋体" w:cs="宋体"/>
                <w:b w:val="0"/>
                <w:bCs w:val="0"/>
                <w:szCs w:val="21"/>
                <w:highlight w:val="none"/>
              </w:rPr>
            </w:pPr>
            <w:r>
              <w:rPr>
                <w:rFonts w:hint="eastAsia" w:ascii="宋体" w:hAnsi="宋体" w:cs="宋体"/>
                <w:b w:val="0"/>
                <w:bCs w:val="0"/>
                <w:szCs w:val="21"/>
                <w:highlight w:val="none"/>
              </w:rPr>
              <w:t>1)法律法规允许披露，并取得招标人的授权；</w:t>
            </w:r>
          </w:p>
          <w:p w14:paraId="4F15D614">
            <w:pPr>
              <w:jc w:val="left"/>
              <w:rPr>
                <w:rFonts w:hint="eastAsia" w:ascii="宋体" w:hAnsi="宋体" w:cs="宋体"/>
                <w:b w:val="0"/>
                <w:bCs w:val="0"/>
                <w:szCs w:val="21"/>
                <w:highlight w:val="none"/>
              </w:rPr>
            </w:pPr>
            <w:r>
              <w:rPr>
                <w:rFonts w:hint="eastAsia" w:ascii="宋体" w:hAnsi="宋体" w:cs="宋体"/>
                <w:b w:val="0"/>
                <w:bCs w:val="0"/>
                <w:szCs w:val="21"/>
                <w:highlight w:val="none"/>
              </w:rPr>
              <w:t>2)根据法律法规的要求，为法律诉讼、仲裁准备文件或提供证据，以及向监管机构报告发现的违法行为；</w:t>
            </w:r>
          </w:p>
          <w:p w14:paraId="056FFEF4">
            <w:pPr>
              <w:jc w:val="left"/>
              <w:rPr>
                <w:rFonts w:hint="eastAsia" w:ascii="宋体" w:hAnsi="宋体" w:cs="宋体"/>
                <w:b w:val="0"/>
                <w:bCs w:val="0"/>
                <w:szCs w:val="21"/>
                <w:highlight w:val="none"/>
              </w:rPr>
            </w:pPr>
            <w:r>
              <w:rPr>
                <w:rFonts w:hint="eastAsia" w:ascii="宋体" w:hAnsi="宋体" w:cs="宋体"/>
                <w:b w:val="0"/>
                <w:bCs w:val="0"/>
                <w:szCs w:val="21"/>
                <w:highlight w:val="none"/>
              </w:rPr>
              <w:t>3)在法律法规允许的情况下，在法律诉讼、仲裁中维护自己的合法权益；</w:t>
            </w:r>
          </w:p>
          <w:p w14:paraId="70937E2E">
            <w:pPr>
              <w:jc w:val="left"/>
              <w:rPr>
                <w:rFonts w:hint="eastAsia" w:ascii="宋体" w:hAnsi="宋体" w:cs="宋体"/>
                <w:b w:val="0"/>
                <w:bCs w:val="0"/>
                <w:szCs w:val="21"/>
                <w:highlight w:val="none"/>
              </w:rPr>
            </w:pPr>
            <w:r>
              <w:rPr>
                <w:rFonts w:hint="eastAsia" w:ascii="宋体" w:hAnsi="宋体" w:cs="宋体"/>
                <w:b w:val="0"/>
                <w:bCs w:val="0"/>
                <w:szCs w:val="21"/>
                <w:highlight w:val="none"/>
              </w:rPr>
              <w:t>4)法律法规、执业准则和职业道德规范规定的其他情形。</w:t>
            </w:r>
          </w:p>
          <w:p w14:paraId="55FC0FEB">
            <w:pPr>
              <w:jc w:val="left"/>
              <w:rPr>
                <w:rFonts w:hint="eastAsia" w:ascii="宋体" w:hAnsi="宋体" w:cs="宋体"/>
                <w:b/>
                <w:bCs/>
                <w:szCs w:val="21"/>
                <w:highlight w:val="none"/>
              </w:rPr>
            </w:pPr>
            <w:r>
              <w:rPr>
                <w:rFonts w:hint="eastAsia" w:ascii="宋体" w:hAnsi="宋体" w:cs="宋体"/>
                <w:b/>
                <w:bCs/>
                <w:szCs w:val="21"/>
                <w:highlight w:val="none"/>
              </w:rPr>
              <w:t>3.特别约定</w:t>
            </w:r>
          </w:p>
          <w:p w14:paraId="1D355B3E">
            <w:pPr>
              <w:jc w:val="left"/>
              <w:rPr>
                <w:rFonts w:hint="eastAsia" w:ascii="宋体" w:hAnsi="宋体" w:cs="宋体"/>
                <w:b w:val="0"/>
                <w:bCs w:val="0"/>
                <w:szCs w:val="21"/>
                <w:highlight w:val="none"/>
              </w:rPr>
            </w:pPr>
            <w:r>
              <w:rPr>
                <w:rFonts w:hint="eastAsia" w:ascii="宋体" w:hAnsi="宋体" w:cs="宋体"/>
                <w:b w:val="0"/>
                <w:bCs w:val="0"/>
                <w:szCs w:val="21"/>
                <w:highlight w:val="none"/>
              </w:rPr>
              <w:t>(1)中标人就中期票据的发行向招标人承担余额包销责任，即在发行期限结束时，中标人按照各自的承销份额承销无条件买下未售出的全部剩余中期票据。</w:t>
            </w:r>
          </w:p>
          <w:p w14:paraId="0722F527">
            <w:pPr>
              <w:jc w:val="left"/>
              <w:rPr>
                <w:rFonts w:hint="eastAsia" w:ascii="宋体" w:hAnsi="宋体" w:cs="宋体"/>
                <w:b w:val="0"/>
                <w:bCs w:val="0"/>
                <w:szCs w:val="21"/>
                <w:highlight w:val="none"/>
              </w:rPr>
            </w:pPr>
            <w:r>
              <w:rPr>
                <w:rFonts w:hint="eastAsia" w:ascii="宋体" w:hAnsi="宋体" w:cs="宋体"/>
                <w:b w:val="0"/>
                <w:bCs w:val="0"/>
                <w:szCs w:val="21"/>
                <w:highlight w:val="none"/>
              </w:rPr>
              <w:t>(2)中标人买下尚未售出的招标人中期票据的时间不得影响约定将募集资金划拨至招标人收款账户上的时间。</w:t>
            </w:r>
          </w:p>
          <w:p w14:paraId="61360735">
            <w:pPr>
              <w:jc w:val="left"/>
              <w:rPr>
                <w:rFonts w:hint="eastAsia" w:ascii="宋体" w:hAnsi="宋体" w:cs="宋体"/>
                <w:b w:val="0"/>
                <w:bCs w:val="0"/>
                <w:szCs w:val="21"/>
                <w:highlight w:val="none"/>
              </w:rPr>
            </w:pPr>
            <w:r>
              <w:rPr>
                <w:rFonts w:hint="eastAsia" w:ascii="宋体" w:hAnsi="宋体" w:cs="宋体"/>
                <w:b w:val="0"/>
                <w:bCs w:val="0"/>
                <w:szCs w:val="21"/>
                <w:highlight w:val="none"/>
              </w:rPr>
              <w:t>(3)中标人在与招标人充分协商的基础上，负责组织并落实承销团进行招标人中期票据的发行、承销，不超额、不逾期发行中期票据，并有责任监督承销团各成员的承销活动。</w:t>
            </w:r>
          </w:p>
          <w:p w14:paraId="683C68D5">
            <w:pPr>
              <w:jc w:val="left"/>
              <w:rPr>
                <w:rFonts w:ascii="宋体" w:hAnsi="宋体" w:cs="宋体"/>
                <w:b w:val="0"/>
                <w:bCs w:val="0"/>
                <w:szCs w:val="21"/>
                <w:highlight w:val="none"/>
              </w:rPr>
            </w:pPr>
            <w:r>
              <w:rPr>
                <w:rFonts w:hint="eastAsia" w:ascii="宋体" w:hAnsi="宋体" w:cs="宋体"/>
                <w:b w:val="0"/>
                <w:bCs w:val="0"/>
                <w:szCs w:val="21"/>
                <w:highlight w:val="none"/>
              </w:rPr>
              <w:t>在中标人向招标人划付了全部募集款项，并且中标人已向招标人提供了相应的承销费用发票，配合完成有关中期票据在相关登记托管机构办理相应手续工作之后，中标人作为主承销商的承销义务和责任即告终止，但中标人的其他义务和责任并不因此而终止。</w:t>
            </w:r>
          </w:p>
        </w:tc>
        <w:tc>
          <w:tcPr>
            <w:tcW w:w="1890" w:type="dxa"/>
            <w:vAlign w:val="center"/>
          </w:tcPr>
          <w:p w14:paraId="1D1C79EE">
            <w:pPr>
              <w:jc w:val="center"/>
              <w:rPr>
                <w:rFonts w:ascii="宋体" w:hAnsi="宋体" w:cs="宋体"/>
                <w:szCs w:val="21"/>
                <w:highlight w:val="none"/>
              </w:rPr>
            </w:pPr>
          </w:p>
        </w:tc>
        <w:tc>
          <w:tcPr>
            <w:tcW w:w="1695" w:type="dxa"/>
            <w:vAlign w:val="center"/>
          </w:tcPr>
          <w:p w14:paraId="060103C9">
            <w:pPr>
              <w:jc w:val="center"/>
              <w:rPr>
                <w:rFonts w:ascii="宋体" w:hAnsi="宋体" w:cs="宋体"/>
                <w:szCs w:val="21"/>
                <w:highlight w:val="none"/>
              </w:rPr>
            </w:pPr>
          </w:p>
        </w:tc>
        <w:tc>
          <w:tcPr>
            <w:tcW w:w="1166" w:type="dxa"/>
            <w:vAlign w:val="center"/>
          </w:tcPr>
          <w:p w14:paraId="64E3C31D">
            <w:pPr>
              <w:jc w:val="center"/>
              <w:rPr>
                <w:rFonts w:ascii="宋体" w:hAnsi="宋体" w:cs="宋体"/>
                <w:szCs w:val="21"/>
                <w:highlight w:val="none"/>
              </w:rPr>
            </w:pPr>
            <w:r>
              <w:rPr>
                <w:rFonts w:hint="eastAsia" w:ascii="宋体" w:hAnsi="宋体" w:cs="宋体"/>
                <w:szCs w:val="21"/>
                <w:highlight w:val="none"/>
              </w:rPr>
              <w:t>见《投标文件》第页</w:t>
            </w:r>
          </w:p>
        </w:tc>
      </w:tr>
    </w:tbl>
    <w:p w14:paraId="09DF84D8">
      <w:pPr>
        <w:adjustRightInd w:val="0"/>
        <w:snapToGrid w:val="0"/>
        <w:spacing w:line="460" w:lineRule="exact"/>
        <w:rPr>
          <w:rFonts w:ascii="宋体" w:hAnsi="宋体" w:cs="宋体"/>
          <w:szCs w:val="21"/>
          <w:highlight w:val="none"/>
        </w:rPr>
      </w:pPr>
      <w:r>
        <w:rPr>
          <w:rFonts w:hint="eastAsia" w:ascii="宋体" w:hAnsi="宋体" w:cs="宋体"/>
          <w:szCs w:val="21"/>
          <w:highlight w:val="none"/>
        </w:rPr>
        <w:t>备注：</w:t>
      </w:r>
    </w:p>
    <w:p w14:paraId="544E709C">
      <w:pPr>
        <w:numPr>
          <w:ilvl w:val="0"/>
          <w:numId w:val="46"/>
        </w:numPr>
        <w:adjustRightInd w:val="0"/>
        <w:snapToGrid w:val="0"/>
        <w:spacing w:line="460" w:lineRule="exact"/>
        <w:rPr>
          <w:rFonts w:ascii="宋体" w:hAnsi="宋体" w:cs="宋体"/>
          <w:szCs w:val="21"/>
          <w:highlight w:val="none"/>
        </w:rPr>
      </w:pPr>
      <w:r>
        <w:rPr>
          <w:rFonts w:hint="eastAsia" w:ascii="宋体" w:hAnsi="宋体" w:cs="宋体"/>
          <w:kern w:val="0"/>
          <w:szCs w:val="21"/>
          <w:highlight w:val="none"/>
        </w:rPr>
        <w:t>用户需求中要求提供的相关证明资料必须一并提供，否则视为不响应。</w:t>
      </w:r>
    </w:p>
    <w:p w14:paraId="09116EE7">
      <w:pPr>
        <w:numPr>
          <w:ilvl w:val="0"/>
          <w:numId w:val="46"/>
        </w:numPr>
        <w:adjustRightInd w:val="0"/>
        <w:snapToGrid w:val="0"/>
        <w:spacing w:line="460" w:lineRule="exact"/>
        <w:rPr>
          <w:rFonts w:ascii="宋体" w:hAnsi="宋体" w:cs="宋体"/>
          <w:b/>
          <w:szCs w:val="21"/>
          <w:highlight w:val="none"/>
        </w:rPr>
      </w:pPr>
      <w:r>
        <w:rPr>
          <w:rFonts w:hint="eastAsia" w:ascii="宋体" w:hAnsi="宋体" w:cs="宋体"/>
          <w:b/>
          <w:szCs w:val="21"/>
          <w:highlight w:val="none"/>
        </w:rPr>
        <w:t>“</w:t>
      </w:r>
      <w:r>
        <w:rPr>
          <w:rFonts w:hint="eastAsia" w:ascii="宋体" w:hAnsi="宋体" w:cs="宋体"/>
          <w:szCs w:val="21"/>
          <w:highlight w:val="none"/>
        </w:rPr>
        <w:t>原条款描述</w:t>
      </w:r>
      <w:r>
        <w:rPr>
          <w:rFonts w:hint="eastAsia" w:ascii="宋体" w:hAnsi="宋体" w:cs="宋体"/>
          <w:b/>
          <w:szCs w:val="21"/>
          <w:highlight w:val="none"/>
        </w:rPr>
        <w:t>”的条款与用户需求中的条款描述不一致的，以用户需求中规定的为准。</w:t>
      </w:r>
    </w:p>
    <w:p w14:paraId="3A9EC01F">
      <w:pPr>
        <w:spacing w:line="500" w:lineRule="exact"/>
        <w:rPr>
          <w:rFonts w:ascii="宋体" w:hAnsi="宋体" w:cs="宋体"/>
          <w:spacing w:val="4"/>
          <w:szCs w:val="21"/>
          <w:highlight w:val="none"/>
        </w:rPr>
      </w:pPr>
    </w:p>
    <w:p w14:paraId="45E4E4DC">
      <w:pPr>
        <w:spacing w:line="480" w:lineRule="auto"/>
        <w:ind w:firstLine="109" w:firstLineChars="50"/>
        <w:jc w:val="center"/>
        <w:rPr>
          <w:rFonts w:ascii="宋体" w:hAnsi="宋体" w:cs="宋体"/>
          <w:spacing w:val="4"/>
          <w:szCs w:val="21"/>
          <w:highlight w:val="none"/>
        </w:rPr>
      </w:pPr>
      <w:r>
        <w:rPr>
          <w:rFonts w:hint="eastAsia" w:ascii="宋体" w:hAnsi="宋体" w:cs="宋体"/>
          <w:spacing w:val="4"/>
          <w:szCs w:val="21"/>
          <w:highlight w:val="none"/>
        </w:rPr>
        <w:t xml:space="preserve">                                                    投标人名称（加盖公章）：</w:t>
      </w:r>
    </w:p>
    <w:p w14:paraId="50965DEA">
      <w:pPr>
        <w:spacing w:line="480" w:lineRule="auto"/>
        <w:ind w:firstLine="6322" w:firstLineChars="2900"/>
        <w:rPr>
          <w:rFonts w:ascii="宋体" w:hAnsi="宋体" w:cs="宋体"/>
          <w:spacing w:val="4"/>
          <w:szCs w:val="21"/>
          <w:highlight w:val="none"/>
          <w:u w:val="single"/>
        </w:rPr>
      </w:pPr>
      <w:r>
        <w:rPr>
          <w:rFonts w:hint="eastAsia" w:ascii="宋体" w:hAnsi="宋体" w:cs="宋体"/>
          <w:spacing w:val="4"/>
          <w:szCs w:val="21"/>
          <w:highlight w:val="none"/>
        </w:rPr>
        <w:t>日期：</w:t>
      </w:r>
      <w:r>
        <w:rPr>
          <w:rFonts w:ascii="宋体" w:hAnsi="宋体"/>
          <w:kern w:val="0"/>
          <w:szCs w:val="21"/>
          <w:highlight w:val="none"/>
        </w:rPr>
        <w:t xml:space="preserve">     </w:t>
      </w:r>
      <w:r>
        <w:rPr>
          <w:rFonts w:hint="eastAsia" w:ascii="宋体" w:hAnsi="宋体"/>
          <w:kern w:val="0"/>
          <w:szCs w:val="21"/>
          <w:highlight w:val="none"/>
        </w:rPr>
        <w:t>年</w:t>
      </w: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 xml:space="preserve"> 日</w:t>
      </w:r>
    </w:p>
    <w:p w14:paraId="2067BF09">
      <w:pPr>
        <w:rPr>
          <w:rFonts w:ascii="宋体" w:hAnsi="宋体" w:cs="宋体"/>
          <w:spacing w:val="4"/>
          <w:szCs w:val="21"/>
          <w:highlight w:val="none"/>
        </w:rPr>
      </w:pPr>
      <w:r>
        <w:rPr>
          <w:rFonts w:hint="eastAsia" w:ascii="宋体" w:hAnsi="宋体" w:cs="宋体"/>
          <w:spacing w:val="4"/>
          <w:szCs w:val="21"/>
          <w:highlight w:val="none"/>
        </w:rPr>
        <w:br w:type="page"/>
      </w:r>
    </w:p>
    <w:p w14:paraId="0E2C7D11">
      <w:pPr>
        <w:numPr>
          <w:ilvl w:val="0"/>
          <w:numId w:val="37"/>
        </w:numPr>
        <w:spacing w:line="440" w:lineRule="exact"/>
        <w:rPr>
          <w:rFonts w:ascii="宋体" w:hAnsi="宋体" w:cs="宋体"/>
          <w:bCs/>
          <w:szCs w:val="21"/>
          <w:highlight w:val="none"/>
        </w:rPr>
      </w:pPr>
    </w:p>
    <w:p w14:paraId="0E117367">
      <w:pPr>
        <w:pStyle w:val="4"/>
        <w:adjustRightInd w:val="0"/>
        <w:snapToGrid w:val="0"/>
        <w:spacing w:before="156" w:beforeLines="50" w:after="156" w:afterLines="50" w:line="360" w:lineRule="auto"/>
        <w:jc w:val="center"/>
        <w:rPr>
          <w:b w:val="0"/>
          <w:bCs w:val="0"/>
          <w:highlight w:val="none"/>
        </w:rPr>
      </w:pPr>
      <w:bookmarkStart w:id="422" w:name="_Toc275865616"/>
      <w:bookmarkStart w:id="423" w:name="_Toc173553182"/>
      <w:bookmarkStart w:id="424" w:name="_Toc50703730"/>
      <w:bookmarkStart w:id="425" w:name="_Toc50691037"/>
      <w:bookmarkStart w:id="426" w:name="_Toc43264518"/>
      <w:r>
        <w:rPr>
          <w:rFonts w:hint="eastAsia"/>
          <w:b w:val="0"/>
          <w:bCs w:val="0"/>
          <w:highlight w:val="none"/>
        </w:rPr>
        <w:t>投标人综合实力</w:t>
      </w:r>
    </w:p>
    <w:p w14:paraId="2857D57E">
      <w:pPr>
        <w:spacing w:line="480" w:lineRule="auto"/>
        <w:rPr>
          <w:rFonts w:ascii="宋体" w:hAnsi="宋体" w:cs="宋体"/>
          <w:szCs w:val="21"/>
          <w:highlight w:val="none"/>
        </w:rPr>
      </w:pPr>
      <w:r>
        <w:rPr>
          <w:rFonts w:hint="eastAsia" w:ascii="宋体" w:hAnsi="宋体" w:cs="宋体"/>
          <w:szCs w:val="21"/>
          <w:highlight w:val="none"/>
        </w:rPr>
        <w:t>1、投标人综合实力：截至2023年12月31日，我单位总资产规模为</w:t>
      </w:r>
      <w:r>
        <w:rPr>
          <w:rFonts w:hint="eastAsia" w:ascii="宋体" w:hAnsi="宋体" w:cs="宋体"/>
          <w:szCs w:val="21"/>
          <w:highlight w:val="none"/>
          <w:u w:val="single"/>
        </w:rPr>
        <w:t xml:space="preserve">       </w:t>
      </w:r>
      <w:r>
        <w:rPr>
          <w:rFonts w:hint="eastAsia" w:ascii="宋体" w:hAnsi="宋体" w:cs="宋体"/>
          <w:szCs w:val="21"/>
          <w:highlight w:val="none"/>
        </w:rPr>
        <w:t>亿元。</w:t>
      </w:r>
    </w:p>
    <w:p w14:paraId="4AEFF442">
      <w:pPr>
        <w:spacing w:line="480" w:lineRule="auto"/>
        <w:rPr>
          <w:rFonts w:ascii="宋体" w:hAnsi="宋体" w:cs="宋体"/>
          <w:szCs w:val="21"/>
          <w:highlight w:val="none"/>
        </w:rPr>
      </w:pPr>
      <w:r>
        <w:rPr>
          <w:rFonts w:hint="eastAsia" w:ascii="宋体" w:hAnsi="宋体" w:cs="宋体"/>
          <w:szCs w:val="21"/>
          <w:highlight w:val="none"/>
        </w:rPr>
        <w:t>【数据来源：2023年审计报告（不含财务报表附注）。】</w:t>
      </w:r>
    </w:p>
    <w:p w14:paraId="5CE632AF">
      <w:pPr>
        <w:spacing w:line="480" w:lineRule="auto"/>
        <w:rPr>
          <w:rFonts w:ascii="宋体" w:hAnsi="宋体" w:cs="宋体"/>
          <w:szCs w:val="21"/>
          <w:highlight w:val="none"/>
        </w:rPr>
      </w:pPr>
      <w:r>
        <w:rPr>
          <w:rFonts w:hint="eastAsia" w:ascii="宋体" w:hAnsi="宋体" w:cs="宋体"/>
          <w:szCs w:val="21"/>
          <w:highlight w:val="none"/>
        </w:rPr>
        <w:t>注：提供2023年审计报告（不含财务报表附注）的复印件并加盖公章。</w:t>
      </w:r>
    </w:p>
    <w:p w14:paraId="77811401">
      <w:pPr>
        <w:spacing w:line="480" w:lineRule="auto"/>
        <w:rPr>
          <w:rFonts w:ascii="宋体" w:hAnsi="宋体" w:cs="宋体"/>
          <w:szCs w:val="21"/>
          <w:highlight w:val="none"/>
        </w:rPr>
      </w:pPr>
    </w:p>
    <w:p w14:paraId="1588CE3C">
      <w:pPr>
        <w:spacing w:line="480" w:lineRule="auto"/>
        <w:rPr>
          <w:rFonts w:ascii="宋体" w:hAnsi="宋体" w:cs="宋体"/>
          <w:szCs w:val="21"/>
          <w:highlight w:val="none"/>
        </w:rPr>
      </w:pPr>
      <w:r>
        <w:rPr>
          <w:rFonts w:hint="eastAsia" w:ascii="宋体" w:hAnsi="宋体" w:cs="宋体"/>
          <w:szCs w:val="21"/>
          <w:highlight w:val="none"/>
        </w:rPr>
        <w:t>2、</w:t>
      </w:r>
      <w:r>
        <w:rPr>
          <w:rFonts w:hint="eastAsia" w:ascii="宋体" w:hAnsi="宋体" w:cs="宋体"/>
          <w:kern w:val="0"/>
          <w:szCs w:val="21"/>
          <w:highlight w:val="none"/>
          <w:lang w:eastAsia="zh-CN" w:bidi="ar"/>
        </w:rPr>
        <w:t>监管处罚</w:t>
      </w:r>
      <w:r>
        <w:rPr>
          <w:rFonts w:hint="eastAsia" w:ascii="宋体" w:hAnsi="宋体" w:cs="宋体"/>
          <w:szCs w:val="21"/>
          <w:highlight w:val="none"/>
        </w:rPr>
        <w:t>：2023年1月1日至2024年9月30日在全国范围内债券业务受到中国银行间市场交易商协会或中国证监会有关债券（含债务融资工具，下同）业务的处罚、纪律处分的次数为</w:t>
      </w:r>
      <w:r>
        <w:rPr>
          <w:rFonts w:hint="eastAsia" w:ascii="宋体" w:hAnsi="宋体" w:cs="宋体"/>
          <w:szCs w:val="21"/>
          <w:highlight w:val="none"/>
          <w:u w:val="single"/>
        </w:rPr>
        <w:t xml:space="preserve">    </w:t>
      </w:r>
      <w:r>
        <w:rPr>
          <w:rFonts w:hint="eastAsia" w:ascii="宋体" w:hAnsi="宋体" w:cs="宋体"/>
          <w:szCs w:val="21"/>
          <w:highlight w:val="none"/>
        </w:rPr>
        <w:t>次。</w:t>
      </w:r>
    </w:p>
    <w:p w14:paraId="3D51E706">
      <w:pPr>
        <w:spacing w:line="480" w:lineRule="auto"/>
        <w:rPr>
          <w:rFonts w:hint="eastAsia" w:ascii="宋体" w:hAnsi="宋体" w:cs="宋体"/>
          <w:szCs w:val="21"/>
          <w:highlight w:val="none"/>
        </w:rPr>
      </w:pPr>
      <w:r>
        <w:rPr>
          <w:rFonts w:hint="eastAsia" w:ascii="宋体" w:hAnsi="宋体" w:cs="宋体"/>
          <w:szCs w:val="21"/>
          <w:highlight w:val="none"/>
        </w:rPr>
        <w:t>【1.数据来源标准，提供中国银行间市场交易商协会官网—自律—自律处分—自律处分概览—在“请输入处分对象”处输入投标人名称、自律处分类型选择“全部”、时间选择“</w:t>
      </w:r>
      <w:r>
        <w:rPr>
          <w:rFonts w:hint="eastAsia" w:ascii="宋体" w:hAnsi="宋体" w:cs="宋体"/>
          <w:szCs w:val="21"/>
          <w:highlight w:val="none"/>
          <w:lang w:eastAsia="zh-CN"/>
        </w:rPr>
        <w:t>2023年1月1日至2024年9月30日</w:t>
      </w:r>
      <w:r>
        <w:rPr>
          <w:rFonts w:hint="eastAsia" w:ascii="宋体" w:hAnsi="宋体" w:cs="宋体"/>
          <w:szCs w:val="21"/>
          <w:highlight w:val="none"/>
        </w:rPr>
        <w:t>”—点击查询，截图自律处分情况。</w:t>
      </w:r>
    </w:p>
    <w:p w14:paraId="376215F4">
      <w:pPr>
        <w:spacing w:line="480" w:lineRule="auto"/>
        <w:rPr>
          <w:rFonts w:hint="eastAsia" w:ascii="宋体" w:hAnsi="宋体" w:cs="宋体"/>
          <w:szCs w:val="21"/>
          <w:highlight w:val="none"/>
        </w:rPr>
      </w:pPr>
      <w:r>
        <w:rPr>
          <w:rFonts w:hint="eastAsia" w:ascii="宋体" w:hAnsi="宋体" w:cs="宋体"/>
          <w:szCs w:val="21"/>
          <w:highlight w:val="none"/>
        </w:rPr>
        <w:t>2.提供中国证监会证券期货市场失信记录查询平台查询记录截图，如有涉及证券期货市场处罚但不涉及债券（含债务融资工具）业务的处罚、纪律处分的，应自行提供相关说明。</w:t>
      </w:r>
    </w:p>
    <w:p w14:paraId="46236473">
      <w:pPr>
        <w:spacing w:line="480" w:lineRule="auto"/>
        <w:rPr>
          <w:rFonts w:hint="eastAsia" w:ascii="宋体" w:hAnsi="宋体" w:eastAsia="宋体" w:cs="宋体"/>
          <w:szCs w:val="21"/>
          <w:highlight w:val="none"/>
          <w:lang w:eastAsia="zh-CN"/>
        </w:rPr>
      </w:pPr>
      <w:r>
        <w:rPr>
          <w:rFonts w:hint="eastAsia" w:ascii="宋体" w:hAnsi="宋体" w:cs="宋体"/>
          <w:szCs w:val="21"/>
          <w:highlight w:val="none"/>
        </w:rPr>
        <w:t>3.除上述公开途径查询的处分、处罚外，相关政府部门作出的可能影响投标人本次注册发行的记录处分、行政处罚等，应自行提供相关说明。</w:t>
      </w:r>
      <w:r>
        <w:rPr>
          <w:rFonts w:hint="eastAsia" w:ascii="宋体" w:hAnsi="宋体" w:cs="宋体"/>
          <w:szCs w:val="21"/>
          <w:highlight w:val="none"/>
          <w:lang w:eastAsia="zh-CN"/>
        </w:rPr>
        <w:t>】</w:t>
      </w:r>
    </w:p>
    <w:p w14:paraId="2F759109">
      <w:pPr>
        <w:spacing w:line="480" w:lineRule="auto"/>
        <w:rPr>
          <w:rFonts w:ascii="宋体" w:hAnsi="宋体" w:cs="宋体"/>
          <w:szCs w:val="21"/>
          <w:highlight w:val="none"/>
        </w:rPr>
      </w:pPr>
      <w:r>
        <w:rPr>
          <w:rFonts w:hint="eastAsia" w:ascii="宋体" w:hAnsi="宋体" w:cs="宋体"/>
          <w:szCs w:val="21"/>
          <w:highlight w:val="none"/>
        </w:rPr>
        <w:t>注：需提供</w:t>
      </w:r>
      <w:r>
        <w:rPr>
          <w:rFonts w:hint="eastAsia" w:ascii="宋体" w:hAnsi="宋体" w:cs="宋体"/>
          <w:bCs/>
          <w:szCs w:val="21"/>
          <w:highlight w:val="none"/>
        </w:rPr>
        <w:t>上述</w:t>
      </w:r>
      <w:r>
        <w:rPr>
          <w:rFonts w:hint="eastAsia" w:ascii="宋体" w:hAnsi="宋体" w:cs="宋体"/>
          <w:szCs w:val="21"/>
          <w:highlight w:val="none"/>
        </w:rPr>
        <w:t>相应页面截图并加盖投标人公章。</w:t>
      </w:r>
    </w:p>
    <w:p w14:paraId="61536F31">
      <w:pPr>
        <w:spacing w:line="480" w:lineRule="auto"/>
        <w:jc w:val="left"/>
        <w:rPr>
          <w:rFonts w:ascii="宋体" w:hAnsi="宋体" w:cs="宋体"/>
          <w:spacing w:val="4"/>
          <w:szCs w:val="21"/>
          <w:highlight w:val="none"/>
        </w:rPr>
      </w:pPr>
      <w:r>
        <w:rPr>
          <w:rFonts w:hint="eastAsia" w:ascii="宋体" w:hAnsi="宋体" w:cs="宋体"/>
          <w:szCs w:val="21"/>
          <w:highlight w:val="none"/>
          <w:lang w:val="en-GB"/>
        </w:rPr>
        <w:t>（投标人可根据自身情况增加内容）</w:t>
      </w:r>
      <w:r>
        <w:rPr>
          <w:rFonts w:hint="eastAsia" w:ascii="宋体" w:hAnsi="宋体" w:cs="宋体"/>
          <w:spacing w:val="4"/>
          <w:szCs w:val="21"/>
          <w:highlight w:val="none"/>
        </w:rPr>
        <w:t xml:space="preserve">                                                 </w:t>
      </w:r>
    </w:p>
    <w:p w14:paraId="6A454318">
      <w:pPr>
        <w:spacing w:line="480" w:lineRule="auto"/>
        <w:jc w:val="left"/>
        <w:rPr>
          <w:rFonts w:ascii="宋体" w:hAnsi="宋体" w:cs="宋体"/>
          <w:spacing w:val="4"/>
          <w:szCs w:val="21"/>
          <w:highlight w:val="none"/>
        </w:rPr>
      </w:pPr>
    </w:p>
    <w:p w14:paraId="4A091C3D">
      <w:pPr>
        <w:spacing w:line="480" w:lineRule="auto"/>
        <w:ind w:firstLine="6322" w:firstLineChars="2900"/>
        <w:jc w:val="left"/>
        <w:rPr>
          <w:rFonts w:ascii="宋体" w:hAnsi="宋体" w:cs="宋体"/>
          <w:spacing w:val="4"/>
          <w:szCs w:val="21"/>
          <w:highlight w:val="none"/>
        </w:rPr>
      </w:pPr>
      <w:r>
        <w:rPr>
          <w:rFonts w:hint="eastAsia" w:ascii="宋体" w:hAnsi="宋体" w:cs="宋体"/>
          <w:spacing w:val="4"/>
          <w:szCs w:val="21"/>
          <w:highlight w:val="none"/>
        </w:rPr>
        <w:t>投标人名称（加盖公章）：</w:t>
      </w:r>
    </w:p>
    <w:p w14:paraId="74136DB2">
      <w:pPr>
        <w:spacing w:line="480" w:lineRule="auto"/>
        <w:ind w:firstLine="6322" w:firstLineChars="2900"/>
        <w:rPr>
          <w:rFonts w:ascii="宋体" w:hAnsi="宋体" w:cs="宋体"/>
          <w:spacing w:val="4"/>
          <w:szCs w:val="21"/>
          <w:highlight w:val="none"/>
          <w:u w:val="single"/>
        </w:rPr>
      </w:pPr>
      <w:r>
        <w:rPr>
          <w:rFonts w:hint="eastAsia" w:ascii="宋体" w:hAnsi="宋体" w:cs="宋体"/>
          <w:spacing w:val="4"/>
          <w:szCs w:val="21"/>
          <w:highlight w:val="none"/>
        </w:rPr>
        <w:t>日期：</w:t>
      </w:r>
      <w:r>
        <w:rPr>
          <w:rFonts w:ascii="宋体" w:hAnsi="宋体"/>
          <w:kern w:val="0"/>
          <w:szCs w:val="21"/>
          <w:highlight w:val="none"/>
        </w:rPr>
        <w:t xml:space="preserve">     </w:t>
      </w:r>
      <w:r>
        <w:rPr>
          <w:rFonts w:hint="eastAsia" w:ascii="宋体" w:hAnsi="宋体"/>
          <w:kern w:val="0"/>
          <w:szCs w:val="21"/>
          <w:highlight w:val="none"/>
        </w:rPr>
        <w:t>年</w:t>
      </w: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 xml:space="preserve"> 日</w:t>
      </w:r>
    </w:p>
    <w:p w14:paraId="25E608EC">
      <w:pPr>
        <w:spacing w:line="440" w:lineRule="exact"/>
        <w:rPr>
          <w:rFonts w:ascii="宋体" w:hAnsi="宋体" w:cs="宋体"/>
          <w:szCs w:val="21"/>
          <w:highlight w:val="none"/>
        </w:rPr>
      </w:pPr>
    </w:p>
    <w:p w14:paraId="2F4F2753">
      <w:pPr>
        <w:rPr>
          <w:highlight w:val="none"/>
        </w:rPr>
      </w:pPr>
    </w:p>
    <w:p w14:paraId="2FA5E775">
      <w:pPr>
        <w:spacing w:line="360" w:lineRule="auto"/>
        <w:rPr>
          <w:highlight w:val="none"/>
        </w:rPr>
      </w:pPr>
      <w:r>
        <w:rPr>
          <w:rFonts w:hint="eastAsia"/>
          <w:highlight w:val="none"/>
        </w:rPr>
        <w:br w:type="page"/>
      </w:r>
    </w:p>
    <w:p w14:paraId="20927766">
      <w:pPr>
        <w:numPr>
          <w:ilvl w:val="0"/>
          <w:numId w:val="37"/>
        </w:numPr>
        <w:spacing w:line="440" w:lineRule="exact"/>
        <w:rPr>
          <w:highlight w:val="none"/>
        </w:rPr>
      </w:pPr>
    </w:p>
    <w:p w14:paraId="09A1C80D">
      <w:pPr>
        <w:pStyle w:val="4"/>
        <w:adjustRightInd w:val="0"/>
        <w:snapToGrid w:val="0"/>
        <w:spacing w:before="156" w:beforeLines="50" w:after="156" w:afterLines="50" w:line="360" w:lineRule="auto"/>
        <w:jc w:val="center"/>
        <w:rPr>
          <w:b w:val="0"/>
          <w:bCs w:val="0"/>
          <w:highlight w:val="none"/>
        </w:rPr>
      </w:pPr>
      <w:r>
        <w:rPr>
          <w:rFonts w:hint="eastAsia"/>
          <w:b w:val="0"/>
          <w:bCs w:val="0"/>
          <w:highlight w:val="none"/>
        </w:rPr>
        <w:t>投标人服务能力</w:t>
      </w:r>
    </w:p>
    <w:p w14:paraId="38815019">
      <w:pPr>
        <w:spacing w:line="480" w:lineRule="auto"/>
        <w:rPr>
          <w:rFonts w:ascii="宋体" w:hAnsi="宋体" w:cs="宋体"/>
          <w:szCs w:val="21"/>
          <w:highlight w:val="none"/>
          <w:lang w:val="en-GB"/>
        </w:rPr>
      </w:pPr>
      <w:r>
        <w:rPr>
          <w:rFonts w:hint="eastAsia" w:ascii="宋体" w:hAnsi="宋体" w:cs="宋体"/>
          <w:szCs w:val="21"/>
          <w:highlight w:val="none"/>
        </w:rPr>
        <w:t>1</w:t>
      </w:r>
      <w:r>
        <w:rPr>
          <w:rFonts w:hint="eastAsia" w:ascii="宋体" w:hAnsi="宋体" w:cs="宋体"/>
          <w:szCs w:val="21"/>
          <w:highlight w:val="none"/>
          <w:lang w:val="en-GB"/>
        </w:rPr>
        <w:t>、发行控制能力：</w:t>
      </w:r>
      <w:r>
        <w:rPr>
          <w:rFonts w:hint="eastAsia" w:ascii="宋体" w:hAnsi="宋体"/>
          <w:szCs w:val="21"/>
          <w:highlight w:val="none"/>
        </w:rPr>
        <w:t>2023年1月1日至2024年</w:t>
      </w:r>
      <w:r>
        <w:rPr>
          <w:rFonts w:hint="eastAsia" w:ascii="宋体" w:hAnsi="宋体" w:cs="宋体"/>
          <w:szCs w:val="21"/>
          <w:highlight w:val="none"/>
        </w:rPr>
        <w:t>9</w:t>
      </w:r>
      <w:r>
        <w:rPr>
          <w:rFonts w:hint="eastAsia" w:ascii="宋体" w:hAnsi="宋体"/>
          <w:szCs w:val="21"/>
          <w:highlight w:val="none"/>
        </w:rPr>
        <w:t>月30日</w:t>
      </w:r>
      <w:r>
        <w:rPr>
          <w:rFonts w:hint="eastAsia" w:ascii="宋体" w:hAnsi="宋体" w:cs="宋体"/>
          <w:szCs w:val="21"/>
          <w:highlight w:val="none"/>
          <w:lang w:val="en-GB"/>
        </w:rPr>
        <w:t>，我单位作为簿记管理人承销债券（种类为中票）取消发行只数为</w:t>
      </w:r>
      <w:r>
        <w:rPr>
          <w:rFonts w:hint="eastAsia" w:ascii="宋体" w:hAnsi="宋体" w:cs="宋体"/>
          <w:szCs w:val="21"/>
          <w:highlight w:val="none"/>
          <w:u w:val="single"/>
        </w:rPr>
        <w:t xml:space="preserve">    </w:t>
      </w:r>
      <w:r>
        <w:rPr>
          <w:rFonts w:hint="eastAsia" w:ascii="宋体" w:hAnsi="宋体" w:cs="宋体"/>
          <w:szCs w:val="21"/>
          <w:highlight w:val="none"/>
          <w:lang w:val="en-GB"/>
        </w:rPr>
        <w:t>只。</w:t>
      </w:r>
    </w:p>
    <w:p w14:paraId="595BCFCF">
      <w:pPr>
        <w:spacing w:line="480" w:lineRule="auto"/>
        <w:rPr>
          <w:rFonts w:ascii="宋体" w:hAnsi="宋体" w:cs="宋体"/>
          <w:szCs w:val="21"/>
          <w:highlight w:val="none"/>
          <w:lang w:val="en-GB"/>
        </w:rPr>
      </w:pPr>
      <w:r>
        <w:rPr>
          <w:rFonts w:hint="eastAsia" w:ascii="宋体" w:hAnsi="宋体" w:cs="宋体"/>
          <w:szCs w:val="21"/>
          <w:highlight w:val="none"/>
          <w:lang w:val="en-GB"/>
        </w:rPr>
        <w:t>（数据来源：</w:t>
      </w:r>
      <w:r>
        <w:rPr>
          <w:rFonts w:hint="eastAsia" w:ascii="宋体" w:hAnsi="宋体" w:cs="宋体"/>
          <w:szCs w:val="21"/>
          <w:highlight w:val="none"/>
        </w:rPr>
        <w:t>wind资讯——债券专题——一级市场——新券发行——推迟或取消发行债券——区间（2023年1月1日至2024年9月30日）——债券类型选择债券分类（NAFMII)分类项下的“中期票据（MTN）”——事件类型选“取消发行”——点击提取数据和数据筛选，在簿记管理人列筛选投标人名称，1个债券代码为1只相关截图。</w:t>
      </w:r>
      <w:r>
        <w:rPr>
          <w:rFonts w:hint="eastAsia" w:ascii="宋体" w:hAnsi="宋体" w:cs="宋体"/>
          <w:szCs w:val="21"/>
          <w:highlight w:val="none"/>
          <w:lang w:val="en-GB"/>
        </w:rPr>
        <w:t>）</w:t>
      </w:r>
    </w:p>
    <w:p w14:paraId="66292551">
      <w:pPr>
        <w:spacing w:line="480" w:lineRule="auto"/>
        <w:rPr>
          <w:rFonts w:ascii="宋体" w:hAnsi="宋体" w:cs="宋体"/>
          <w:szCs w:val="21"/>
          <w:highlight w:val="none"/>
          <w:lang w:val="en-GB"/>
        </w:rPr>
      </w:pPr>
      <w:r>
        <w:rPr>
          <w:rFonts w:hint="eastAsia" w:ascii="宋体" w:hAnsi="宋体" w:cs="宋体"/>
          <w:szCs w:val="21"/>
          <w:highlight w:val="none"/>
          <w:lang w:val="en-GB"/>
        </w:rPr>
        <w:t>注：需提供上述Wind路径截屏并加盖投标人公章。</w:t>
      </w:r>
    </w:p>
    <w:p w14:paraId="35764679">
      <w:pPr>
        <w:spacing w:line="480" w:lineRule="auto"/>
        <w:rPr>
          <w:rFonts w:ascii="宋体" w:hAnsi="宋体" w:cs="宋体"/>
          <w:kern w:val="0"/>
          <w:szCs w:val="21"/>
          <w:highlight w:val="none"/>
          <w:lang w:bidi="ar"/>
        </w:rPr>
      </w:pPr>
    </w:p>
    <w:p w14:paraId="076030AC">
      <w:pPr>
        <w:spacing w:line="480" w:lineRule="auto"/>
        <w:rPr>
          <w:rFonts w:ascii="宋体" w:hAnsi="宋体" w:cs="宋体"/>
          <w:szCs w:val="21"/>
          <w:highlight w:val="none"/>
          <w:lang w:val="en-GB"/>
        </w:rPr>
      </w:pPr>
      <w:r>
        <w:rPr>
          <w:rFonts w:hint="eastAsia" w:ascii="宋体" w:hAnsi="宋体" w:cs="宋体"/>
          <w:kern w:val="0"/>
          <w:szCs w:val="21"/>
          <w:highlight w:val="none"/>
          <w:lang w:bidi="ar"/>
        </w:rPr>
        <w:t>2、全国范围内中期票据累计总承销规模</w:t>
      </w:r>
      <w:r>
        <w:rPr>
          <w:rFonts w:hint="eastAsia" w:ascii="宋体" w:hAnsi="宋体" w:cs="宋体"/>
          <w:szCs w:val="21"/>
          <w:highlight w:val="none"/>
          <w:lang w:val="en-GB"/>
        </w:rPr>
        <w:t>：</w:t>
      </w:r>
      <w:r>
        <w:rPr>
          <w:rFonts w:hint="eastAsia" w:ascii="宋体" w:hAnsi="宋体" w:cs="宋体"/>
          <w:szCs w:val="21"/>
          <w:highlight w:val="none"/>
        </w:rPr>
        <w:t>2023年1月1日至2024年9月30日</w:t>
      </w:r>
      <w:r>
        <w:rPr>
          <w:rFonts w:hint="eastAsia" w:ascii="宋体" w:hAnsi="宋体" w:cs="宋体"/>
          <w:szCs w:val="21"/>
          <w:highlight w:val="none"/>
          <w:lang w:val="en-GB"/>
        </w:rPr>
        <w:t>，我单位在</w:t>
      </w:r>
      <w:r>
        <w:rPr>
          <w:rFonts w:hint="eastAsia" w:ascii="宋体" w:hAnsi="宋体" w:cs="宋体"/>
          <w:szCs w:val="21"/>
          <w:highlight w:val="none"/>
        </w:rPr>
        <w:t>全国范围内</w:t>
      </w:r>
      <w:r>
        <w:rPr>
          <w:rFonts w:hint="eastAsia" w:ascii="宋体" w:hAnsi="宋体" w:cs="宋体"/>
          <w:szCs w:val="21"/>
          <w:highlight w:val="none"/>
          <w:lang w:val="en-GB"/>
        </w:rPr>
        <w:t>作为主承销商的中期票据累计承销金额为</w:t>
      </w:r>
      <w:r>
        <w:rPr>
          <w:rFonts w:hint="eastAsia" w:ascii="宋体" w:hAnsi="宋体" w:cs="宋体"/>
          <w:szCs w:val="21"/>
          <w:highlight w:val="none"/>
          <w:u w:val="single"/>
        </w:rPr>
        <w:t xml:space="preserve">    </w:t>
      </w:r>
      <w:r>
        <w:rPr>
          <w:rFonts w:hint="eastAsia" w:ascii="宋体" w:hAnsi="宋体" w:cs="宋体"/>
          <w:szCs w:val="21"/>
          <w:highlight w:val="none"/>
          <w:lang w:val="en-GB"/>
        </w:rPr>
        <w:t>亿元，规模排名第</w:t>
      </w:r>
      <w:r>
        <w:rPr>
          <w:rFonts w:hint="eastAsia" w:ascii="宋体" w:hAnsi="宋体" w:cs="宋体"/>
          <w:szCs w:val="21"/>
          <w:highlight w:val="none"/>
          <w:u w:val="single"/>
        </w:rPr>
        <w:t xml:space="preserve">    </w:t>
      </w:r>
      <w:r>
        <w:rPr>
          <w:rFonts w:hint="eastAsia" w:ascii="宋体" w:hAnsi="宋体" w:cs="宋体"/>
          <w:szCs w:val="21"/>
          <w:highlight w:val="none"/>
          <w:lang w:val="en-GB"/>
        </w:rPr>
        <w:t>名。</w:t>
      </w:r>
    </w:p>
    <w:p w14:paraId="6AEDAFC5">
      <w:pPr>
        <w:spacing w:line="480" w:lineRule="auto"/>
        <w:rPr>
          <w:rFonts w:ascii="宋体" w:hAnsi="宋体" w:cs="宋体"/>
          <w:szCs w:val="21"/>
          <w:highlight w:val="none"/>
          <w:lang w:val="en-GB"/>
        </w:rPr>
      </w:pPr>
      <w:r>
        <w:rPr>
          <w:rFonts w:hint="eastAsia" w:ascii="宋体" w:hAnsi="宋体" w:cs="宋体"/>
          <w:szCs w:val="21"/>
          <w:highlight w:val="none"/>
          <w:lang w:val="en-GB"/>
        </w:rPr>
        <w:t>（数据来源：w</w:t>
      </w:r>
      <w:r>
        <w:rPr>
          <w:rFonts w:hint="eastAsia" w:ascii="宋体" w:hAnsi="宋体" w:cs="宋体"/>
          <w:kern w:val="0"/>
          <w:szCs w:val="21"/>
          <w:highlight w:val="none"/>
          <w:lang w:bidi="ar"/>
        </w:rPr>
        <w:t>wind资讯--债券专题--一级市场--承销统计--债券承销排名(wind口径)--任意区间(2023年1月1日至2024年9月30日)--债券类型选择债券分类(NAFMII)分类项下的“中期票据(MTN)--概念板块不选--主体评级选“全部”--企业性质“全部”--地域分类“全国”--主体口径“穿透信用主体”--选择“合并母子公司口径”--点击提取数据，按“全国”的“地域承销商排名”承销规模排名</w:t>
      </w:r>
      <w:r>
        <w:rPr>
          <w:rFonts w:hint="eastAsia" w:ascii="宋体" w:hAnsi="宋体" w:cs="宋体"/>
          <w:szCs w:val="21"/>
          <w:highlight w:val="none"/>
          <w:lang w:val="en-GB"/>
        </w:rPr>
        <w:t>。）</w:t>
      </w:r>
    </w:p>
    <w:p w14:paraId="3BE9DF25">
      <w:pPr>
        <w:spacing w:line="480" w:lineRule="auto"/>
        <w:rPr>
          <w:rFonts w:ascii="宋体" w:hAnsi="宋体" w:cs="宋体"/>
          <w:szCs w:val="21"/>
          <w:highlight w:val="none"/>
          <w:lang w:val="en-GB"/>
        </w:rPr>
      </w:pPr>
      <w:r>
        <w:rPr>
          <w:rFonts w:hint="eastAsia" w:ascii="宋体" w:hAnsi="宋体" w:cs="宋体"/>
          <w:szCs w:val="21"/>
          <w:highlight w:val="none"/>
          <w:lang w:val="en-GB"/>
        </w:rPr>
        <w:t>注：需提供上述Wind路径截屏并加盖投标人公章。</w:t>
      </w:r>
    </w:p>
    <w:p w14:paraId="5AE26477">
      <w:pPr>
        <w:spacing w:line="480" w:lineRule="auto"/>
        <w:rPr>
          <w:rFonts w:ascii="宋体" w:hAnsi="宋体" w:cs="宋体"/>
          <w:szCs w:val="21"/>
          <w:highlight w:val="none"/>
          <w:lang w:val="en-GB"/>
        </w:rPr>
      </w:pPr>
    </w:p>
    <w:p w14:paraId="5AE753F5">
      <w:pPr>
        <w:spacing w:line="480" w:lineRule="auto"/>
        <w:rPr>
          <w:rFonts w:ascii="宋体" w:hAnsi="宋体" w:cs="宋体"/>
          <w:szCs w:val="21"/>
          <w:highlight w:val="none"/>
          <w:lang w:val="en-GB"/>
        </w:rPr>
      </w:pPr>
      <w:r>
        <w:rPr>
          <w:rFonts w:hint="eastAsia" w:ascii="宋体" w:hAnsi="宋体" w:cs="宋体"/>
          <w:szCs w:val="21"/>
          <w:highlight w:val="none"/>
        </w:rPr>
        <w:t>3</w:t>
      </w:r>
      <w:r>
        <w:rPr>
          <w:rFonts w:hint="eastAsia" w:ascii="宋体" w:hAnsi="宋体" w:cs="宋体"/>
          <w:szCs w:val="21"/>
          <w:highlight w:val="none"/>
          <w:lang w:val="en-GB"/>
        </w:rPr>
        <w:t>、广东省内中期票据累计总承销规模：</w:t>
      </w:r>
      <w:r>
        <w:rPr>
          <w:rFonts w:hint="eastAsia" w:ascii="宋体" w:hAnsi="宋体" w:cs="宋体"/>
          <w:szCs w:val="21"/>
          <w:highlight w:val="none"/>
        </w:rPr>
        <w:t>2023年1月1日至2024年9月30日</w:t>
      </w:r>
      <w:r>
        <w:rPr>
          <w:rFonts w:hint="eastAsia" w:ascii="宋体" w:hAnsi="宋体" w:cs="宋体"/>
          <w:szCs w:val="21"/>
          <w:highlight w:val="none"/>
          <w:lang w:val="en-GB"/>
        </w:rPr>
        <w:t>，我单位在</w:t>
      </w:r>
      <w:r>
        <w:rPr>
          <w:rFonts w:hint="eastAsia" w:ascii="宋体" w:hAnsi="宋体" w:cs="宋体"/>
          <w:szCs w:val="21"/>
          <w:highlight w:val="none"/>
        </w:rPr>
        <w:t>广东省内</w:t>
      </w:r>
      <w:r>
        <w:rPr>
          <w:rFonts w:hint="eastAsia" w:ascii="宋体" w:hAnsi="宋体" w:cs="宋体"/>
          <w:szCs w:val="21"/>
          <w:highlight w:val="none"/>
          <w:lang w:val="en-GB"/>
        </w:rPr>
        <w:t>作为主承销商的中期票据累计承销金额为</w:t>
      </w:r>
      <w:r>
        <w:rPr>
          <w:rFonts w:hint="eastAsia" w:ascii="宋体" w:hAnsi="宋体" w:cs="宋体"/>
          <w:szCs w:val="21"/>
          <w:highlight w:val="none"/>
          <w:u w:val="single"/>
        </w:rPr>
        <w:t xml:space="preserve">    </w:t>
      </w:r>
      <w:r>
        <w:rPr>
          <w:rFonts w:hint="eastAsia" w:ascii="宋体" w:hAnsi="宋体" w:cs="宋体"/>
          <w:szCs w:val="21"/>
          <w:highlight w:val="none"/>
          <w:lang w:val="en-GB"/>
        </w:rPr>
        <w:t>亿元，规模排名第</w:t>
      </w:r>
      <w:r>
        <w:rPr>
          <w:rFonts w:hint="eastAsia" w:ascii="宋体" w:hAnsi="宋体" w:cs="宋体"/>
          <w:szCs w:val="21"/>
          <w:highlight w:val="none"/>
          <w:u w:val="single"/>
        </w:rPr>
        <w:t xml:space="preserve">    </w:t>
      </w:r>
      <w:r>
        <w:rPr>
          <w:rFonts w:hint="eastAsia" w:ascii="宋体" w:hAnsi="宋体" w:cs="宋体"/>
          <w:szCs w:val="21"/>
          <w:highlight w:val="none"/>
          <w:lang w:val="en-GB"/>
        </w:rPr>
        <w:t>名。</w:t>
      </w:r>
    </w:p>
    <w:p w14:paraId="0D94CB6F">
      <w:pPr>
        <w:spacing w:line="480" w:lineRule="auto"/>
        <w:rPr>
          <w:rFonts w:ascii="宋体" w:hAnsi="宋体" w:cs="宋体"/>
          <w:szCs w:val="21"/>
          <w:highlight w:val="none"/>
          <w:lang w:val="en-GB"/>
        </w:rPr>
      </w:pPr>
      <w:r>
        <w:rPr>
          <w:rFonts w:hint="eastAsia" w:ascii="宋体" w:hAnsi="宋体" w:cs="宋体"/>
          <w:szCs w:val="21"/>
          <w:highlight w:val="none"/>
          <w:lang w:val="en-GB"/>
        </w:rPr>
        <w:t>（数据来源：</w:t>
      </w:r>
      <w:r>
        <w:rPr>
          <w:rFonts w:hint="eastAsia" w:ascii="宋体" w:hAnsi="宋体" w:cs="宋体"/>
          <w:kern w:val="0"/>
          <w:szCs w:val="21"/>
          <w:highlight w:val="none"/>
          <w:lang w:bidi="ar"/>
        </w:rPr>
        <w:t>wind资讯--债券专题--一级市场--承销统计--债券承销排名(wind口径)--任意区间(2023年1月1日至2024年9月30日)--债券类型选择债券分类(NAFMII)分类项下的“中期票据(MTN)--概念板块不选--主体评级选“全部”--企业性质“全部”--地域分类“广东”--主体口径“穿透信用主体”--选择“合并母子公司口径”--点击提取数据，按“广东”的“地域承销商排名”承销规模排名</w:t>
      </w:r>
      <w:r>
        <w:rPr>
          <w:rFonts w:hint="eastAsia" w:ascii="宋体" w:hAnsi="宋体" w:cs="宋体"/>
          <w:szCs w:val="21"/>
          <w:highlight w:val="none"/>
          <w:lang w:val="en-GB"/>
        </w:rPr>
        <w:t>。）</w:t>
      </w:r>
    </w:p>
    <w:p w14:paraId="4513AB0A">
      <w:pPr>
        <w:spacing w:line="480" w:lineRule="auto"/>
        <w:rPr>
          <w:rFonts w:ascii="宋体" w:hAnsi="宋体" w:cs="宋体"/>
          <w:szCs w:val="21"/>
          <w:highlight w:val="none"/>
          <w:lang w:val="en-GB"/>
        </w:rPr>
      </w:pPr>
      <w:r>
        <w:rPr>
          <w:rFonts w:hint="eastAsia" w:ascii="宋体" w:hAnsi="宋体" w:cs="宋体"/>
          <w:szCs w:val="21"/>
          <w:highlight w:val="none"/>
          <w:lang w:val="en-GB"/>
        </w:rPr>
        <w:t>注：需提供上述Wind路径截屏并加盖投标人公章。</w:t>
      </w:r>
    </w:p>
    <w:p w14:paraId="0754F40D">
      <w:pPr>
        <w:spacing w:line="480" w:lineRule="auto"/>
        <w:rPr>
          <w:rFonts w:ascii="宋体" w:hAnsi="宋体" w:cs="宋体"/>
          <w:szCs w:val="21"/>
          <w:highlight w:val="none"/>
          <w:lang w:val="en-GB"/>
        </w:rPr>
      </w:pPr>
    </w:p>
    <w:p w14:paraId="036FE897">
      <w:pPr>
        <w:spacing w:line="480" w:lineRule="auto"/>
        <w:rPr>
          <w:rFonts w:ascii="宋体" w:hAnsi="宋体" w:cs="宋体"/>
          <w:szCs w:val="21"/>
          <w:highlight w:val="none"/>
        </w:rPr>
      </w:pPr>
      <w:r>
        <w:rPr>
          <w:rFonts w:hint="eastAsia" w:ascii="宋体" w:hAnsi="宋体" w:cs="宋体"/>
          <w:szCs w:val="21"/>
          <w:highlight w:val="none"/>
        </w:rPr>
        <w:t>4、注册发行服务方案：</w:t>
      </w:r>
    </w:p>
    <w:p w14:paraId="517AA283">
      <w:pPr>
        <w:numPr>
          <w:ilvl w:val="0"/>
          <w:numId w:val="47"/>
        </w:numPr>
        <w:spacing w:line="480" w:lineRule="auto"/>
        <w:rPr>
          <w:rFonts w:ascii="宋体" w:hAnsi="宋体" w:cs="宋体"/>
          <w:szCs w:val="21"/>
          <w:highlight w:val="none"/>
        </w:rPr>
      </w:pPr>
      <w:r>
        <w:rPr>
          <w:rFonts w:hint="eastAsia" w:ascii="宋体" w:hAnsi="宋体" w:cs="宋体"/>
          <w:szCs w:val="21"/>
          <w:highlight w:val="none"/>
        </w:rPr>
        <w:t>根据技术、商务部分评分表提供，包括但不限于以下内容：</w:t>
      </w:r>
    </w:p>
    <w:p w14:paraId="5DA704A5">
      <w:pPr>
        <w:spacing w:line="480" w:lineRule="auto"/>
        <w:ind w:firstLine="420" w:firstLineChars="200"/>
        <w:rPr>
          <w:rFonts w:ascii="宋体" w:hAnsi="宋体" w:cs="宋体"/>
          <w:szCs w:val="21"/>
          <w:highlight w:val="none"/>
        </w:rPr>
      </w:pPr>
      <w:r>
        <w:rPr>
          <w:rFonts w:hint="eastAsia" w:ascii="宋体" w:hAnsi="宋体" w:cs="宋体"/>
          <w:szCs w:val="21"/>
          <w:highlight w:val="none"/>
        </w:rPr>
        <w:t>服务方案(包括注册发行方案、工作进度及时间安排和支持保障措施)的合理性、专业性、可行性等以及投标人的综合服务能力</w:t>
      </w:r>
    </w:p>
    <w:p w14:paraId="677136AE">
      <w:pPr>
        <w:numPr>
          <w:ilvl w:val="0"/>
          <w:numId w:val="48"/>
        </w:numPr>
        <w:spacing w:line="480" w:lineRule="auto"/>
        <w:rPr>
          <w:rFonts w:ascii="宋体" w:hAnsi="宋体" w:cs="宋体"/>
          <w:szCs w:val="21"/>
          <w:highlight w:val="none"/>
        </w:rPr>
      </w:pPr>
      <w:r>
        <w:rPr>
          <w:rFonts w:hint="eastAsia" w:ascii="宋体" w:hAnsi="宋体" w:cs="宋体"/>
          <w:szCs w:val="21"/>
          <w:highlight w:val="none"/>
        </w:rPr>
        <w:t xml:space="preserve">服务方案的完整性、合理性及可行性等，工作进度及时间安排清晰且具有可操作性，并针对招标人的实际情况提出合理化的注册发行建议等； </w:t>
      </w:r>
    </w:p>
    <w:p w14:paraId="28293D37">
      <w:pPr>
        <w:numPr>
          <w:ilvl w:val="0"/>
          <w:numId w:val="48"/>
        </w:numPr>
        <w:spacing w:line="480" w:lineRule="auto"/>
        <w:rPr>
          <w:rFonts w:ascii="宋体" w:hAnsi="宋体" w:cs="宋体"/>
          <w:szCs w:val="21"/>
          <w:highlight w:val="none"/>
        </w:rPr>
      </w:pPr>
      <w:r>
        <w:rPr>
          <w:rFonts w:hint="eastAsia" w:ascii="宋体" w:hAnsi="宋体" w:cs="宋体"/>
          <w:szCs w:val="21"/>
          <w:highlight w:val="none"/>
        </w:rPr>
        <w:t>服务团队的专业配备情况、债券承销经验、与监管机构的沟通以及项目实施能力等；</w:t>
      </w:r>
    </w:p>
    <w:p w14:paraId="3EA91478">
      <w:pPr>
        <w:numPr>
          <w:ilvl w:val="0"/>
          <w:numId w:val="48"/>
        </w:numPr>
        <w:spacing w:line="480" w:lineRule="auto"/>
        <w:rPr>
          <w:rFonts w:ascii="宋体" w:hAnsi="宋体" w:cs="宋体"/>
          <w:szCs w:val="21"/>
          <w:highlight w:val="none"/>
        </w:rPr>
      </w:pPr>
      <w:r>
        <w:rPr>
          <w:rFonts w:hint="eastAsia" w:ascii="宋体" w:hAnsi="宋体" w:cs="宋体"/>
          <w:szCs w:val="21"/>
          <w:highlight w:val="none"/>
        </w:rPr>
        <w:t>在降低成本和风险防范等发债相关事项方面的把控能力；</w:t>
      </w:r>
    </w:p>
    <w:p w14:paraId="59E119B9">
      <w:pPr>
        <w:numPr>
          <w:ilvl w:val="0"/>
          <w:numId w:val="48"/>
        </w:numPr>
        <w:spacing w:line="480" w:lineRule="auto"/>
        <w:rPr>
          <w:rFonts w:ascii="宋体" w:hAnsi="宋体" w:cs="宋体"/>
          <w:szCs w:val="21"/>
          <w:highlight w:val="none"/>
        </w:rPr>
      </w:pPr>
      <w:r>
        <w:rPr>
          <w:rFonts w:hint="eastAsia" w:ascii="宋体" w:hAnsi="宋体" w:cs="宋体"/>
          <w:szCs w:val="21"/>
          <w:highlight w:val="none"/>
        </w:rPr>
        <w:t>投标人提供服务的便捷性以及响应度，为招标人在债券存续期内提供持续的增值服务等。</w:t>
      </w:r>
    </w:p>
    <w:p w14:paraId="651AF2E4">
      <w:pPr>
        <w:spacing w:line="480" w:lineRule="auto"/>
        <w:rPr>
          <w:rFonts w:ascii="宋体" w:hAnsi="宋体" w:cs="宋体"/>
          <w:szCs w:val="21"/>
          <w:highlight w:val="none"/>
        </w:rPr>
      </w:pPr>
      <w:r>
        <w:rPr>
          <w:rFonts w:hint="eastAsia" w:ascii="宋体" w:hAnsi="宋体" w:cs="宋体"/>
          <w:szCs w:val="21"/>
          <w:highlight w:val="none"/>
        </w:rPr>
        <w:t>......</w:t>
      </w:r>
    </w:p>
    <w:p w14:paraId="7877CA85">
      <w:pPr>
        <w:numPr>
          <w:ilvl w:val="0"/>
          <w:numId w:val="47"/>
        </w:numPr>
        <w:spacing w:line="480" w:lineRule="auto"/>
        <w:rPr>
          <w:rFonts w:ascii="宋体" w:hAnsi="宋体" w:cs="宋体"/>
          <w:szCs w:val="21"/>
          <w:highlight w:val="none"/>
        </w:rPr>
      </w:pPr>
      <w:r>
        <w:rPr>
          <w:rFonts w:hint="eastAsia" w:ascii="宋体" w:hAnsi="宋体" w:cs="宋体"/>
          <w:szCs w:val="21"/>
          <w:highlight w:val="none"/>
          <w:lang w:val="en-GB"/>
        </w:rPr>
        <w:t>我单位</w:t>
      </w:r>
      <w:r>
        <w:rPr>
          <w:rFonts w:hint="eastAsia" w:ascii="宋体" w:hAnsi="宋体" w:cs="宋体"/>
          <w:szCs w:val="21"/>
          <w:highlight w:val="none"/>
        </w:rPr>
        <w:t>在佛山市南海区</w:t>
      </w:r>
      <w:r>
        <w:rPr>
          <w:rFonts w:hint="eastAsia" w:ascii="宋体" w:hAnsi="宋体" w:cs="宋体"/>
          <w:sz w:val="28"/>
          <w:szCs w:val="28"/>
          <w:highlight w:val="none"/>
        </w:rPr>
        <w:sym w:font="Wingdings 2" w:char="00A3"/>
      </w:r>
      <w:r>
        <w:rPr>
          <w:rFonts w:hint="eastAsia" w:ascii="宋体" w:hAnsi="宋体" w:cs="宋体"/>
          <w:szCs w:val="21"/>
          <w:highlight w:val="none"/>
        </w:rPr>
        <w:t>是</w:t>
      </w:r>
      <w:r>
        <w:rPr>
          <w:rFonts w:hint="eastAsia" w:ascii="宋体" w:hAnsi="宋体" w:cs="宋体"/>
          <w:sz w:val="30"/>
          <w:szCs w:val="30"/>
          <w:highlight w:val="none"/>
        </w:rPr>
        <w:sym w:font="Wingdings 2" w:char="00A3"/>
      </w:r>
      <w:r>
        <w:rPr>
          <w:rFonts w:hint="eastAsia" w:ascii="宋体" w:hAnsi="宋体" w:cs="宋体"/>
          <w:szCs w:val="21"/>
          <w:highlight w:val="none"/>
        </w:rPr>
        <w:t xml:space="preserve">否设一级分行  </w:t>
      </w:r>
      <w:r>
        <w:rPr>
          <w:rFonts w:hint="eastAsia" w:ascii="宋体" w:hAnsi="宋体" w:cs="宋体"/>
          <w:szCs w:val="21"/>
          <w:highlight w:val="none"/>
          <w:u w:val="single"/>
        </w:rPr>
        <w:t xml:space="preserve"> </w:t>
      </w:r>
    </w:p>
    <w:p w14:paraId="368AEA35">
      <w:pPr>
        <w:spacing w:line="480" w:lineRule="auto"/>
        <w:rPr>
          <w:highlight w:val="none"/>
        </w:rPr>
      </w:pPr>
      <w:r>
        <w:rPr>
          <w:rFonts w:hint="eastAsia" w:ascii="宋体" w:hAnsi="宋体" w:cs="宋体"/>
          <w:szCs w:val="21"/>
          <w:highlight w:val="none"/>
        </w:rPr>
        <w:t>注：国家金融监管总局金融许可信息网（https://xkz.cbirc.gov.cn/jr/）——“机构名称”输入投标人总行名称——“机构类型”第一、二个选项按投标人实际金融类别和银行类别填写，第三个选项机构层级选择：“一级分行”——“机构地址”输入南</w:t>
      </w:r>
      <w:r>
        <w:rPr>
          <w:rFonts w:hint="eastAsia" w:ascii="宋体" w:hAnsi="宋体"/>
          <w:szCs w:val="21"/>
          <w:highlight w:val="none"/>
        </w:rPr>
        <w:t>海区点击查询，</w:t>
      </w:r>
      <w:r>
        <w:rPr>
          <w:rFonts w:hint="eastAsia" w:ascii="宋体" w:hAnsi="宋体" w:cs="宋体"/>
          <w:b/>
          <w:bCs/>
          <w:szCs w:val="21"/>
          <w:highlight w:val="none"/>
        </w:rPr>
        <w:t>提供截图</w:t>
      </w:r>
      <w:r>
        <w:rPr>
          <w:rFonts w:hint="eastAsia" w:ascii="宋体" w:hAnsi="宋体"/>
          <w:b/>
          <w:bCs/>
          <w:szCs w:val="21"/>
          <w:highlight w:val="none"/>
        </w:rPr>
        <w:t>查询情况</w:t>
      </w:r>
      <w:r>
        <w:rPr>
          <w:rFonts w:hint="eastAsia" w:ascii="宋体" w:hAnsi="宋体" w:cs="宋体"/>
          <w:b/>
          <w:bCs/>
          <w:szCs w:val="21"/>
          <w:highlight w:val="none"/>
        </w:rPr>
        <w:t>作为支撑文件并加盖公章</w:t>
      </w:r>
      <w:r>
        <w:rPr>
          <w:rFonts w:hint="eastAsia" w:ascii="宋体" w:hAnsi="宋体" w:cs="宋体"/>
          <w:szCs w:val="21"/>
          <w:highlight w:val="none"/>
        </w:rPr>
        <w:t>。</w:t>
      </w:r>
    </w:p>
    <w:p w14:paraId="269B9984">
      <w:pPr>
        <w:spacing w:line="480" w:lineRule="auto"/>
        <w:rPr>
          <w:rFonts w:ascii="宋体" w:hAnsi="宋体" w:cs="宋体"/>
          <w:szCs w:val="21"/>
          <w:highlight w:val="none"/>
        </w:rPr>
      </w:pPr>
    </w:p>
    <w:p w14:paraId="5776FA51">
      <w:pPr>
        <w:spacing w:line="480" w:lineRule="auto"/>
        <w:rPr>
          <w:rFonts w:ascii="宋体" w:hAnsi="宋体" w:cs="宋体"/>
          <w:szCs w:val="21"/>
          <w:highlight w:val="none"/>
          <w:lang w:val="en-GB"/>
        </w:rPr>
      </w:pPr>
      <w:r>
        <w:rPr>
          <w:rFonts w:hint="eastAsia" w:ascii="宋体" w:hAnsi="宋体" w:cs="宋体"/>
          <w:szCs w:val="21"/>
          <w:highlight w:val="none"/>
          <w:lang w:val="en-GB"/>
        </w:rPr>
        <w:t>（投标人可根据自身情况增加内容）</w:t>
      </w:r>
    </w:p>
    <w:p w14:paraId="27B124F6">
      <w:pPr>
        <w:spacing w:line="480" w:lineRule="auto"/>
        <w:ind w:firstLine="109" w:firstLineChars="50"/>
        <w:jc w:val="center"/>
        <w:rPr>
          <w:rFonts w:ascii="宋体" w:hAnsi="宋体" w:cs="宋体"/>
          <w:spacing w:val="4"/>
          <w:szCs w:val="21"/>
          <w:highlight w:val="none"/>
        </w:rPr>
      </w:pPr>
      <w:r>
        <w:rPr>
          <w:rFonts w:hint="eastAsia" w:ascii="宋体" w:hAnsi="宋体" w:cs="宋体"/>
          <w:spacing w:val="4"/>
          <w:szCs w:val="21"/>
          <w:highlight w:val="none"/>
        </w:rPr>
        <w:t xml:space="preserve">                                                    投标人名称（加盖公章）：</w:t>
      </w:r>
    </w:p>
    <w:p w14:paraId="21AECF09">
      <w:pPr>
        <w:spacing w:line="480" w:lineRule="auto"/>
        <w:ind w:firstLine="6322" w:firstLineChars="2900"/>
        <w:rPr>
          <w:rFonts w:ascii="宋体" w:hAnsi="宋体" w:cs="宋体"/>
          <w:spacing w:val="4"/>
          <w:szCs w:val="21"/>
          <w:highlight w:val="none"/>
          <w:u w:val="single"/>
        </w:rPr>
      </w:pPr>
      <w:r>
        <w:rPr>
          <w:rFonts w:hint="eastAsia" w:ascii="宋体" w:hAnsi="宋体" w:cs="宋体"/>
          <w:spacing w:val="4"/>
          <w:szCs w:val="21"/>
          <w:highlight w:val="none"/>
        </w:rPr>
        <w:t>日期：</w:t>
      </w:r>
      <w:r>
        <w:rPr>
          <w:rFonts w:ascii="宋体" w:hAnsi="宋体"/>
          <w:kern w:val="0"/>
          <w:szCs w:val="21"/>
          <w:highlight w:val="none"/>
        </w:rPr>
        <w:t xml:space="preserve">     </w:t>
      </w:r>
      <w:r>
        <w:rPr>
          <w:rFonts w:hint="eastAsia" w:ascii="宋体" w:hAnsi="宋体"/>
          <w:kern w:val="0"/>
          <w:szCs w:val="21"/>
          <w:highlight w:val="none"/>
        </w:rPr>
        <w:t>年</w:t>
      </w: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 xml:space="preserve"> 日</w:t>
      </w:r>
    </w:p>
    <w:p w14:paraId="6EDEBFD7">
      <w:pPr>
        <w:spacing w:line="480" w:lineRule="auto"/>
        <w:rPr>
          <w:rFonts w:ascii="宋体" w:hAnsi="宋体" w:cs="宋体"/>
          <w:szCs w:val="21"/>
          <w:highlight w:val="none"/>
          <w:lang w:val="en-GB"/>
        </w:rPr>
      </w:pPr>
    </w:p>
    <w:p w14:paraId="1666EBBD">
      <w:pPr>
        <w:spacing w:line="480" w:lineRule="auto"/>
        <w:rPr>
          <w:rFonts w:ascii="宋体" w:hAnsi="宋体" w:cs="宋体"/>
          <w:szCs w:val="21"/>
          <w:highlight w:val="none"/>
          <w:lang w:val="en-GB"/>
        </w:rPr>
      </w:pPr>
    </w:p>
    <w:p w14:paraId="10032B29">
      <w:pPr>
        <w:rPr>
          <w:highlight w:val="none"/>
        </w:rPr>
      </w:pPr>
      <w:r>
        <w:rPr>
          <w:rFonts w:hint="eastAsia"/>
          <w:highlight w:val="none"/>
        </w:rPr>
        <w:br w:type="page"/>
      </w:r>
    </w:p>
    <w:p w14:paraId="412AB0AD">
      <w:pPr>
        <w:numPr>
          <w:ilvl w:val="0"/>
          <w:numId w:val="37"/>
        </w:numPr>
        <w:spacing w:line="440" w:lineRule="exact"/>
        <w:rPr>
          <w:highlight w:val="none"/>
        </w:rPr>
      </w:pPr>
    </w:p>
    <w:p w14:paraId="4CB0AFE1">
      <w:pPr>
        <w:pStyle w:val="4"/>
        <w:adjustRightInd w:val="0"/>
        <w:snapToGrid w:val="0"/>
        <w:spacing w:before="156" w:beforeLines="50" w:after="156" w:afterLines="50" w:line="360" w:lineRule="auto"/>
        <w:jc w:val="center"/>
        <w:rPr>
          <w:b w:val="0"/>
          <w:highlight w:val="none"/>
        </w:rPr>
      </w:pPr>
      <w:r>
        <w:rPr>
          <w:rFonts w:hint="eastAsia"/>
          <w:b w:val="0"/>
          <w:highlight w:val="none"/>
        </w:rPr>
        <w:t>合作支持</w:t>
      </w:r>
    </w:p>
    <w:p w14:paraId="5EE7A268">
      <w:pPr>
        <w:spacing w:line="360" w:lineRule="auto"/>
        <w:rPr>
          <w:rFonts w:ascii="宋体" w:hAnsi="宋体" w:cs="宋体"/>
          <w:szCs w:val="21"/>
          <w:highlight w:val="none"/>
        </w:rPr>
      </w:pPr>
      <w:r>
        <w:rPr>
          <w:rFonts w:hint="eastAsia" w:ascii="宋体" w:hAnsi="宋体" w:cs="宋体"/>
          <w:szCs w:val="21"/>
          <w:highlight w:val="none"/>
        </w:rPr>
        <w:t>1、对招标人融资支持情况-贷款支持（以实际提款金额为准）：2019年1月1日至今，我单位对招标人及招标人属下非上市公司的贷款支持（以实际提款金额为准）为</w:t>
      </w:r>
      <w:r>
        <w:rPr>
          <w:rFonts w:hint="eastAsia" w:ascii="宋体" w:hAnsi="宋体" w:cs="宋体"/>
          <w:szCs w:val="21"/>
          <w:highlight w:val="none"/>
          <w:u w:val="single"/>
        </w:rPr>
        <w:t xml:space="preserve">       </w:t>
      </w:r>
      <w:r>
        <w:rPr>
          <w:rFonts w:hint="eastAsia" w:ascii="宋体" w:hAnsi="宋体" w:cs="宋体"/>
          <w:szCs w:val="21"/>
          <w:highlight w:val="none"/>
        </w:rPr>
        <w:t xml:space="preserve"> 亿元。</w:t>
      </w:r>
    </w:p>
    <w:p w14:paraId="752EF9B1">
      <w:pPr>
        <w:spacing w:line="360" w:lineRule="auto"/>
        <w:rPr>
          <w:rFonts w:ascii="宋体" w:hAnsi="宋体"/>
          <w:szCs w:val="21"/>
          <w:highlight w:val="none"/>
        </w:rPr>
      </w:pPr>
      <w:r>
        <w:rPr>
          <w:rFonts w:hint="eastAsia" w:ascii="宋体" w:hAnsi="宋体"/>
          <w:szCs w:val="21"/>
          <w:highlight w:val="none"/>
        </w:rPr>
        <w:t>注：</w:t>
      </w:r>
      <w:r>
        <w:rPr>
          <w:rFonts w:hint="eastAsia" w:ascii="宋体" w:hAnsi="宋体" w:cs="宋体"/>
          <w:szCs w:val="21"/>
          <w:highlight w:val="none"/>
        </w:rPr>
        <w:t>提供贷款支持明细表（格式自拟）及相关材料，并加盖公章</w:t>
      </w:r>
      <w:r>
        <w:rPr>
          <w:rFonts w:hint="eastAsia" w:ascii="宋体" w:hAnsi="宋体"/>
          <w:szCs w:val="21"/>
          <w:highlight w:val="none"/>
        </w:rPr>
        <w:t>。</w:t>
      </w:r>
    </w:p>
    <w:p w14:paraId="3106401A">
      <w:pPr>
        <w:spacing w:line="360" w:lineRule="auto"/>
        <w:rPr>
          <w:rFonts w:ascii="宋体" w:hAnsi="宋体"/>
          <w:szCs w:val="21"/>
          <w:highlight w:val="none"/>
        </w:rPr>
      </w:pPr>
    </w:p>
    <w:p w14:paraId="526943E1">
      <w:pPr>
        <w:spacing w:line="360" w:lineRule="auto"/>
        <w:rPr>
          <w:rFonts w:ascii="宋体" w:hAnsi="宋体" w:cs="宋体"/>
          <w:szCs w:val="21"/>
          <w:highlight w:val="none"/>
        </w:rPr>
      </w:pPr>
      <w:r>
        <w:rPr>
          <w:rFonts w:hint="eastAsia" w:ascii="宋体" w:hAnsi="宋体" w:cs="宋体"/>
          <w:szCs w:val="21"/>
          <w:highlight w:val="none"/>
        </w:rPr>
        <w:t>2、对招标人融资支持情况-认购支持（以中标金额为准）：2019年1月1日至今，我单位及所属集团内其他企业</w:t>
      </w:r>
      <w:r>
        <w:rPr>
          <w:rFonts w:hint="eastAsia" w:ascii="宋体" w:hAnsi="宋体" w:cs="宋体"/>
          <w:szCs w:val="21"/>
          <w:highlight w:val="none"/>
          <w:lang w:eastAsia="zh-CN"/>
        </w:rPr>
        <w:t>直接或委托第三方</w:t>
      </w:r>
      <w:r>
        <w:rPr>
          <w:rFonts w:hint="eastAsia" w:ascii="宋体" w:hAnsi="宋体" w:cs="宋体"/>
          <w:szCs w:val="21"/>
          <w:highlight w:val="none"/>
        </w:rPr>
        <w:t>对招标人以往发行公司债券的认购支持（以中标金额为准）为</w:t>
      </w:r>
      <w:r>
        <w:rPr>
          <w:rFonts w:hint="eastAsia" w:ascii="宋体" w:hAnsi="宋体" w:cs="宋体"/>
          <w:szCs w:val="21"/>
          <w:highlight w:val="none"/>
          <w:u w:val="single"/>
        </w:rPr>
        <w:t xml:space="preserve">       </w:t>
      </w:r>
      <w:r>
        <w:rPr>
          <w:rFonts w:hint="eastAsia" w:ascii="宋体" w:hAnsi="宋体" w:cs="宋体"/>
          <w:szCs w:val="21"/>
          <w:highlight w:val="none"/>
        </w:rPr>
        <w:t xml:space="preserve"> 亿元。</w:t>
      </w:r>
    </w:p>
    <w:p w14:paraId="380C213B">
      <w:pPr>
        <w:spacing w:line="360" w:lineRule="auto"/>
        <w:rPr>
          <w:rFonts w:ascii="宋体" w:hAnsi="宋体"/>
          <w:szCs w:val="21"/>
          <w:highlight w:val="none"/>
        </w:rPr>
      </w:pPr>
      <w:r>
        <w:rPr>
          <w:rFonts w:hint="eastAsia" w:ascii="宋体" w:hAnsi="宋体"/>
          <w:szCs w:val="21"/>
          <w:highlight w:val="none"/>
        </w:rPr>
        <w:t>注：</w:t>
      </w:r>
      <w:r>
        <w:rPr>
          <w:rFonts w:hint="eastAsia" w:ascii="宋体" w:hAnsi="宋体" w:cs="宋体"/>
          <w:szCs w:val="21"/>
          <w:highlight w:val="none"/>
        </w:rPr>
        <w:t>提供认购债券中标明细表（格式自拟）及相关材料，并加盖公章</w:t>
      </w:r>
      <w:r>
        <w:rPr>
          <w:rFonts w:hint="eastAsia" w:ascii="宋体" w:hAnsi="宋体"/>
          <w:szCs w:val="21"/>
          <w:highlight w:val="none"/>
        </w:rPr>
        <w:t>。</w:t>
      </w:r>
    </w:p>
    <w:p w14:paraId="2EDE21E1">
      <w:pPr>
        <w:spacing w:line="480" w:lineRule="auto"/>
        <w:rPr>
          <w:rFonts w:ascii="宋体" w:hAnsi="宋体" w:cs="宋体"/>
          <w:szCs w:val="21"/>
          <w:highlight w:val="none"/>
          <w:lang w:val="en-GB"/>
        </w:rPr>
      </w:pPr>
    </w:p>
    <w:p w14:paraId="0CDDBB62">
      <w:pPr>
        <w:spacing w:line="480" w:lineRule="auto"/>
        <w:rPr>
          <w:rFonts w:ascii="宋体" w:hAnsi="宋体" w:cs="宋体"/>
          <w:szCs w:val="21"/>
          <w:highlight w:val="none"/>
          <w:lang w:val="en-GB"/>
        </w:rPr>
      </w:pPr>
      <w:r>
        <w:rPr>
          <w:rFonts w:hint="eastAsia" w:ascii="宋体" w:hAnsi="宋体" w:cs="宋体"/>
          <w:szCs w:val="21"/>
          <w:highlight w:val="none"/>
          <w:lang w:val="en-GB"/>
        </w:rPr>
        <w:t>（投标人可根据自身情况增加内容）</w:t>
      </w:r>
    </w:p>
    <w:p w14:paraId="173449F0">
      <w:pPr>
        <w:spacing w:line="480" w:lineRule="auto"/>
        <w:ind w:firstLine="109" w:firstLineChars="50"/>
        <w:jc w:val="center"/>
        <w:rPr>
          <w:rFonts w:ascii="宋体" w:hAnsi="宋体" w:cs="宋体"/>
          <w:spacing w:val="4"/>
          <w:szCs w:val="21"/>
          <w:highlight w:val="none"/>
        </w:rPr>
      </w:pPr>
      <w:r>
        <w:rPr>
          <w:rFonts w:hint="eastAsia" w:ascii="宋体" w:hAnsi="宋体" w:cs="宋体"/>
          <w:spacing w:val="4"/>
          <w:szCs w:val="21"/>
          <w:highlight w:val="none"/>
        </w:rPr>
        <w:t xml:space="preserve">                                                     投标人名称（加盖公章）：</w:t>
      </w:r>
    </w:p>
    <w:p w14:paraId="1AAAFD57">
      <w:pPr>
        <w:spacing w:line="480" w:lineRule="auto"/>
        <w:ind w:firstLine="6322" w:firstLineChars="2900"/>
        <w:rPr>
          <w:rFonts w:ascii="宋体" w:hAnsi="宋体" w:cs="宋体"/>
          <w:spacing w:val="4"/>
          <w:szCs w:val="21"/>
          <w:highlight w:val="none"/>
          <w:u w:val="single"/>
        </w:rPr>
      </w:pPr>
      <w:r>
        <w:rPr>
          <w:rFonts w:hint="eastAsia" w:ascii="宋体" w:hAnsi="宋体" w:cs="宋体"/>
          <w:spacing w:val="4"/>
          <w:szCs w:val="21"/>
          <w:highlight w:val="none"/>
        </w:rPr>
        <w:t>日期：</w:t>
      </w:r>
      <w:r>
        <w:rPr>
          <w:rFonts w:ascii="宋体" w:hAnsi="宋体"/>
          <w:kern w:val="0"/>
          <w:szCs w:val="21"/>
          <w:highlight w:val="none"/>
        </w:rPr>
        <w:t xml:space="preserve">     </w:t>
      </w:r>
      <w:r>
        <w:rPr>
          <w:rFonts w:hint="eastAsia" w:ascii="宋体" w:hAnsi="宋体"/>
          <w:kern w:val="0"/>
          <w:szCs w:val="21"/>
          <w:highlight w:val="none"/>
        </w:rPr>
        <w:t>年</w:t>
      </w: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 xml:space="preserve"> 日</w:t>
      </w:r>
    </w:p>
    <w:p w14:paraId="1911255E">
      <w:pPr>
        <w:rPr>
          <w:rFonts w:ascii="宋体" w:hAnsi="宋体" w:cs="宋体"/>
          <w:szCs w:val="21"/>
          <w:highlight w:val="none"/>
        </w:rPr>
      </w:pPr>
      <w:r>
        <w:rPr>
          <w:rFonts w:hint="eastAsia" w:ascii="宋体" w:hAnsi="宋体" w:cs="宋体"/>
          <w:szCs w:val="21"/>
          <w:highlight w:val="none"/>
        </w:rPr>
        <w:br w:type="page"/>
      </w:r>
    </w:p>
    <w:p w14:paraId="4C573E31">
      <w:pPr>
        <w:rPr>
          <w:rFonts w:ascii="宋体" w:hAnsi="宋体" w:cs="宋体"/>
          <w:szCs w:val="21"/>
          <w:highlight w:val="none"/>
        </w:rPr>
      </w:pPr>
    </w:p>
    <w:p w14:paraId="1ED55CF2">
      <w:pPr>
        <w:numPr>
          <w:ilvl w:val="0"/>
          <w:numId w:val="37"/>
        </w:numPr>
        <w:spacing w:line="440" w:lineRule="exact"/>
        <w:rPr>
          <w:highlight w:val="none"/>
        </w:rPr>
      </w:pPr>
    </w:p>
    <w:p w14:paraId="18F90737">
      <w:pPr>
        <w:pStyle w:val="4"/>
        <w:adjustRightInd w:val="0"/>
        <w:snapToGrid w:val="0"/>
        <w:spacing w:before="156" w:beforeLines="50" w:after="156" w:afterLines="50" w:line="360" w:lineRule="auto"/>
        <w:jc w:val="center"/>
        <w:rPr>
          <w:b w:val="0"/>
          <w:bCs w:val="0"/>
          <w:highlight w:val="none"/>
        </w:rPr>
      </w:pPr>
      <w:r>
        <w:rPr>
          <w:rFonts w:hint="eastAsia"/>
          <w:b w:val="0"/>
          <w:bCs w:val="0"/>
          <w:highlight w:val="none"/>
        </w:rPr>
        <w:t>投标人基本情况表</w:t>
      </w:r>
      <w:bookmarkEnd w:id="422"/>
      <w:bookmarkEnd w:id="423"/>
    </w:p>
    <w:p w14:paraId="7EE644DC">
      <w:pPr>
        <w:numPr>
          <w:ilvl w:val="0"/>
          <w:numId w:val="49"/>
        </w:numPr>
        <w:spacing w:line="360" w:lineRule="auto"/>
        <w:rPr>
          <w:rFonts w:ascii="宋体" w:hAnsi="宋体" w:cs="宋体"/>
          <w:szCs w:val="21"/>
          <w:highlight w:val="none"/>
        </w:rPr>
      </w:pPr>
      <w:r>
        <w:rPr>
          <w:rFonts w:hint="eastAsia" w:ascii="宋体" w:hAnsi="宋体" w:cs="宋体"/>
          <w:szCs w:val="21"/>
          <w:highlight w:val="none"/>
        </w:rPr>
        <w:t>公司基本情况</w:t>
      </w:r>
    </w:p>
    <w:p w14:paraId="225FE919">
      <w:pPr>
        <w:numPr>
          <w:ilvl w:val="1"/>
          <w:numId w:val="49"/>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公司名称：  电话号码：</w:t>
      </w:r>
    </w:p>
    <w:p w14:paraId="4B24F986">
      <w:pPr>
        <w:numPr>
          <w:ilvl w:val="1"/>
          <w:numId w:val="49"/>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地    址：  传    真：</w:t>
      </w:r>
    </w:p>
    <w:p w14:paraId="443785ED">
      <w:pPr>
        <w:numPr>
          <w:ilvl w:val="1"/>
          <w:numId w:val="49"/>
        </w:numPr>
        <w:tabs>
          <w:tab w:val="left" w:pos="420"/>
          <w:tab w:val="clear" w:pos="840"/>
        </w:tabs>
        <w:spacing w:line="360" w:lineRule="auto"/>
        <w:ind w:left="420"/>
        <w:rPr>
          <w:rFonts w:ascii="宋体" w:hAnsi="宋体" w:cs="宋体"/>
          <w:szCs w:val="21"/>
          <w:highlight w:val="none"/>
          <w:u w:val="single"/>
        </w:rPr>
      </w:pPr>
      <w:r>
        <w:rPr>
          <w:rFonts w:hint="eastAsia" w:ascii="宋体" w:hAnsi="宋体" w:cs="宋体"/>
          <w:szCs w:val="21"/>
          <w:highlight w:val="none"/>
        </w:rPr>
        <w:t>注册资金：  经济性质：</w:t>
      </w:r>
    </w:p>
    <w:p w14:paraId="09F13622">
      <w:pPr>
        <w:numPr>
          <w:ilvl w:val="1"/>
          <w:numId w:val="49"/>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 xml:space="preserve">公司开户银行名称及账号：     </w:t>
      </w:r>
    </w:p>
    <w:p w14:paraId="48D98DAF">
      <w:pPr>
        <w:numPr>
          <w:ilvl w:val="1"/>
          <w:numId w:val="49"/>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 xml:space="preserve">营业注册执照号：   </w:t>
      </w:r>
    </w:p>
    <w:p w14:paraId="1BBB076A">
      <w:pPr>
        <w:numPr>
          <w:ilvl w:val="1"/>
          <w:numId w:val="49"/>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简介：</w:t>
      </w:r>
    </w:p>
    <w:p w14:paraId="47249942">
      <w:pPr>
        <w:tabs>
          <w:tab w:val="left" w:pos="420"/>
        </w:tabs>
        <w:spacing w:line="360" w:lineRule="auto"/>
        <w:rPr>
          <w:rFonts w:ascii="宋体" w:hAnsi="宋体" w:cs="宋体"/>
          <w:szCs w:val="21"/>
          <w:highlight w:val="none"/>
        </w:rPr>
      </w:pPr>
    </w:p>
    <w:p w14:paraId="02E037C7">
      <w:pPr>
        <w:numPr>
          <w:ilvl w:val="0"/>
          <w:numId w:val="49"/>
        </w:numPr>
        <w:spacing w:line="360" w:lineRule="auto"/>
        <w:rPr>
          <w:rFonts w:ascii="宋体" w:hAnsi="宋体" w:cs="宋体"/>
          <w:szCs w:val="21"/>
          <w:highlight w:val="none"/>
        </w:rPr>
      </w:pPr>
      <w:r>
        <w:rPr>
          <w:rFonts w:hint="eastAsia" w:ascii="宋体" w:hAnsi="宋体" w:cs="宋体"/>
          <w:szCs w:val="21"/>
          <w:highlight w:val="none"/>
        </w:rPr>
        <w:t>投标人获得国家有关部门颁发的资质证书和奖项（如有）：</w:t>
      </w:r>
    </w:p>
    <w:tbl>
      <w:tblPr>
        <w:tblStyle w:val="30"/>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14:paraId="35C4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49" w:type="dxa"/>
            <w:tcBorders>
              <w:top w:val="single" w:color="auto" w:sz="12" w:space="0"/>
              <w:left w:val="single" w:color="auto" w:sz="12" w:space="0"/>
            </w:tcBorders>
          </w:tcPr>
          <w:p w14:paraId="547B7A36">
            <w:pPr>
              <w:spacing w:line="360" w:lineRule="auto"/>
              <w:jc w:val="center"/>
              <w:rPr>
                <w:rFonts w:ascii="宋体" w:hAnsi="宋体" w:cs="宋体"/>
                <w:szCs w:val="21"/>
                <w:highlight w:val="none"/>
              </w:rPr>
            </w:pPr>
            <w:r>
              <w:rPr>
                <w:rFonts w:hint="eastAsia" w:ascii="宋体" w:hAnsi="宋体" w:cs="宋体"/>
                <w:szCs w:val="21"/>
                <w:highlight w:val="none"/>
              </w:rPr>
              <w:t xml:space="preserve">  证书名称</w:t>
            </w:r>
          </w:p>
        </w:tc>
        <w:tc>
          <w:tcPr>
            <w:tcW w:w="2349" w:type="dxa"/>
            <w:tcBorders>
              <w:top w:val="single" w:color="auto" w:sz="12" w:space="0"/>
            </w:tcBorders>
          </w:tcPr>
          <w:p w14:paraId="3EC3D104">
            <w:pPr>
              <w:spacing w:line="360" w:lineRule="auto"/>
              <w:jc w:val="center"/>
              <w:rPr>
                <w:rFonts w:ascii="宋体" w:hAnsi="宋体" w:cs="宋体"/>
                <w:szCs w:val="21"/>
                <w:highlight w:val="none"/>
              </w:rPr>
            </w:pPr>
            <w:r>
              <w:rPr>
                <w:rFonts w:hint="eastAsia" w:ascii="宋体" w:hAnsi="宋体" w:cs="宋体"/>
                <w:szCs w:val="21"/>
                <w:highlight w:val="none"/>
              </w:rPr>
              <w:t>发证单位</w:t>
            </w:r>
          </w:p>
        </w:tc>
        <w:tc>
          <w:tcPr>
            <w:tcW w:w="2349" w:type="dxa"/>
            <w:tcBorders>
              <w:top w:val="single" w:color="auto" w:sz="12" w:space="0"/>
            </w:tcBorders>
          </w:tcPr>
          <w:p w14:paraId="195D7E0F">
            <w:pPr>
              <w:spacing w:line="360" w:lineRule="auto"/>
              <w:jc w:val="center"/>
              <w:rPr>
                <w:rFonts w:ascii="宋体" w:hAnsi="宋体" w:cs="宋体"/>
                <w:szCs w:val="21"/>
                <w:highlight w:val="none"/>
              </w:rPr>
            </w:pPr>
            <w:r>
              <w:rPr>
                <w:rFonts w:hint="eastAsia" w:ascii="宋体" w:hAnsi="宋体" w:cs="宋体"/>
                <w:szCs w:val="21"/>
                <w:highlight w:val="none"/>
              </w:rPr>
              <w:t>证书等级</w:t>
            </w:r>
          </w:p>
        </w:tc>
        <w:tc>
          <w:tcPr>
            <w:tcW w:w="2349" w:type="dxa"/>
            <w:tcBorders>
              <w:top w:val="single" w:color="auto" w:sz="12" w:space="0"/>
              <w:right w:val="single" w:color="auto" w:sz="12" w:space="0"/>
            </w:tcBorders>
          </w:tcPr>
          <w:p w14:paraId="1BE65A1D">
            <w:pPr>
              <w:spacing w:line="360" w:lineRule="auto"/>
              <w:jc w:val="center"/>
              <w:rPr>
                <w:rFonts w:ascii="宋体" w:hAnsi="宋体" w:cs="宋体"/>
                <w:szCs w:val="21"/>
                <w:highlight w:val="none"/>
              </w:rPr>
            </w:pPr>
            <w:r>
              <w:rPr>
                <w:rFonts w:hint="eastAsia" w:ascii="宋体" w:hAnsi="宋体" w:cs="宋体"/>
                <w:szCs w:val="21"/>
                <w:highlight w:val="none"/>
              </w:rPr>
              <w:t>证书有效期</w:t>
            </w:r>
          </w:p>
        </w:tc>
      </w:tr>
      <w:tr w14:paraId="6AA9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tcBorders>
          </w:tcPr>
          <w:p w14:paraId="3BAC621E">
            <w:pPr>
              <w:spacing w:line="360" w:lineRule="auto"/>
              <w:jc w:val="center"/>
              <w:rPr>
                <w:rFonts w:ascii="宋体" w:hAnsi="宋体" w:cs="宋体"/>
                <w:szCs w:val="21"/>
                <w:highlight w:val="none"/>
              </w:rPr>
            </w:pPr>
          </w:p>
        </w:tc>
        <w:tc>
          <w:tcPr>
            <w:tcW w:w="2349" w:type="dxa"/>
          </w:tcPr>
          <w:p w14:paraId="14EE4AFE">
            <w:pPr>
              <w:spacing w:line="360" w:lineRule="auto"/>
              <w:jc w:val="center"/>
              <w:rPr>
                <w:rFonts w:ascii="宋体" w:hAnsi="宋体" w:cs="宋体"/>
                <w:szCs w:val="21"/>
                <w:highlight w:val="none"/>
              </w:rPr>
            </w:pPr>
          </w:p>
        </w:tc>
        <w:tc>
          <w:tcPr>
            <w:tcW w:w="2349" w:type="dxa"/>
          </w:tcPr>
          <w:p w14:paraId="3A5E2E39">
            <w:pPr>
              <w:spacing w:line="360" w:lineRule="auto"/>
              <w:jc w:val="center"/>
              <w:rPr>
                <w:rFonts w:ascii="宋体" w:hAnsi="宋体" w:cs="宋体"/>
                <w:szCs w:val="21"/>
                <w:highlight w:val="none"/>
              </w:rPr>
            </w:pPr>
          </w:p>
        </w:tc>
        <w:tc>
          <w:tcPr>
            <w:tcW w:w="2349" w:type="dxa"/>
            <w:tcBorders>
              <w:right w:val="single" w:color="auto" w:sz="12" w:space="0"/>
            </w:tcBorders>
          </w:tcPr>
          <w:p w14:paraId="68072125">
            <w:pPr>
              <w:spacing w:line="360" w:lineRule="auto"/>
              <w:jc w:val="center"/>
              <w:rPr>
                <w:rFonts w:ascii="宋体" w:hAnsi="宋体" w:cs="宋体"/>
                <w:szCs w:val="21"/>
                <w:highlight w:val="none"/>
              </w:rPr>
            </w:pPr>
          </w:p>
        </w:tc>
      </w:tr>
      <w:tr w14:paraId="36B7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bottom w:val="single" w:color="auto" w:sz="12" w:space="0"/>
            </w:tcBorders>
          </w:tcPr>
          <w:p w14:paraId="393CA1A7">
            <w:pPr>
              <w:spacing w:line="360" w:lineRule="auto"/>
              <w:jc w:val="center"/>
              <w:rPr>
                <w:rFonts w:ascii="宋体" w:hAnsi="宋体" w:cs="宋体"/>
                <w:szCs w:val="21"/>
                <w:highlight w:val="none"/>
              </w:rPr>
            </w:pPr>
          </w:p>
        </w:tc>
        <w:tc>
          <w:tcPr>
            <w:tcW w:w="2349" w:type="dxa"/>
            <w:tcBorders>
              <w:bottom w:val="single" w:color="auto" w:sz="12" w:space="0"/>
            </w:tcBorders>
          </w:tcPr>
          <w:p w14:paraId="53FD244E">
            <w:pPr>
              <w:spacing w:line="360" w:lineRule="auto"/>
              <w:jc w:val="center"/>
              <w:rPr>
                <w:rFonts w:ascii="宋体" w:hAnsi="宋体" w:cs="宋体"/>
                <w:szCs w:val="21"/>
                <w:highlight w:val="none"/>
              </w:rPr>
            </w:pPr>
          </w:p>
        </w:tc>
        <w:tc>
          <w:tcPr>
            <w:tcW w:w="2349" w:type="dxa"/>
            <w:tcBorders>
              <w:bottom w:val="single" w:color="auto" w:sz="12" w:space="0"/>
            </w:tcBorders>
          </w:tcPr>
          <w:p w14:paraId="5399E814">
            <w:pPr>
              <w:spacing w:line="360" w:lineRule="auto"/>
              <w:jc w:val="center"/>
              <w:rPr>
                <w:rFonts w:ascii="宋体" w:hAnsi="宋体" w:cs="宋体"/>
                <w:szCs w:val="21"/>
                <w:highlight w:val="none"/>
              </w:rPr>
            </w:pPr>
          </w:p>
        </w:tc>
        <w:tc>
          <w:tcPr>
            <w:tcW w:w="2349" w:type="dxa"/>
            <w:tcBorders>
              <w:bottom w:val="single" w:color="auto" w:sz="12" w:space="0"/>
              <w:right w:val="single" w:color="auto" w:sz="12" w:space="0"/>
            </w:tcBorders>
          </w:tcPr>
          <w:p w14:paraId="60AB29AD">
            <w:pPr>
              <w:spacing w:line="360" w:lineRule="auto"/>
              <w:jc w:val="center"/>
              <w:rPr>
                <w:rFonts w:ascii="宋体" w:hAnsi="宋体" w:cs="宋体"/>
                <w:szCs w:val="21"/>
                <w:highlight w:val="none"/>
              </w:rPr>
            </w:pPr>
          </w:p>
        </w:tc>
      </w:tr>
    </w:tbl>
    <w:p w14:paraId="405901F1">
      <w:pPr>
        <w:spacing w:line="360" w:lineRule="auto"/>
        <w:rPr>
          <w:rFonts w:ascii="宋体" w:hAnsi="宋体" w:cs="宋体"/>
          <w:szCs w:val="21"/>
          <w:highlight w:val="none"/>
        </w:rPr>
      </w:pPr>
    </w:p>
    <w:p w14:paraId="59B17AB7">
      <w:pPr>
        <w:spacing w:line="360" w:lineRule="auto"/>
        <w:ind w:firstLine="315" w:firstLineChars="150"/>
        <w:rPr>
          <w:rFonts w:ascii="宋体" w:hAnsi="宋体" w:cs="宋体"/>
          <w:szCs w:val="21"/>
          <w:highlight w:val="none"/>
        </w:rPr>
      </w:pPr>
      <w:bookmarkStart w:id="427" w:name="_Toc43264525"/>
      <w:r>
        <w:rPr>
          <w:rFonts w:hint="eastAsia" w:ascii="宋体" w:hAnsi="宋体" w:cs="宋体"/>
          <w:szCs w:val="21"/>
          <w:highlight w:val="none"/>
        </w:rPr>
        <w:t>我/我们声明以上所述是正确无误的，您有权进行您认为必要的所有调查，</w:t>
      </w:r>
      <w:r>
        <w:rPr>
          <w:rFonts w:hint="eastAsia" w:ascii="宋体" w:hAnsi="宋体" w:cs="宋体"/>
          <w:szCs w:val="21"/>
          <w:highlight w:val="none"/>
          <w:lang w:val="en-GB"/>
        </w:rPr>
        <w:t>如以上数据有虚假，一经查实，自行承担相关责任。</w:t>
      </w:r>
    </w:p>
    <w:p w14:paraId="60401DF6">
      <w:pPr>
        <w:spacing w:line="500" w:lineRule="exact"/>
        <w:rPr>
          <w:rFonts w:ascii="宋体" w:hAnsi="宋体" w:cs="宋体"/>
          <w:spacing w:val="4"/>
          <w:szCs w:val="21"/>
          <w:highlight w:val="none"/>
        </w:rPr>
      </w:pPr>
    </w:p>
    <w:p w14:paraId="7385EA35">
      <w:pPr>
        <w:spacing w:line="480" w:lineRule="auto"/>
        <w:ind w:firstLine="109" w:firstLineChars="50"/>
        <w:jc w:val="center"/>
        <w:rPr>
          <w:rFonts w:ascii="宋体" w:hAnsi="宋体" w:cs="宋体"/>
          <w:spacing w:val="4"/>
          <w:szCs w:val="21"/>
          <w:highlight w:val="none"/>
        </w:rPr>
      </w:pPr>
      <w:r>
        <w:rPr>
          <w:rFonts w:hint="eastAsia" w:ascii="宋体" w:hAnsi="宋体" w:cs="宋体"/>
          <w:spacing w:val="4"/>
          <w:szCs w:val="21"/>
          <w:highlight w:val="none"/>
        </w:rPr>
        <w:t xml:space="preserve">                                                    投标人名称（加盖公章）：</w:t>
      </w:r>
    </w:p>
    <w:p w14:paraId="2A9EFFFA">
      <w:pPr>
        <w:spacing w:line="480" w:lineRule="auto"/>
        <w:ind w:firstLine="6322" w:firstLineChars="2900"/>
        <w:rPr>
          <w:rFonts w:ascii="宋体" w:hAnsi="宋体" w:cs="宋体"/>
          <w:spacing w:val="4"/>
          <w:szCs w:val="21"/>
          <w:highlight w:val="none"/>
          <w:u w:val="single"/>
        </w:rPr>
      </w:pPr>
      <w:r>
        <w:rPr>
          <w:rFonts w:hint="eastAsia" w:ascii="宋体" w:hAnsi="宋体" w:cs="宋体"/>
          <w:spacing w:val="4"/>
          <w:szCs w:val="21"/>
          <w:highlight w:val="none"/>
        </w:rPr>
        <w:t>日期：</w:t>
      </w:r>
      <w:r>
        <w:rPr>
          <w:rFonts w:ascii="宋体" w:hAnsi="宋体"/>
          <w:kern w:val="0"/>
          <w:szCs w:val="21"/>
          <w:highlight w:val="none"/>
        </w:rPr>
        <w:t xml:space="preserve">     </w:t>
      </w:r>
      <w:r>
        <w:rPr>
          <w:rFonts w:hint="eastAsia" w:ascii="宋体" w:hAnsi="宋体"/>
          <w:kern w:val="0"/>
          <w:szCs w:val="21"/>
          <w:highlight w:val="none"/>
        </w:rPr>
        <w:t>年</w:t>
      </w: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 xml:space="preserve"> 日</w:t>
      </w:r>
    </w:p>
    <w:p w14:paraId="0DA018F5">
      <w:pPr>
        <w:spacing w:line="360" w:lineRule="auto"/>
        <w:rPr>
          <w:rFonts w:ascii="宋体" w:hAnsi="宋体" w:cs="宋体"/>
          <w:b/>
          <w:bCs/>
          <w:szCs w:val="21"/>
          <w:highlight w:val="none"/>
        </w:rPr>
      </w:pPr>
    </w:p>
    <w:p w14:paraId="4758309C">
      <w:pPr>
        <w:spacing w:line="360" w:lineRule="auto"/>
        <w:rPr>
          <w:rFonts w:ascii="宋体" w:hAnsi="宋体" w:cs="宋体"/>
          <w:b/>
          <w:bCs/>
          <w:szCs w:val="21"/>
          <w:highlight w:val="none"/>
        </w:rPr>
      </w:pPr>
    </w:p>
    <w:p w14:paraId="05A9CE54">
      <w:pPr>
        <w:spacing w:line="520" w:lineRule="exact"/>
        <w:rPr>
          <w:rFonts w:ascii="宋体" w:hAnsi="宋体" w:cs="宋体"/>
          <w:spacing w:val="4"/>
          <w:szCs w:val="21"/>
          <w:highlight w:val="none"/>
        </w:rPr>
      </w:pPr>
      <w:bookmarkStart w:id="428" w:name="_Toc50737333"/>
      <w:bookmarkStart w:id="429" w:name="_Toc50737301"/>
      <w:bookmarkStart w:id="430" w:name="_Toc50736481"/>
      <w:bookmarkStart w:id="431" w:name="_Toc50691044"/>
      <w:bookmarkStart w:id="432" w:name="_Toc52165085"/>
      <w:bookmarkStart w:id="433" w:name="_Toc275865617"/>
    </w:p>
    <w:bookmarkEnd w:id="427"/>
    <w:bookmarkEnd w:id="428"/>
    <w:bookmarkEnd w:id="429"/>
    <w:bookmarkEnd w:id="430"/>
    <w:bookmarkEnd w:id="431"/>
    <w:bookmarkEnd w:id="432"/>
    <w:bookmarkEnd w:id="433"/>
    <w:p w14:paraId="57D2AC10">
      <w:pPr>
        <w:rPr>
          <w:rFonts w:ascii="Arial" w:hAnsi="Arial" w:eastAsia="黑体"/>
          <w:sz w:val="32"/>
          <w:szCs w:val="32"/>
          <w:highlight w:val="none"/>
        </w:rPr>
      </w:pPr>
      <w:r>
        <w:rPr>
          <w:rFonts w:hint="eastAsia" w:ascii="宋体" w:hAnsi="宋体" w:cs="宋体"/>
          <w:szCs w:val="21"/>
          <w:highlight w:val="none"/>
        </w:rPr>
        <w:br w:type="page"/>
      </w:r>
      <w:bookmarkEnd w:id="424"/>
      <w:bookmarkEnd w:id="425"/>
      <w:bookmarkStart w:id="434" w:name="_Toc259022219"/>
    </w:p>
    <w:bookmarkEnd w:id="426"/>
    <w:bookmarkEnd w:id="434"/>
    <w:p w14:paraId="418CB8E4">
      <w:pPr>
        <w:numPr>
          <w:ilvl w:val="0"/>
          <w:numId w:val="37"/>
        </w:numPr>
        <w:spacing w:line="440" w:lineRule="exact"/>
        <w:rPr>
          <w:highlight w:val="none"/>
        </w:rPr>
      </w:pPr>
      <w:bookmarkStart w:id="435" w:name="_Toc275865624"/>
    </w:p>
    <w:p w14:paraId="0E83ED5B">
      <w:pPr>
        <w:pStyle w:val="4"/>
        <w:adjustRightInd w:val="0"/>
        <w:snapToGrid w:val="0"/>
        <w:spacing w:before="156" w:beforeLines="50" w:after="156" w:afterLines="50" w:line="360" w:lineRule="auto"/>
        <w:jc w:val="center"/>
        <w:rPr>
          <w:b w:val="0"/>
          <w:bCs w:val="0"/>
          <w:highlight w:val="none"/>
        </w:rPr>
      </w:pPr>
      <w:bookmarkStart w:id="436" w:name="_Toc25638"/>
      <w:r>
        <w:rPr>
          <w:rFonts w:hint="eastAsia"/>
          <w:b w:val="0"/>
          <w:bCs w:val="0"/>
          <w:highlight w:val="none"/>
        </w:rPr>
        <w:t>招标代理服务费承诺书</w:t>
      </w:r>
      <w:bookmarkEnd w:id="435"/>
      <w:bookmarkEnd w:id="436"/>
    </w:p>
    <w:p w14:paraId="15B07C11">
      <w:pPr>
        <w:spacing w:line="520" w:lineRule="exact"/>
        <w:ind w:left="315"/>
        <w:rPr>
          <w:rFonts w:ascii="宋体" w:hAnsi="宋体" w:cs="宋体"/>
          <w:b/>
          <w:szCs w:val="21"/>
          <w:highlight w:val="none"/>
        </w:rPr>
      </w:pPr>
      <w:r>
        <w:rPr>
          <w:rFonts w:hint="eastAsia" w:ascii="宋体" w:hAnsi="宋体" w:cs="宋体"/>
          <w:b/>
          <w:szCs w:val="21"/>
          <w:highlight w:val="none"/>
        </w:rPr>
        <w:t>广东中采招标有限公司:</w:t>
      </w:r>
    </w:p>
    <w:p w14:paraId="58C64646">
      <w:pPr>
        <w:spacing w:line="480" w:lineRule="auto"/>
        <w:ind w:left="315" w:leftChars="150" w:firstLine="420" w:firstLineChars="200"/>
        <w:rPr>
          <w:rFonts w:ascii="宋体" w:hAnsi="宋体" w:cs="宋体"/>
          <w:szCs w:val="21"/>
          <w:highlight w:val="none"/>
        </w:rPr>
      </w:pPr>
      <w:r>
        <w:rPr>
          <w:rFonts w:hint="eastAsia" w:ascii="宋体" w:hAnsi="宋体" w:cs="宋体"/>
          <w:szCs w:val="21"/>
          <w:highlight w:val="none"/>
        </w:rPr>
        <w:t>本公司</w:t>
      </w:r>
      <w:r>
        <w:rPr>
          <w:rFonts w:hint="eastAsia" w:ascii="宋体" w:hAnsi="宋体" w:cs="宋体"/>
          <w:szCs w:val="21"/>
          <w:highlight w:val="none"/>
          <w:u w:val="single"/>
        </w:rPr>
        <w:t xml:space="preserve">       (投标人名称)      </w:t>
      </w:r>
      <w:r>
        <w:rPr>
          <w:rFonts w:hint="eastAsia" w:ascii="宋体" w:hAnsi="宋体" w:cs="宋体"/>
          <w:szCs w:val="21"/>
          <w:highlight w:val="none"/>
        </w:rPr>
        <w:t>在参加在贵公司举行的</w:t>
      </w:r>
      <w:r>
        <w:rPr>
          <w:rFonts w:hint="eastAsia" w:ascii="宋体" w:hAnsi="宋体" w:cs="宋体"/>
          <w:szCs w:val="21"/>
          <w:highlight w:val="none"/>
          <w:u w:val="single"/>
        </w:rPr>
        <w:t xml:space="preserve"> 广东南海产业集团有限公司注册发行中期票据选取主承销商项目 </w:t>
      </w:r>
      <w:r>
        <w:rPr>
          <w:rFonts w:hint="eastAsia" w:ascii="宋体" w:hAnsi="宋体" w:cs="宋体"/>
          <w:szCs w:val="21"/>
          <w:highlight w:val="none"/>
        </w:rPr>
        <w:t>(项目编号：GDZC-24GZ166)的招标中如获中标，我公司保证按照招标文件规定缴纳“招标代理服务费”后，凭领取人身份证复印件并加盖公章领取《中标通知书》。</w:t>
      </w:r>
    </w:p>
    <w:p w14:paraId="69A06546">
      <w:pPr>
        <w:spacing w:line="480" w:lineRule="auto"/>
        <w:ind w:left="315" w:leftChars="150" w:firstLine="420" w:firstLineChars="200"/>
        <w:rPr>
          <w:rFonts w:ascii="宋体" w:hAnsi="宋体" w:cs="宋体"/>
          <w:szCs w:val="21"/>
          <w:highlight w:val="none"/>
        </w:rPr>
      </w:pPr>
      <w:r>
        <w:rPr>
          <w:rFonts w:hint="eastAsia" w:ascii="宋体" w:hAnsi="宋体" w:cs="宋体"/>
          <w:szCs w:val="21"/>
          <w:highlight w:val="none"/>
        </w:rPr>
        <w:t>如我方违反上款承诺，愿凭贵公司开出的相关通知，同意广东中采招标有限公司办理支付手续，扣除我司提交的全部投标保证金，并愿承担全部由此引起的法律责任。</w:t>
      </w:r>
    </w:p>
    <w:p w14:paraId="383A3AB5">
      <w:pPr>
        <w:spacing w:line="480" w:lineRule="auto"/>
        <w:ind w:left="315" w:leftChars="150" w:firstLine="420" w:firstLineChars="200"/>
        <w:rPr>
          <w:rFonts w:ascii="宋体" w:hAnsi="宋体" w:cs="宋体"/>
          <w:szCs w:val="21"/>
          <w:highlight w:val="none"/>
        </w:rPr>
      </w:pPr>
      <w:r>
        <w:rPr>
          <w:rFonts w:hint="eastAsia" w:ascii="宋体" w:hAnsi="宋体" w:cs="宋体"/>
          <w:szCs w:val="21"/>
          <w:highlight w:val="none"/>
        </w:rPr>
        <w:t>特此承诺!</w:t>
      </w:r>
    </w:p>
    <w:p w14:paraId="0D209D66">
      <w:pPr>
        <w:spacing w:line="520" w:lineRule="exact"/>
        <w:ind w:left="315"/>
        <w:rPr>
          <w:rFonts w:ascii="宋体" w:hAnsi="宋体" w:cs="宋体"/>
          <w:szCs w:val="21"/>
          <w:highlight w:val="none"/>
        </w:rPr>
      </w:pPr>
    </w:p>
    <w:p w14:paraId="4F33F5A8">
      <w:pPr>
        <w:spacing w:line="480" w:lineRule="auto"/>
        <w:ind w:left="315"/>
        <w:rPr>
          <w:rFonts w:ascii="宋体" w:hAnsi="宋体" w:cs="宋体"/>
          <w:szCs w:val="21"/>
          <w:highlight w:val="none"/>
        </w:rPr>
      </w:pPr>
      <w:r>
        <w:rPr>
          <w:rFonts w:hint="eastAsia" w:ascii="宋体" w:hAnsi="宋体" w:cs="宋体"/>
          <w:szCs w:val="21"/>
          <w:highlight w:val="none"/>
        </w:rPr>
        <w:t>投标人名称(加盖公章):</w:t>
      </w:r>
    </w:p>
    <w:p w14:paraId="096653B5">
      <w:pPr>
        <w:spacing w:line="480" w:lineRule="auto"/>
        <w:ind w:left="315"/>
        <w:rPr>
          <w:rFonts w:ascii="宋体" w:hAnsi="宋体" w:cs="宋体"/>
          <w:szCs w:val="21"/>
          <w:highlight w:val="none"/>
        </w:rPr>
      </w:pPr>
      <w:r>
        <w:rPr>
          <w:rFonts w:hint="eastAsia" w:ascii="宋体" w:hAnsi="宋体" w:cs="宋体"/>
          <w:szCs w:val="21"/>
          <w:highlight w:val="none"/>
        </w:rPr>
        <w:t>法定代表人或投标人授权代表（签名或盖章）：</w:t>
      </w:r>
    </w:p>
    <w:p w14:paraId="0D907736">
      <w:pPr>
        <w:spacing w:line="480" w:lineRule="auto"/>
        <w:ind w:left="315"/>
        <w:rPr>
          <w:rFonts w:ascii="宋体" w:hAnsi="宋体" w:cs="宋体"/>
          <w:szCs w:val="21"/>
          <w:highlight w:val="none"/>
        </w:rPr>
      </w:pPr>
      <w:r>
        <w:rPr>
          <w:rFonts w:hint="eastAsia" w:ascii="宋体" w:hAnsi="宋体" w:cs="宋体"/>
          <w:szCs w:val="21"/>
          <w:highlight w:val="none"/>
        </w:rPr>
        <w:t>签署日期:</w:t>
      </w:r>
    </w:p>
    <w:p w14:paraId="494030D8">
      <w:pPr>
        <w:spacing w:line="480" w:lineRule="auto"/>
        <w:ind w:left="315"/>
        <w:rPr>
          <w:rFonts w:ascii="宋体" w:hAnsi="宋体" w:cs="宋体"/>
          <w:szCs w:val="21"/>
          <w:highlight w:val="none"/>
        </w:rPr>
      </w:pPr>
    </w:p>
    <w:p w14:paraId="40CF9125">
      <w:pPr>
        <w:spacing w:line="520" w:lineRule="exact"/>
        <w:rPr>
          <w:rFonts w:ascii="宋体" w:hAnsi="宋体" w:cs="宋体"/>
          <w:szCs w:val="21"/>
          <w:highlight w:val="none"/>
        </w:rPr>
        <w:sectPr>
          <w:pgSz w:w="11906" w:h="16838"/>
          <w:pgMar w:top="1440" w:right="1286" w:bottom="1440" w:left="1440" w:header="851" w:footer="992" w:gutter="0"/>
          <w:cols w:space="720" w:num="1"/>
          <w:docGrid w:type="lines" w:linePitch="312" w:charSpace="0"/>
        </w:sectPr>
      </w:pPr>
    </w:p>
    <w:p w14:paraId="1C76E701">
      <w:pPr>
        <w:numPr>
          <w:ilvl w:val="0"/>
          <w:numId w:val="37"/>
        </w:numPr>
        <w:spacing w:line="440" w:lineRule="exact"/>
        <w:rPr>
          <w:rFonts w:ascii="宋体" w:hAnsi="宋体" w:cs="宋体"/>
          <w:szCs w:val="21"/>
          <w:highlight w:val="none"/>
        </w:rPr>
      </w:pPr>
    </w:p>
    <w:p w14:paraId="762AD602">
      <w:pPr>
        <w:jc w:val="center"/>
        <w:rPr>
          <w:rFonts w:ascii="Arial" w:hAnsi="Arial" w:eastAsia="黑体"/>
          <w:sz w:val="32"/>
          <w:szCs w:val="32"/>
          <w:highlight w:val="none"/>
        </w:rPr>
      </w:pPr>
      <w:r>
        <w:rPr>
          <w:rFonts w:hint="eastAsia" w:ascii="Arial" w:hAnsi="Arial" w:eastAsia="黑体"/>
          <w:sz w:val="32"/>
          <w:szCs w:val="32"/>
          <w:highlight w:val="none"/>
        </w:rPr>
        <w:t>企业采购保证金退付委托书</w:t>
      </w:r>
    </w:p>
    <w:p w14:paraId="6FBF68C1">
      <w:pPr>
        <w:rPr>
          <w:rFonts w:ascii="宋体" w:hAnsi="宋体"/>
          <w:b/>
          <w:sz w:val="36"/>
          <w:szCs w:val="36"/>
          <w:highlight w:val="none"/>
        </w:rPr>
      </w:pPr>
    </w:p>
    <w:p w14:paraId="154DBEC9">
      <w:pPr>
        <w:rPr>
          <w:rFonts w:ascii="宋体" w:hAnsi="宋体"/>
          <w:sz w:val="28"/>
          <w:szCs w:val="28"/>
          <w:highlight w:val="none"/>
        </w:rPr>
      </w:pPr>
      <w:r>
        <w:rPr>
          <w:rFonts w:hint="eastAsia" w:ascii="宋体" w:hAnsi="宋体"/>
          <w:sz w:val="28"/>
          <w:szCs w:val="28"/>
          <w:highlight w:val="none"/>
        </w:rPr>
        <w:t>佛山市南海公有资产流转服务有限公司：</w:t>
      </w:r>
    </w:p>
    <w:p w14:paraId="71E9F39F">
      <w:pPr>
        <w:ind w:firstLine="560" w:firstLineChars="200"/>
        <w:rPr>
          <w:rFonts w:ascii="宋体" w:hAnsi="宋体"/>
          <w:sz w:val="28"/>
          <w:szCs w:val="28"/>
          <w:highlight w:val="none"/>
        </w:rPr>
      </w:pPr>
      <w:r>
        <w:rPr>
          <w:rFonts w:hint="eastAsia" w:ascii="宋体" w:hAnsi="宋体"/>
          <w:sz w:val="28"/>
          <w:szCs w:val="28"/>
          <w:highlight w:val="none"/>
        </w:rPr>
        <w:t>兹委托贵司将招标人：</w:t>
      </w:r>
      <w:r>
        <w:rPr>
          <w:rFonts w:hint="eastAsia" w:ascii="宋体" w:hAnsi="宋体"/>
          <w:sz w:val="28"/>
          <w:szCs w:val="28"/>
          <w:highlight w:val="none"/>
          <w:u w:val="single"/>
        </w:rPr>
        <w:t>广东南海产业集团有限公司</w:t>
      </w:r>
      <w:r>
        <w:rPr>
          <w:rFonts w:hint="eastAsia" w:ascii="宋体" w:hAnsi="宋体"/>
          <w:sz w:val="28"/>
          <w:szCs w:val="28"/>
          <w:highlight w:val="none"/>
        </w:rPr>
        <w:t>的企业采购项目“</w:t>
      </w:r>
      <w:r>
        <w:rPr>
          <w:rFonts w:hint="eastAsia" w:ascii="宋体" w:hAnsi="宋体"/>
          <w:sz w:val="28"/>
          <w:szCs w:val="28"/>
          <w:highlight w:val="none"/>
          <w:u w:val="single"/>
        </w:rPr>
        <w:t>广东南海产业集团有限公司注册发行中期票据选取主承销商项目</w:t>
      </w:r>
      <w:r>
        <w:rPr>
          <w:rFonts w:hint="eastAsia" w:ascii="宋体" w:hAnsi="宋体"/>
          <w:sz w:val="28"/>
          <w:szCs w:val="28"/>
          <w:highlight w:val="none"/>
        </w:rPr>
        <w:t>”（项目编号：</w:t>
      </w:r>
      <w:r>
        <w:rPr>
          <w:rFonts w:hint="eastAsia" w:ascii="宋体" w:hAnsi="宋体"/>
          <w:sz w:val="28"/>
          <w:szCs w:val="28"/>
          <w:highlight w:val="none"/>
          <w:u w:val="single"/>
        </w:rPr>
        <w:t>GDZC-24GZ166）</w:t>
      </w:r>
      <w:r>
        <w:rPr>
          <w:rFonts w:hint="eastAsia" w:ascii="宋体" w:hAnsi="宋体"/>
          <w:sz w:val="28"/>
          <w:szCs w:val="28"/>
          <w:highlight w:val="none"/>
        </w:rPr>
        <w:t>项目</w:t>
      </w:r>
      <w:r>
        <w:rPr>
          <w:rFonts w:hint="eastAsia" w:ascii="宋体" w:hAnsi="宋体"/>
          <w:sz w:val="28"/>
          <w:szCs w:val="28"/>
          <w:highlight w:val="none"/>
          <w:u w:val="single"/>
        </w:rPr>
        <w:t>保证金</w:t>
      </w:r>
      <w:r>
        <w:rPr>
          <w:rFonts w:hint="eastAsia" w:ascii="宋体" w:hAnsi="宋体"/>
          <w:sz w:val="28"/>
          <w:szCs w:val="28"/>
          <w:highlight w:val="none"/>
        </w:rPr>
        <w:t>：人民币大写:（小写：￥）退回以下帐户：</w:t>
      </w:r>
    </w:p>
    <w:p w14:paraId="2C27370D">
      <w:pPr>
        <w:rPr>
          <w:rFonts w:ascii="宋体" w:hAnsi="宋体"/>
          <w:sz w:val="28"/>
          <w:szCs w:val="28"/>
          <w:highlight w:val="none"/>
          <w:u w:val="single"/>
        </w:rPr>
      </w:pPr>
      <w:r>
        <w:rPr>
          <w:rFonts w:hint="eastAsia" w:ascii="宋体" w:hAnsi="宋体"/>
          <w:sz w:val="28"/>
          <w:szCs w:val="28"/>
          <w:highlight w:val="none"/>
        </w:rPr>
        <w:t xml:space="preserve">户名： </w:t>
      </w:r>
      <w:r>
        <w:rPr>
          <w:rFonts w:hint="eastAsia" w:ascii="宋体" w:hAnsi="宋体"/>
          <w:sz w:val="28"/>
          <w:szCs w:val="28"/>
          <w:highlight w:val="none"/>
          <w:u w:val="single"/>
        </w:rPr>
        <w:t xml:space="preserve">                     （与缴款人或者单位一致）</w:t>
      </w:r>
    </w:p>
    <w:p w14:paraId="0C0E19C5">
      <w:pPr>
        <w:rPr>
          <w:rFonts w:ascii="宋体" w:hAnsi="宋体"/>
          <w:sz w:val="28"/>
          <w:szCs w:val="28"/>
          <w:highlight w:val="none"/>
          <w:u w:val="single"/>
        </w:rPr>
      </w:pPr>
      <w:r>
        <w:rPr>
          <w:rFonts w:hint="eastAsia" w:ascii="宋体" w:hAnsi="宋体"/>
          <w:sz w:val="28"/>
          <w:szCs w:val="28"/>
          <w:highlight w:val="none"/>
        </w:rPr>
        <w:t xml:space="preserve">账号： </w:t>
      </w:r>
    </w:p>
    <w:p w14:paraId="684B29CA">
      <w:pPr>
        <w:rPr>
          <w:rFonts w:ascii="宋体" w:hAnsi="宋体"/>
          <w:sz w:val="28"/>
          <w:szCs w:val="28"/>
          <w:highlight w:val="none"/>
          <w:u w:val="single"/>
        </w:rPr>
      </w:pPr>
      <w:r>
        <w:rPr>
          <w:rFonts w:hint="eastAsia" w:ascii="宋体" w:hAnsi="宋体"/>
          <w:sz w:val="28"/>
          <w:szCs w:val="28"/>
          <w:highlight w:val="none"/>
        </w:rPr>
        <w:t>开户银行：</w:t>
      </w:r>
    </w:p>
    <w:p w14:paraId="6B9E51E0">
      <w:pPr>
        <w:rPr>
          <w:rFonts w:ascii="宋体" w:hAnsi="宋体"/>
          <w:sz w:val="28"/>
          <w:szCs w:val="28"/>
          <w:highlight w:val="none"/>
          <w:u w:val="single"/>
        </w:rPr>
      </w:pPr>
      <w:r>
        <w:rPr>
          <w:rFonts w:hint="eastAsia" w:ascii="宋体" w:hAnsi="宋体"/>
          <w:sz w:val="28"/>
          <w:szCs w:val="28"/>
          <w:highlight w:val="none"/>
        </w:rPr>
        <w:t>联系方式：</w:t>
      </w:r>
    </w:p>
    <w:p w14:paraId="61CB0A60">
      <w:pPr>
        <w:ind w:firstLine="560" w:firstLineChars="200"/>
        <w:rPr>
          <w:rFonts w:ascii="宋体" w:hAnsi="宋体"/>
          <w:sz w:val="28"/>
          <w:szCs w:val="28"/>
          <w:highlight w:val="none"/>
        </w:rPr>
      </w:pPr>
      <w:r>
        <w:rPr>
          <w:rFonts w:hint="eastAsia" w:ascii="宋体" w:hAnsi="宋体"/>
          <w:sz w:val="28"/>
          <w:szCs w:val="28"/>
          <w:highlight w:val="none"/>
        </w:rPr>
        <w:t>此委托退款账号及户名经本人（单位）核对无误，如有差异导致款项错退，本（单位）人承担其经济责任。</w:t>
      </w:r>
    </w:p>
    <w:p w14:paraId="40560D8D">
      <w:pPr>
        <w:ind w:firstLine="560" w:firstLineChars="200"/>
        <w:rPr>
          <w:rFonts w:ascii="宋体" w:hAnsi="宋体"/>
          <w:sz w:val="28"/>
          <w:szCs w:val="28"/>
          <w:highlight w:val="none"/>
        </w:rPr>
      </w:pPr>
      <w:r>
        <w:rPr>
          <w:rFonts w:hint="eastAsia" w:ascii="宋体" w:hAnsi="宋体"/>
          <w:sz w:val="28"/>
          <w:szCs w:val="28"/>
          <w:highlight w:val="none"/>
        </w:rPr>
        <w:t>特此委托</w:t>
      </w:r>
    </w:p>
    <w:p w14:paraId="4710ABB3">
      <w:pPr>
        <w:rPr>
          <w:rFonts w:ascii="宋体" w:hAnsi="宋体"/>
          <w:sz w:val="28"/>
          <w:szCs w:val="28"/>
          <w:highlight w:val="none"/>
        </w:rPr>
      </w:pPr>
    </w:p>
    <w:p w14:paraId="5044FE46">
      <w:pPr>
        <w:ind w:right="560" w:firstLine="3500" w:firstLineChars="1250"/>
        <w:rPr>
          <w:rFonts w:ascii="宋体" w:hAnsi="宋体"/>
          <w:sz w:val="28"/>
          <w:szCs w:val="28"/>
          <w:highlight w:val="none"/>
        </w:rPr>
      </w:pPr>
      <w:r>
        <w:rPr>
          <w:rFonts w:hint="eastAsia" w:ascii="宋体" w:hAnsi="宋体"/>
          <w:sz w:val="28"/>
          <w:szCs w:val="28"/>
          <w:highlight w:val="none"/>
        </w:rPr>
        <w:t>单位（单位盖章）：</w:t>
      </w:r>
    </w:p>
    <w:p w14:paraId="35CBC9C4">
      <w:pPr>
        <w:ind w:right="560" w:firstLine="3640" w:firstLineChars="1300"/>
        <w:rPr>
          <w:rFonts w:ascii="宋体" w:hAnsi="宋体"/>
          <w:sz w:val="28"/>
          <w:szCs w:val="28"/>
          <w:highlight w:val="none"/>
        </w:rPr>
      </w:pPr>
    </w:p>
    <w:p w14:paraId="2104A803">
      <w:pPr>
        <w:rPr>
          <w:rFonts w:ascii="宋体" w:hAnsi="宋体"/>
          <w:sz w:val="28"/>
          <w:szCs w:val="28"/>
          <w:highlight w:val="none"/>
        </w:rPr>
      </w:pPr>
      <w:r>
        <w:rPr>
          <w:rFonts w:hint="eastAsia" w:ascii="宋体" w:hAnsi="宋体"/>
          <w:sz w:val="28"/>
          <w:szCs w:val="28"/>
          <w:highlight w:val="none"/>
        </w:rPr>
        <w:t xml:space="preserve">                                年     月     日</w:t>
      </w:r>
    </w:p>
    <w:p w14:paraId="26187371">
      <w:pPr>
        <w:rPr>
          <w:rFonts w:ascii="宋体" w:hAnsi="宋体"/>
          <w:sz w:val="28"/>
          <w:szCs w:val="28"/>
          <w:highlight w:val="none"/>
        </w:rPr>
      </w:pPr>
      <w:r>
        <w:rPr>
          <w:rFonts w:hint="eastAsia" w:ascii="宋体" w:hAnsi="宋体"/>
          <w:sz w:val="28"/>
          <w:szCs w:val="28"/>
          <w:highlight w:val="none"/>
        </w:rPr>
        <w:br w:type="page"/>
      </w:r>
    </w:p>
    <w:p w14:paraId="41E16910">
      <w:pPr>
        <w:numPr>
          <w:ilvl w:val="0"/>
          <w:numId w:val="37"/>
        </w:numPr>
        <w:spacing w:line="440" w:lineRule="exact"/>
        <w:rPr>
          <w:rFonts w:ascii="Arial" w:hAnsi="Arial" w:eastAsia="黑体"/>
          <w:bCs/>
          <w:sz w:val="32"/>
          <w:szCs w:val="32"/>
          <w:highlight w:val="none"/>
        </w:rPr>
      </w:pPr>
    </w:p>
    <w:p w14:paraId="3D89FD9E">
      <w:pPr>
        <w:pStyle w:val="2"/>
        <w:jc w:val="center"/>
        <w:rPr>
          <w:rFonts w:ascii="Arial" w:hAnsi="Arial" w:eastAsia="黑体"/>
          <w:b w:val="0"/>
          <w:szCs w:val="32"/>
          <w:highlight w:val="none"/>
        </w:rPr>
      </w:pPr>
      <w:bookmarkStart w:id="437" w:name="_Toc24085"/>
      <w:r>
        <w:rPr>
          <w:rFonts w:hint="eastAsia" w:ascii="Arial" w:hAnsi="Arial" w:eastAsia="黑体"/>
          <w:b w:val="0"/>
          <w:szCs w:val="32"/>
          <w:highlight w:val="none"/>
        </w:rPr>
        <w:t>投标保证金递交证明文件</w:t>
      </w:r>
      <w:bookmarkEnd w:id="437"/>
    </w:p>
    <w:p w14:paraId="13C3872C">
      <w:pPr>
        <w:rPr>
          <w:rFonts w:ascii="Arial" w:hAnsi="Arial" w:eastAsia="黑体"/>
          <w:szCs w:val="32"/>
          <w:highlight w:val="none"/>
        </w:rPr>
      </w:pPr>
    </w:p>
    <w:p w14:paraId="67824690">
      <w:pPr>
        <w:rPr>
          <w:highlight w:val="none"/>
        </w:rPr>
      </w:pPr>
      <w:r>
        <w:rPr>
          <w:rFonts w:hint="eastAsia"/>
          <w:highlight w:val="none"/>
        </w:rPr>
        <w:br w:type="page"/>
      </w:r>
    </w:p>
    <w:p w14:paraId="582A04E1">
      <w:pPr>
        <w:numPr>
          <w:ilvl w:val="0"/>
          <w:numId w:val="37"/>
        </w:numPr>
        <w:spacing w:line="440" w:lineRule="exact"/>
        <w:rPr>
          <w:highlight w:val="none"/>
        </w:rPr>
      </w:pPr>
    </w:p>
    <w:p w14:paraId="4D1FF1CA">
      <w:pPr>
        <w:pStyle w:val="4"/>
        <w:adjustRightInd w:val="0"/>
        <w:snapToGrid w:val="0"/>
        <w:spacing w:before="156" w:beforeLines="50" w:after="156" w:afterLines="50" w:line="360" w:lineRule="auto"/>
        <w:jc w:val="center"/>
        <w:rPr>
          <w:rFonts w:hint="eastAsia"/>
          <w:b w:val="0"/>
          <w:bCs w:val="0"/>
          <w:highlight w:val="none"/>
        </w:rPr>
      </w:pPr>
      <w:r>
        <w:rPr>
          <w:rFonts w:hint="eastAsia"/>
          <w:b w:val="0"/>
          <w:bCs w:val="0"/>
          <w:highlight w:val="none"/>
        </w:rPr>
        <w:t>投标人认为需要提供的其他资料</w:t>
      </w:r>
    </w:p>
    <w:p w14:paraId="5B947BCE">
      <w:pPr>
        <w:rPr>
          <w:rFonts w:hint="eastAsia"/>
          <w:b w:val="0"/>
          <w:bCs w:val="0"/>
          <w:highlight w:val="none"/>
        </w:rPr>
      </w:pPr>
      <w:r>
        <w:rPr>
          <w:rFonts w:hint="eastAsia"/>
          <w:b w:val="0"/>
          <w:bCs w:val="0"/>
          <w:highlight w:val="none"/>
        </w:rPr>
        <w:br w:type="page"/>
      </w:r>
    </w:p>
    <w:p w14:paraId="2B34BF8D">
      <w:pPr>
        <w:rPr>
          <w:highlight w:val="none"/>
        </w:rPr>
      </w:pPr>
    </w:p>
    <w:p w14:paraId="0CEC99A5">
      <w:pPr>
        <w:pStyle w:val="2"/>
        <w:rPr>
          <w:highlight w:val="none"/>
        </w:rPr>
      </w:pPr>
    </w:p>
    <w:p w14:paraId="31C5F420">
      <w:pPr>
        <w:rPr>
          <w:highlight w:val="none"/>
        </w:rPr>
      </w:pPr>
    </w:p>
    <w:p w14:paraId="6FF8901C">
      <w:pPr>
        <w:pStyle w:val="2"/>
        <w:rPr>
          <w:highlight w:val="none"/>
        </w:rPr>
      </w:pPr>
    </w:p>
    <w:p w14:paraId="147E4F1B">
      <w:pPr>
        <w:rPr>
          <w:highlight w:val="none"/>
        </w:rPr>
      </w:pPr>
    </w:p>
    <w:p w14:paraId="3CE0C2BF">
      <w:pPr>
        <w:pStyle w:val="2"/>
        <w:rPr>
          <w:highlight w:val="none"/>
        </w:rPr>
      </w:pPr>
    </w:p>
    <w:p w14:paraId="7C11E428">
      <w:pPr>
        <w:rPr>
          <w:highlight w:val="none"/>
        </w:rPr>
      </w:pPr>
    </w:p>
    <w:p w14:paraId="087C2974">
      <w:pPr>
        <w:snapToGrid w:val="0"/>
        <w:spacing w:line="360" w:lineRule="auto"/>
        <w:jc w:val="center"/>
        <w:outlineLvl w:val="0"/>
        <w:rPr>
          <w:rFonts w:hint="eastAsia" w:ascii="Times New Roman" w:hAnsi="Times New Roman" w:eastAsia="宋体"/>
          <w:b/>
          <w:bCs/>
          <w:sz w:val="44"/>
          <w:szCs w:val="44"/>
          <w:highlight w:val="none"/>
        </w:rPr>
      </w:pPr>
      <w:bookmarkStart w:id="438" w:name="_Toc15822"/>
      <w:r>
        <w:rPr>
          <w:rFonts w:hint="eastAsia" w:ascii="Times New Roman" w:hAnsi="Times New Roman" w:eastAsia="宋体"/>
          <w:b/>
          <w:bCs/>
          <w:sz w:val="44"/>
          <w:szCs w:val="44"/>
          <w:highlight w:val="none"/>
        </w:rPr>
        <w:t>第</w:t>
      </w:r>
      <w:r>
        <w:rPr>
          <w:rFonts w:hint="eastAsia" w:ascii="Times New Roman" w:hAnsi="Times New Roman" w:eastAsia="宋体"/>
          <w:b/>
          <w:bCs/>
          <w:sz w:val="44"/>
          <w:szCs w:val="44"/>
          <w:highlight w:val="none"/>
          <w:lang w:eastAsia="zh-CN"/>
        </w:rPr>
        <w:t>七</w:t>
      </w:r>
      <w:r>
        <w:rPr>
          <w:rFonts w:hint="eastAsia" w:ascii="Times New Roman" w:hAnsi="Times New Roman" w:eastAsia="宋体"/>
          <w:b/>
          <w:bCs/>
          <w:sz w:val="44"/>
          <w:szCs w:val="44"/>
          <w:highlight w:val="none"/>
        </w:rPr>
        <w:t>章</w:t>
      </w:r>
      <w:r>
        <w:rPr>
          <w:rFonts w:hint="eastAsia" w:ascii="Times New Roman" w:hAnsi="Times New Roman" w:eastAsia="宋体"/>
          <w:b/>
          <w:bCs/>
          <w:sz w:val="44"/>
          <w:szCs w:val="44"/>
          <w:highlight w:val="none"/>
          <w:lang w:val="en-US" w:eastAsia="zh-CN"/>
        </w:rPr>
        <w:t xml:space="preserve">  </w:t>
      </w:r>
      <w:r>
        <w:rPr>
          <w:rFonts w:hint="eastAsia" w:ascii="Times New Roman" w:hAnsi="Times New Roman" w:eastAsia="宋体"/>
          <w:b/>
          <w:bCs/>
          <w:sz w:val="44"/>
          <w:szCs w:val="44"/>
          <w:highlight w:val="none"/>
        </w:rPr>
        <w:t>合同格式</w:t>
      </w:r>
      <w:bookmarkEnd w:id="438"/>
    </w:p>
    <w:p w14:paraId="4E35C4DD">
      <w:pPr>
        <w:snapToGrid w:val="0"/>
        <w:spacing w:line="360" w:lineRule="auto"/>
        <w:jc w:val="center"/>
        <w:outlineLvl w:val="0"/>
        <w:rPr>
          <w:rFonts w:hint="eastAsia" w:ascii="Times New Roman" w:hAnsi="Times New Roman" w:eastAsia="宋体"/>
          <w:b/>
          <w:bCs/>
          <w:sz w:val="44"/>
          <w:szCs w:val="44"/>
          <w:highlight w:val="none"/>
        </w:rPr>
      </w:pPr>
    </w:p>
    <w:p w14:paraId="3679D241">
      <w:pPr>
        <w:snapToGrid w:val="0"/>
        <w:spacing w:line="360" w:lineRule="auto"/>
        <w:jc w:val="left"/>
        <w:outlineLvl w:val="0"/>
        <w:rPr>
          <w:rFonts w:hint="eastAsia" w:ascii="宋体" w:hAnsi="宋体" w:eastAsia="宋体" w:cs="宋体"/>
          <w:b/>
          <w:bCs/>
          <w:szCs w:val="21"/>
          <w:highlight w:val="none"/>
          <w:lang w:eastAsia="zh-CN"/>
        </w:rPr>
      </w:pPr>
      <w:bookmarkStart w:id="439" w:name="_Toc18417"/>
      <w:r>
        <w:rPr>
          <w:rFonts w:hint="eastAsia" w:ascii="宋体" w:hAnsi="宋体" w:eastAsia="宋体"/>
          <w:szCs w:val="21"/>
          <w:highlight w:val="none"/>
        </w:rPr>
        <w:t>注：本阶段不提供合同格式，合同签订须符合本项目采购文件规定的内容及不违背各方认可的文件内容前提下，由合同当事人根据中国银行间市场交易商协会颁发的承销协议范本（有新的范本，则按最新范本）协商修订，最终以甲、乙双方签订的合同为准。合同封面也可按甲乙双方意愿，自行编制修</w:t>
      </w:r>
      <w:bookmarkEnd w:id="439"/>
      <w:r>
        <w:rPr>
          <w:rFonts w:hint="eastAsia" w:ascii="宋体" w:hAnsi="宋体" w:eastAsia="宋体"/>
          <w:szCs w:val="21"/>
          <w:highlight w:val="none"/>
          <w:lang w:eastAsia="zh-CN"/>
        </w:rPr>
        <w:t>。</w:t>
      </w:r>
    </w:p>
    <w:p w14:paraId="7C872114">
      <w:pPr>
        <w:rPr>
          <w:highlight w:val="none"/>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28CF6">
    <w:pPr>
      <w:pStyle w:val="21"/>
      <w:framePr w:wrap="around" w:vAnchor="text" w:hAnchor="margin" w:xAlign="center" w:y="1"/>
      <w:rPr>
        <w:rStyle w:val="34"/>
      </w:rPr>
    </w:pPr>
    <w:r>
      <w:fldChar w:fldCharType="begin"/>
    </w:r>
    <w:r>
      <w:rPr>
        <w:rStyle w:val="34"/>
      </w:rPr>
      <w:instrText xml:space="preserve">PAGE  </w:instrText>
    </w:r>
    <w:r>
      <w:fldChar w:fldCharType="separate"/>
    </w:r>
    <w:r>
      <w:rPr>
        <w:rStyle w:val="34"/>
      </w:rPr>
      <w:t>2</w:t>
    </w:r>
    <w:r>
      <w:fldChar w:fldCharType="end"/>
    </w:r>
  </w:p>
  <w:p w14:paraId="0A4D53F6">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16C3">
    <w:pPr>
      <w:pStyle w:val="21"/>
      <w:ind w:firstLine="2070" w:firstLineChars="11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160D56">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pi6iTIAQAAngMAAA4AAAAAAAAAAQAgAAAAHgEAAGRycy9lMm9Eb2Mu&#10;eG1sUEsFBgAAAAAGAAYAWQEAAFgFAAAAAA==&#10;">
              <v:fill on="f" focussize="0,0"/>
              <v:stroke on="f"/>
              <v:imagedata o:title=""/>
              <o:lock v:ext="edit" aspectratio="f"/>
              <v:textbox inset="0mm,0mm,0mm,0mm" style="mso-fit-shape-to-text:t;">
                <w:txbxContent>
                  <w:p w14:paraId="3C160D56">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9AE6">
    <w:pPr>
      <w:pStyle w:val="21"/>
      <w:ind w:firstLine="2430" w:firstLineChars="13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29B23E">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4tz9fIAQAAngMAAA4AAAAAAAAAAQAgAAAAHgEAAGRycy9lMm9Eb2Mu&#10;eG1sUEsFBgAAAAAGAAYAWQEAAFgFAAAAAA==&#10;">
              <v:fill on="f" focussize="0,0"/>
              <v:stroke on="f"/>
              <v:imagedata o:title=""/>
              <o:lock v:ext="edit" aspectratio="f"/>
              <v:textbox inset="0mm,0mm,0mm,0mm" style="mso-fit-shape-to-text:t;">
                <w:txbxContent>
                  <w:p w14:paraId="4D29B23E">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BC56">
    <w:pPr>
      <w:pStyle w:val="22"/>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FE48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7D2A">
    <w:pPr>
      <w:pStyle w:val="22"/>
      <w:jc w:val="left"/>
    </w:pPr>
    <w:r>
      <w:rPr>
        <w:rFonts w:ascii="宋体" w:hAnsi="宋体" w:cs="宋体"/>
        <w:sz w:val="24"/>
      </w:rPr>
      <w:drawing>
        <wp:inline distT="0" distB="0" distL="114300" distR="114300">
          <wp:extent cx="457835" cy="411480"/>
          <wp:effectExtent l="0" t="0" r="12065" b="7620"/>
          <wp:docPr id="9" name="图片 2"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hint="eastAsia" w:ascii="宋体" w:hAnsi="宋体" w:cs="宋体"/>
      </w:rPr>
      <w:t>广东中采招标有限公司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6B33">
    <w:pPr>
      <w:pStyle w:val="22"/>
      <w:jc w:val="left"/>
    </w:pPr>
    <w:r>
      <w:rPr>
        <w:rFonts w:ascii="宋体" w:hAnsi="宋体" w:cs="宋体"/>
        <w:sz w:val="24"/>
      </w:rPr>
      <w:drawing>
        <wp:inline distT="0" distB="0" distL="114300" distR="114300">
          <wp:extent cx="457835" cy="411480"/>
          <wp:effectExtent l="0" t="0" r="12065" b="7620"/>
          <wp:docPr id="10" name="图片 4"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hint="eastAsia" w:ascii="宋体" w:hAnsi="宋体" w:cs="宋体"/>
      </w:rPr>
      <w:t>广东中采招标有限公司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B1783"/>
    <w:multiLevelType w:val="singleLevel"/>
    <w:tmpl w:val="A96B1783"/>
    <w:lvl w:ilvl="0" w:tentative="0">
      <w:start w:val="1"/>
      <w:numFmt w:val="decimal"/>
      <w:suff w:val="nothing"/>
      <w:lvlText w:val="%1、"/>
      <w:lvlJc w:val="left"/>
      <w:pPr>
        <w:ind w:left="0" w:firstLine="420"/>
      </w:pPr>
      <w:rPr>
        <w:rFonts w:hint="default"/>
      </w:rPr>
    </w:lvl>
  </w:abstractNum>
  <w:abstractNum w:abstractNumId="1">
    <w:nsid w:val="AA4F9C9F"/>
    <w:multiLevelType w:val="singleLevel"/>
    <w:tmpl w:val="AA4F9C9F"/>
    <w:lvl w:ilvl="0" w:tentative="0">
      <w:start w:val="1"/>
      <w:numFmt w:val="decimal"/>
      <w:suff w:val="nothing"/>
      <w:lvlText w:val="%1．"/>
      <w:lvlJc w:val="left"/>
      <w:pPr>
        <w:ind w:left="0" w:firstLine="400"/>
      </w:pPr>
      <w:rPr>
        <w:rFonts w:hint="default"/>
      </w:rPr>
    </w:lvl>
  </w:abstractNum>
  <w:abstractNum w:abstractNumId="2">
    <w:nsid w:val="B3752756"/>
    <w:multiLevelType w:val="singleLevel"/>
    <w:tmpl w:val="B3752756"/>
    <w:lvl w:ilvl="0" w:tentative="0">
      <w:start w:val="1"/>
      <w:numFmt w:val="decimal"/>
      <w:lvlText w:val="%1."/>
      <w:lvlJc w:val="left"/>
      <w:pPr>
        <w:ind w:left="425" w:hanging="425"/>
      </w:pPr>
      <w:rPr>
        <w:rFonts w:hint="default"/>
      </w:rPr>
    </w:lvl>
  </w:abstractNum>
  <w:abstractNum w:abstractNumId="3">
    <w:nsid w:val="C1A7B9BE"/>
    <w:multiLevelType w:val="singleLevel"/>
    <w:tmpl w:val="C1A7B9BE"/>
    <w:lvl w:ilvl="0" w:tentative="0">
      <w:start w:val="1"/>
      <w:numFmt w:val="chineseCounting"/>
      <w:suff w:val="nothing"/>
      <w:lvlText w:val="%1、"/>
      <w:lvlJc w:val="left"/>
      <w:pPr>
        <w:ind w:left="0" w:firstLine="420"/>
      </w:pPr>
      <w:rPr>
        <w:rFonts w:hint="eastAsia"/>
      </w:rPr>
    </w:lvl>
  </w:abstractNum>
  <w:abstractNum w:abstractNumId="4">
    <w:nsid w:val="D4FEAAD4"/>
    <w:multiLevelType w:val="singleLevel"/>
    <w:tmpl w:val="D4FEAAD4"/>
    <w:lvl w:ilvl="0" w:tentative="0">
      <w:start w:val="1"/>
      <w:numFmt w:val="decimal"/>
      <w:lvlText w:val="%1)"/>
      <w:lvlJc w:val="left"/>
      <w:pPr>
        <w:ind w:left="425" w:hanging="425"/>
      </w:pPr>
      <w:rPr>
        <w:rFonts w:hint="default"/>
      </w:rPr>
    </w:lvl>
  </w:abstractNum>
  <w:abstractNum w:abstractNumId="5">
    <w:nsid w:val="D54E4E72"/>
    <w:multiLevelType w:val="singleLevel"/>
    <w:tmpl w:val="D54E4E72"/>
    <w:lvl w:ilvl="0" w:tentative="0">
      <w:start w:val="1"/>
      <w:numFmt w:val="decimal"/>
      <w:suff w:val="nothing"/>
      <w:lvlText w:val="%1、"/>
      <w:lvlJc w:val="left"/>
      <w:pPr>
        <w:ind w:left="0" w:firstLine="420"/>
      </w:pPr>
      <w:rPr>
        <w:rFonts w:hint="default"/>
      </w:rPr>
    </w:lvl>
  </w:abstractNum>
  <w:abstractNum w:abstractNumId="6">
    <w:nsid w:val="D96723FC"/>
    <w:multiLevelType w:val="singleLevel"/>
    <w:tmpl w:val="D96723FC"/>
    <w:lvl w:ilvl="0" w:tentative="0">
      <w:start w:val="1"/>
      <w:numFmt w:val="decimal"/>
      <w:lvlText w:val="%1."/>
      <w:lvlJc w:val="left"/>
      <w:pPr>
        <w:ind w:left="425" w:hanging="425"/>
      </w:pPr>
      <w:rPr>
        <w:rFonts w:hint="default"/>
      </w:rPr>
    </w:lvl>
  </w:abstractNum>
  <w:abstractNum w:abstractNumId="7">
    <w:nsid w:val="DDEDDFF6"/>
    <w:multiLevelType w:val="singleLevel"/>
    <w:tmpl w:val="DDEDDFF6"/>
    <w:lvl w:ilvl="0" w:tentative="0">
      <w:start w:val="1"/>
      <w:numFmt w:val="decimal"/>
      <w:lvlText w:val="%1."/>
      <w:lvlJc w:val="left"/>
      <w:pPr>
        <w:ind w:left="425" w:hanging="425"/>
      </w:pPr>
      <w:rPr>
        <w:rFonts w:hint="default"/>
      </w:rPr>
    </w:lvl>
  </w:abstractNum>
  <w:abstractNum w:abstractNumId="8">
    <w:nsid w:val="E2802687"/>
    <w:multiLevelType w:val="singleLevel"/>
    <w:tmpl w:val="E2802687"/>
    <w:lvl w:ilvl="0" w:tentative="0">
      <w:start w:val="1"/>
      <w:numFmt w:val="decimal"/>
      <w:lvlText w:val="%1)"/>
      <w:lvlJc w:val="left"/>
      <w:pPr>
        <w:ind w:left="425" w:hanging="425"/>
      </w:pPr>
      <w:rPr>
        <w:rFonts w:hint="default"/>
      </w:rPr>
    </w:lvl>
  </w:abstractNum>
  <w:abstractNum w:abstractNumId="9">
    <w:nsid w:val="E3C7D8F3"/>
    <w:multiLevelType w:val="singleLevel"/>
    <w:tmpl w:val="E3C7D8F3"/>
    <w:lvl w:ilvl="0" w:tentative="0">
      <w:start w:val="1"/>
      <w:numFmt w:val="decimal"/>
      <w:lvlText w:val="%1."/>
      <w:lvlJc w:val="left"/>
      <w:pPr>
        <w:ind w:left="425" w:hanging="425"/>
      </w:pPr>
      <w:rPr>
        <w:rFonts w:hint="default"/>
      </w:rPr>
    </w:lvl>
  </w:abstractNum>
  <w:abstractNum w:abstractNumId="10">
    <w:nsid w:val="ED19BBD8"/>
    <w:multiLevelType w:val="singleLevel"/>
    <w:tmpl w:val="ED19BBD8"/>
    <w:lvl w:ilvl="0" w:tentative="0">
      <w:start w:val="1"/>
      <w:numFmt w:val="decimal"/>
      <w:lvlText w:val="(%1)"/>
      <w:lvlJc w:val="left"/>
      <w:pPr>
        <w:ind w:left="425" w:hanging="425"/>
      </w:pPr>
      <w:rPr>
        <w:rFonts w:hint="default"/>
      </w:rPr>
    </w:lvl>
  </w:abstractNum>
  <w:abstractNum w:abstractNumId="11">
    <w:nsid w:val="EE4E6D0E"/>
    <w:multiLevelType w:val="singleLevel"/>
    <w:tmpl w:val="EE4E6D0E"/>
    <w:lvl w:ilvl="0" w:tentative="0">
      <w:start w:val="1"/>
      <w:numFmt w:val="decimal"/>
      <w:lvlText w:val="%1."/>
      <w:lvlJc w:val="left"/>
      <w:pPr>
        <w:ind w:left="425" w:hanging="425"/>
      </w:pPr>
      <w:rPr>
        <w:rFonts w:hint="default"/>
      </w:rPr>
    </w:lvl>
  </w:abstractNum>
  <w:abstractNum w:abstractNumId="12">
    <w:nsid w:val="FE5E011F"/>
    <w:multiLevelType w:val="multilevel"/>
    <w:tmpl w:val="FE5E011F"/>
    <w:lvl w:ilvl="0" w:tentative="0">
      <w:start w:val="1"/>
      <w:numFmt w:val="decimal"/>
      <w:lvlText w:val="%1"/>
      <w:lvlJc w:val="center"/>
      <w:pPr>
        <w:tabs>
          <w:tab w:val="left" w:pos="142"/>
        </w:tabs>
        <w:ind w:left="-38"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5"/>
    <w:multiLevelType w:val="multilevel"/>
    <w:tmpl w:val="000000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D"/>
    <w:multiLevelType w:val="multilevel"/>
    <w:tmpl w:val="0000000D"/>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dstrike w:val="0"/>
        <w:color w:val="auto"/>
      </w:rPr>
    </w:lvl>
    <w:lvl w:ilvl="2" w:tentative="0">
      <w:start w:val="1"/>
      <w:numFmt w:val="decimal"/>
      <w:lvlText w:val="%1.%2.%3."/>
      <w:lvlJc w:val="left"/>
      <w:pPr>
        <w:tabs>
          <w:tab w:val="left" w:pos="1135"/>
        </w:tabs>
        <w:ind w:left="1135" w:hanging="567"/>
      </w:pPr>
      <w:rPr>
        <w:rFonts w:hint="eastAsia" w:ascii="宋体" w:hAnsi="宋体" w:eastAsia="宋体"/>
        <w:color w:val="000000"/>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444AE36"/>
    <w:multiLevelType w:val="singleLevel"/>
    <w:tmpl w:val="0444AE36"/>
    <w:lvl w:ilvl="0" w:tentative="0">
      <w:start w:val="1"/>
      <w:numFmt w:val="decimal"/>
      <w:lvlText w:val="(%1)"/>
      <w:lvlJc w:val="left"/>
      <w:pPr>
        <w:ind w:left="425" w:hanging="425"/>
      </w:pPr>
      <w:rPr>
        <w:rFonts w:hint="default"/>
      </w:rPr>
    </w:lvl>
  </w:abstractNum>
  <w:abstractNum w:abstractNumId="16">
    <w:nsid w:val="08FD8F75"/>
    <w:multiLevelType w:val="singleLevel"/>
    <w:tmpl w:val="08FD8F75"/>
    <w:lvl w:ilvl="0" w:tentative="0">
      <w:start w:val="1"/>
      <w:numFmt w:val="decimal"/>
      <w:lvlText w:val="%1)"/>
      <w:lvlJc w:val="left"/>
      <w:pPr>
        <w:ind w:left="425" w:hanging="425"/>
      </w:pPr>
      <w:rPr>
        <w:rFonts w:hint="default"/>
      </w:rPr>
    </w:lvl>
  </w:abstractNum>
  <w:abstractNum w:abstractNumId="17">
    <w:nsid w:val="0D6638A3"/>
    <w:multiLevelType w:val="singleLevel"/>
    <w:tmpl w:val="0D6638A3"/>
    <w:lvl w:ilvl="0" w:tentative="0">
      <w:start w:val="1"/>
      <w:numFmt w:val="bullet"/>
      <w:pStyle w:val="53"/>
      <w:lvlText w:val=""/>
      <w:lvlJc w:val="left"/>
      <w:pPr>
        <w:tabs>
          <w:tab w:val="left" w:pos="425"/>
        </w:tabs>
        <w:ind w:left="425" w:hanging="425"/>
      </w:pPr>
      <w:rPr>
        <w:rFonts w:hint="default" w:ascii="Symbol" w:hAnsi="Symbol"/>
      </w:rPr>
    </w:lvl>
  </w:abstractNum>
  <w:abstractNum w:abstractNumId="18">
    <w:nsid w:val="0E2FDA73"/>
    <w:multiLevelType w:val="multilevel"/>
    <w:tmpl w:val="0E2FDA7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EE21A4A"/>
    <w:multiLevelType w:val="multilevel"/>
    <w:tmpl w:val="0EE21A4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3C34E09"/>
    <w:multiLevelType w:val="multilevel"/>
    <w:tmpl w:val="13C34E09"/>
    <w:lvl w:ilvl="0" w:tentative="0">
      <w:start w:val="1"/>
      <w:numFmt w:val="decimal"/>
      <w:lvlText w:val="%1"/>
      <w:lvlJc w:val="center"/>
      <w:pPr>
        <w:tabs>
          <w:tab w:val="left" w:pos="142"/>
        </w:tabs>
        <w:ind w:left="-38"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1FA29569"/>
    <w:multiLevelType w:val="singleLevel"/>
    <w:tmpl w:val="1FA29569"/>
    <w:lvl w:ilvl="0" w:tentative="0">
      <w:start w:val="1"/>
      <w:numFmt w:val="decimal"/>
      <w:lvlText w:val="%1)"/>
      <w:lvlJc w:val="left"/>
      <w:pPr>
        <w:ind w:left="425" w:hanging="425"/>
      </w:pPr>
      <w:rPr>
        <w:rFonts w:hint="default"/>
      </w:rPr>
    </w:lvl>
  </w:abstractNum>
  <w:abstractNum w:abstractNumId="22">
    <w:nsid w:val="22166D4D"/>
    <w:multiLevelType w:val="multilevel"/>
    <w:tmpl w:val="22166D4D"/>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4A61ACD"/>
    <w:multiLevelType w:val="multilevel"/>
    <w:tmpl w:val="24A61AC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C583E99"/>
    <w:multiLevelType w:val="singleLevel"/>
    <w:tmpl w:val="2C583E99"/>
    <w:lvl w:ilvl="0" w:tentative="0">
      <w:start w:val="1"/>
      <w:numFmt w:val="chineseCounting"/>
      <w:suff w:val="nothing"/>
      <w:lvlText w:val="%1、"/>
      <w:lvlJc w:val="left"/>
      <w:pPr>
        <w:ind w:left="0" w:firstLine="420"/>
      </w:pPr>
      <w:rPr>
        <w:rFonts w:hint="eastAsia"/>
        <w:b/>
        <w:bCs/>
      </w:rPr>
    </w:lvl>
  </w:abstractNum>
  <w:abstractNum w:abstractNumId="26">
    <w:nsid w:val="39287919"/>
    <w:multiLevelType w:val="multilevel"/>
    <w:tmpl w:val="3928791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3A8C4C78"/>
    <w:multiLevelType w:val="multilevel"/>
    <w:tmpl w:val="3A8C4C78"/>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8">
    <w:nsid w:val="42CB4F14"/>
    <w:multiLevelType w:val="singleLevel"/>
    <w:tmpl w:val="42CB4F14"/>
    <w:lvl w:ilvl="0" w:tentative="0">
      <w:start w:val="1"/>
      <w:numFmt w:val="decimal"/>
      <w:lvlText w:val="%1"/>
      <w:lvlJc w:val="left"/>
      <w:pPr>
        <w:tabs>
          <w:tab w:val="left" w:pos="420"/>
        </w:tabs>
        <w:ind w:left="425" w:hanging="425"/>
      </w:pPr>
      <w:rPr>
        <w:rFonts w:hint="default"/>
      </w:rPr>
    </w:lvl>
  </w:abstractNum>
  <w:abstractNum w:abstractNumId="29">
    <w:nsid w:val="42D11E4A"/>
    <w:multiLevelType w:val="multilevel"/>
    <w:tmpl w:val="42D11E4A"/>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5B4CEB2"/>
    <w:multiLevelType w:val="singleLevel"/>
    <w:tmpl w:val="45B4CEB2"/>
    <w:lvl w:ilvl="0" w:tentative="0">
      <w:start w:val="1"/>
      <w:numFmt w:val="decimal"/>
      <w:lvlText w:val="%1)"/>
      <w:lvlJc w:val="left"/>
      <w:pPr>
        <w:ind w:left="425" w:hanging="425"/>
      </w:pPr>
      <w:rPr>
        <w:rFonts w:hint="default"/>
      </w:rPr>
    </w:lvl>
  </w:abstractNum>
  <w:abstractNum w:abstractNumId="31">
    <w:nsid w:val="46921934"/>
    <w:multiLevelType w:val="singleLevel"/>
    <w:tmpl w:val="46921934"/>
    <w:lvl w:ilvl="0" w:tentative="0">
      <w:start w:val="1"/>
      <w:numFmt w:val="decimal"/>
      <w:lvlText w:val="(%1)"/>
      <w:lvlJc w:val="left"/>
      <w:pPr>
        <w:ind w:left="425" w:hanging="425"/>
      </w:pPr>
      <w:rPr>
        <w:rFonts w:hint="default"/>
      </w:rPr>
    </w:lvl>
  </w:abstractNum>
  <w:abstractNum w:abstractNumId="32">
    <w:nsid w:val="48293B8C"/>
    <w:multiLevelType w:val="singleLevel"/>
    <w:tmpl w:val="48293B8C"/>
    <w:lvl w:ilvl="0" w:tentative="0">
      <w:start w:val="1"/>
      <w:numFmt w:val="decimal"/>
      <w:lvlText w:val="%1."/>
      <w:lvlJc w:val="left"/>
      <w:pPr>
        <w:ind w:left="425" w:hanging="425"/>
      </w:pPr>
      <w:rPr>
        <w:rFonts w:hint="default" w:ascii="宋体" w:hAnsi="宋体" w:eastAsia="宋体" w:cs="宋体"/>
      </w:rPr>
    </w:lvl>
  </w:abstractNum>
  <w:abstractNum w:abstractNumId="33">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4">
    <w:nsid w:val="5246CA24"/>
    <w:multiLevelType w:val="singleLevel"/>
    <w:tmpl w:val="5246CA24"/>
    <w:lvl w:ilvl="0" w:tentative="0">
      <w:start w:val="1"/>
      <w:numFmt w:val="decimal"/>
      <w:lvlText w:val="(%1)"/>
      <w:lvlJc w:val="left"/>
      <w:pPr>
        <w:ind w:left="425" w:hanging="425"/>
      </w:pPr>
      <w:rPr>
        <w:rFonts w:hint="default"/>
      </w:rPr>
    </w:lvl>
  </w:abstractNum>
  <w:abstractNum w:abstractNumId="35">
    <w:nsid w:val="52F42418"/>
    <w:multiLevelType w:val="multilevel"/>
    <w:tmpl w:val="52F42418"/>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548A7D6A"/>
    <w:multiLevelType w:val="singleLevel"/>
    <w:tmpl w:val="548A7D6A"/>
    <w:lvl w:ilvl="0" w:tentative="0">
      <w:start w:val="1"/>
      <w:numFmt w:val="decimal"/>
      <w:suff w:val="nothing"/>
      <w:lvlText w:val="%1、"/>
      <w:lvlJc w:val="left"/>
      <w:pPr>
        <w:ind w:left="0" w:firstLine="420"/>
      </w:pPr>
      <w:rPr>
        <w:rFonts w:hint="default"/>
      </w:rPr>
    </w:lvl>
  </w:abstractNum>
  <w:abstractNum w:abstractNumId="37">
    <w:nsid w:val="5631A12C"/>
    <w:multiLevelType w:val="singleLevel"/>
    <w:tmpl w:val="5631A12C"/>
    <w:lvl w:ilvl="0" w:tentative="0">
      <w:start w:val="1"/>
      <w:numFmt w:val="chineseCounting"/>
      <w:suff w:val="nothing"/>
      <w:lvlText w:val="%1、"/>
      <w:lvlJc w:val="left"/>
      <w:pPr>
        <w:ind w:left="0" w:firstLine="420"/>
      </w:pPr>
      <w:rPr>
        <w:rFonts w:hint="eastAsia"/>
      </w:rPr>
    </w:lvl>
  </w:abstractNum>
  <w:abstractNum w:abstractNumId="38">
    <w:nsid w:val="59170E7C"/>
    <w:multiLevelType w:val="multilevel"/>
    <w:tmpl w:val="59170E7C"/>
    <w:lvl w:ilvl="0" w:tentative="0">
      <w:start w:val="1"/>
      <w:numFmt w:val="chineseCountingThousand"/>
      <w:lvlText w:val="%1、"/>
      <w:lvlJc w:val="left"/>
      <w:pPr>
        <w:ind w:left="861" w:hanging="420"/>
      </w:pPr>
    </w:lvl>
    <w:lvl w:ilvl="1" w:tentative="0">
      <w:start w:val="1"/>
      <w:numFmt w:val="lowerLetter"/>
      <w:lvlText w:val="%2)"/>
      <w:lvlJc w:val="left"/>
      <w:pPr>
        <w:ind w:left="1281" w:hanging="420"/>
      </w:pPr>
    </w:lvl>
    <w:lvl w:ilvl="2" w:tentative="0">
      <w:start w:val="1"/>
      <w:numFmt w:val="lowerRoman"/>
      <w:lvlText w:val="%3."/>
      <w:lvlJc w:val="right"/>
      <w:pPr>
        <w:ind w:left="1701" w:hanging="420"/>
      </w:pPr>
    </w:lvl>
    <w:lvl w:ilvl="3" w:tentative="0">
      <w:start w:val="1"/>
      <w:numFmt w:val="decimal"/>
      <w:lvlText w:val="%4."/>
      <w:lvlJc w:val="left"/>
      <w:pPr>
        <w:ind w:left="2121" w:hanging="420"/>
      </w:pPr>
    </w:lvl>
    <w:lvl w:ilvl="4" w:tentative="0">
      <w:start w:val="1"/>
      <w:numFmt w:val="lowerLetter"/>
      <w:lvlText w:val="%5)"/>
      <w:lvlJc w:val="left"/>
      <w:pPr>
        <w:ind w:left="2541" w:hanging="420"/>
      </w:pPr>
    </w:lvl>
    <w:lvl w:ilvl="5" w:tentative="0">
      <w:start w:val="1"/>
      <w:numFmt w:val="lowerRoman"/>
      <w:lvlText w:val="%6."/>
      <w:lvlJc w:val="right"/>
      <w:pPr>
        <w:ind w:left="2961" w:hanging="420"/>
      </w:pPr>
    </w:lvl>
    <w:lvl w:ilvl="6" w:tentative="0">
      <w:start w:val="1"/>
      <w:numFmt w:val="decimal"/>
      <w:lvlText w:val="%7."/>
      <w:lvlJc w:val="left"/>
      <w:pPr>
        <w:ind w:left="3381" w:hanging="420"/>
      </w:pPr>
    </w:lvl>
    <w:lvl w:ilvl="7" w:tentative="0">
      <w:start w:val="1"/>
      <w:numFmt w:val="lowerLetter"/>
      <w:lvlText w:val="%8)"/>
      <w:lvlJc w:val="left"/>
      <w:pPr>
        <w:ind w:left="3801" w:hanging="420"/>
      </w:pPr>
    </w:lvl>
    <w:lvl w:ilvl="8" w:tentative="0">
      <w:start w:val="1"/>
      <w:numFmt w:val="lowerRoman"/>
      <w:lvlText w:val="%9."/>
      <w:lvlJc w:val="right"/>
      <w:pPr>
        <w:ind w:left="4221" w:hanging="420"/>
      </w:pPr>
    </w:lvl>
  </w:abstractNum>
  <w:abstractNum w:abstractNumId="39">
    <w:nsid w:val="59B54A3C"/>
    <w:multiLevelType w:val="singleLevel"/>
    <w:tmpl w:val="59B54A3C"/>
    <w:lvl w:ilvl="0" w:tentative="0">
      <w:start w:val="1"/>
      <w:numFmt w:val="decimal"/>
      <w:lvlText w:val="%1."/>
      <w:lvlJc w:val="left"/>
      <w:pPr>
        <w:ind w:left="425" w:hanging="425"/>
      </w:pPr>
      <w:rPr>
        <w:rFonts w:hint="default"/>
      </w:rPr>
    </w:lvl>
  </w:abstractNum>
  <w:abstractNum w:abstractNumId="40">
    <w:nsid w:val="5B9A6BA0"/>
    <w:multiLevelType w:val="multilevel"/>
    <w:tmpl w:val="5B9A6BA0"/>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21DEDF1"/>
    <w:multiLevelType w:val="singleLevel"/>
    <w:tmpl w:val="621DEDF1"/>
    <w:lvl w:ilvl="0" w:tentative="0">
      <w:start w:val="1"/>
      <w:numFmt w:val="decimal"/>
      <w:lvlText w:val="%1."/>
      <w:lvlJc w:val="left"/>
      <w:pPr>
        <w:ind w:left="425" w:hanging="425"/>
      </w:pPr>
      <w:rPr>
        <w:rFonts w:hint="default" w:ascii="宋体" w:hAnsi="宋体" w:eastAsia="宋体" w:cs="宋体"/>
      </w:rPr>
    </w:lvl>
  </w:abstractNum>
  <w:abstractNum w:abstractNumId="42">
    <w:nsid w:val="6296C170"/>
    <w:multiLevelType w:val="singleLevel"/>
    <w:tmpl w:val="6296C170"/>
    <w:lvl w:ilvl="0" w:tentative="0">
      <w:start w:val="1"/>
      <w:numFmt w:val="decimal"/>
      <w:lvlText w:val="%1)"/>
      <w:lvlJc w:val="left"/>
      <w:pPr>
        <w:ind w:left="425" w:hanging="425"/>
      </w:pPr>
      <w:rPr>
        <w:rFonts w:hint="default"/>
      </w:rPr>
    </w:lvl>
  </w:abstractNum>
  <w:abstractNum w:abstractNumId="43">
    <w:nsid w:val="64874A3C"/>
    <w:multiLevelType w:val="multilevel"/>
    <w:tmpl w:val="64874A3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68CF2E92"/>
    <w:multiLevelType w:val="singleLevel"/>
    <w:tmpl w:val="68CF2E92"/>
    <w:lvl w:ilvl="0" w:tentative="0">
      <w:start w:val="1"/>
      <w:numFmt w:val="decimal"/>
      <w:lvlText w:val="%1)"/>
      <w:lvlJc w:val="left"/>
      <w:pPr>
        <w:ind w:left="425" w:hanging="425"/>
      </w:pPr>
      <w:rPr>
        <w:rFonts w:hint="default"/>
      </w:rPr>
    </w:lvl>
  </w:abstractNum>
  <w:abstractNum w:abstractNumId="45">
    <w:nsid w:val="69C56FEF"/>
    <w:multiLevelType w:val="multilevel"/>
    <w:tmpl w:val="69C56FE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C079ED1"/>
    <w:multiLevelType w:val="singleLevel"/>
    <w:tmpl w:val="6C079ED1"/>
    <w:lvl w:ilvl="0" w:tentative="0">
      <w:start w:val="1"/>
      <w:numFmt w:val="decimal"/>
      <w:lvlText w:val="%1."/>
      <w:lvlJc w:val="left"/>
      <w:pPr>
        <w:ind w:left="425" w:hanging="425"/>
      </w:pPr>
      <w:rPr>
        <w:rFonts w:hint="default"/>
        <w:b w:val="0"/>
        <w:bCs w:val="0"/>
      </w:rPr>
    </w:lvl>
  </w:abstractNum>
  <w:abstractNum w:abstractNumId="47">
    <w:nsid w:val="7363B04E"/>
    <w:multiLevelType w:val="singleLevel"/>
    <w:tmpl w:val="7363B04E"/>
    <w:lvl w:ilvl="0" w:tentative="0">
      <w:start w:val="1"/>
      <w:numFmt w:val="decimal"/>
      <w:lvlText w:val="%1."/>
      <w:lvlJc w:val="left"/>
      <w:pPr>
        <w:ind w:left="425" w:hanging="425"/>
      </w:pPr>
      <w:rPr>
        <w:rFonts w:hint="default"/>
      </w:rPr>
    </w:lvl>
  </w:abstractNum>
  <w:abstractNum w:abstractNumId="4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37"/>
  </w:num>
  <w:num w:numId="3">
    <w:abstractNumId w:val="7"/>
  </w:num>
  <w:num w:numId="4">
    <w:abstractNumId w:val="35"/>
  </w:num>
  <w:num w:numId="5">
    <w:abstractNumId w:val="32"/>
  </w:num>
  <w:num w:numId="6">
    <w:abstractNumId w:val="41"/>
  </w:num>
  <w:num w:numId="7">
    <w:abstractNumId w:val="40"/>
  </w:num>
  <w:num w:numId="8">
    <w:abstractNumId w:val="22"/>
  </w:num>
  <w:num w:numId="9">
    <w:abstractNumId w:val="18"/>
  </w:num>
  <w:num w:numId="10">
    <w:abstractNumId w:val="3"/>
  </w:num>
  <w:num w:numId="11">
    <w:abstractNumId w:val="1"/>
  </w:num>
  <w:num w:numId="12">
    <w:abstractNumId w:val="11"/>
  </w:num>
  <w:num w:numId="13">
    <w:abstractNumId w:val="15"/>
  </w:num>
  <w:num w:numId="14">
    <w:abstractNumId w:val="8"/>
  </w:num>
  <w:num w:numId="15">
    <w:abstractNumId w:val="4"/>
  </w:num>
  <w:num w:numId="16">
    <w:abstractNumId w:val="21"/>
  </w:num>
  <w:num w:numId="17">
    <w:abstractNumId w:val="42"/>
  </w:num>
  <w:num w:numId="18">
    <w:abstractNumId w:val="31"/>
  </w:num>
  <w:num w:numId="19">
    <w:abstractNumId w:val="16"/>
  </w:num>
  <w:num w:numId="20">
    <w:abstractNumId w:val="30"/>
  </w:num>
  <w:num w:numId="21">
    <w:abstractNumId w:val="10"/>
  </w:num>
  <w:num w:numId="22">
    <w:abstractNumId w:val="25"/>
  </w:num>
  <w:num w:numId="23">
    <w:abstractNumId w:val="47"/>
  </w:num>
  <w:num w:numId="24">
    <w:abstractNumId w:val="6"/>
  </w:num>
  <w:num w:numId="25">
    <w:abstractNumId w:val="46"/>
  </w:num>
  <w:num w:numId="26">
    <w:abstractNumId w:val="26"/>
  </w:num>
  <w:num w:numId="27">
    <w:abstractNumId w:val="24"/>
  </w:num>
  <w:num w:numId="28">
    <w:abstractNumId w:val="28"/>
  </w:num>
  <w:num w:numId="29">
    <w:abstractNumId w:val="36"/>
  </w:num>
  <w:num w:numId="30">
    <w:abstractNumId w:val="0"/>
  </w:num>
  <w:num w:numId="31">
    <w:abstractNumId w:val="5"/>
  </w:num>
  <w:num w:numId="32">
    <w:abstractNumId w:val="29"/>
  </w:num>
  <w:num w:numId="33">
    <w:abstractNumId w:val="13"/>
  </w:num>
  <w:num w:numId="34">
    <w:abstractNumId w:val="14"/>
  </w:num>
  <w:num w:numId="35">
    <w:abstractNumId w:val="19"/>
  </w:num>
  <w:num w:numId="36">
    <w:abstractNumId w:val="43"/>
  </w:num>
  <w:num w:numId="37">
    <w:abstractNumId w:val="27"/>
  </w:num>
  <w:num w:numId="38">
    <w:abstractNumId w:val="48"/>
  </w:num>
  <w:num w:numId="39">
    <w:abstractNumId w:val="38"/>
  </w:num>
  <w:num w:numId="40">
    <w:abstractNumId w:val="9"/>
  </w:num>
  <w:num w:numId="41">
    <w:abstractNumId w:val="2"/>
  </w:num>
  <w:num w:numId="42">
    <w:abstractNumId w:val="12"/>
  </w:num>
  <w:num w:numId="43">
    <w:abstractNumId w:val="39"/>
  </w:num>
  <w:num w:numId="44">
    <w:abstractNumId w:val="33"/>
  </w:num>
  <w:num w:numId="45">
    <w:abstractNumId w:val="20"/>
  </w:num>
  <w:num w:numId="46">
    <w:abstractNumId w:val="45"/>
  </w:num>
  <w:num w:numId="47">
    <w:abstractNumId w:val="34"/>
  </w:num>
  <w:num w:numId="48">
    <w:abstractNumId w:val="4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jNmZjNDQxMDY4MjIyOWI0MjZkNTE1ZGExNjAyMjMifQ=="/>
  </w:docVars>
  <w:rsids>
    <w:rsidRoot w:val="00172A27"/>
    <w:rsid w:val="00085D63"/>
    <w:rsid w:val="000F69D5"/>
    <w:rsid w:val="00170222"/>
    <w:rsid w:val="00172A27"/>
    <w:rsid w:val="001B27DF"/>
    <w:rsid w:val="001C12ED"/>
    <w:rsid w:val="001C6ED5"/>
    <w:rsid w:val="00202246"/>
    <w:rsid w:val="002C58D9"/>
    <w:rsid w:val="002F3B89"/>
    <w:rsid w:val="00325734"/>
    <w:rsid w:val="00335C66"/>
    <w:rsid w:val="00347F8C"/>
    <w:rsid w:val="0037433E"/>
    <w:rsid w:val="003A02DE"/>
    <w:rsid w:val="004542EA"/>
    <w:rsid w:val="00461152"/>
    <w:rsid w:val="004665B9"/>
    <w:rsid w:val="00480268"/>
    <w:rsid w:val="00495C36"/>
    <w:rsid w:val="004C0C88"/>
    <w:rsid w:val="004D4B78"/>
    <w:rsid w:val="0050758A"/>
    <w:rsid w:val="005357C3"/>
    <w:rsid w:val="00594D0F"/>
    <w:rsid w:val="00595451"/>
    <w:rsid w:val="00623F3B"/>
    <w:rsid w:val="00663377"/>
    <w:rsid w:val="00666301"/>
    <w:rsid w:val="006E75CC"/>
    <w:rsid w:val="007C0184"/>
    <w:rsid w:val="007D3E03"/>
    <w:rsid w:val="007D57E7"/>
    <w:rsid w:val="00801411"/>
    <w:rsid w:val="008024E9"/>
    <w:rsid w:val="00865EB1"/>
    <w:rsid w:val="008760ED"/>
    <w:rsid w:val="008B66BE"/>
    <w:rsid w:val="008D16FB"/>
    <w:rsid w:val="00911091"/>
    <w:rsid w:val="00935B9E"/>
    <w:rsid w:val="00954D0A"/>
    <w:rsid w:val="009B0700"/>
    <w:rsid w:val="009B71A8"/>
    <w:rsid w:val="00A62A6D"/>
    <w:rsid w:val="00A67D40"/>
    <w:rsid w:val="00A8204E"/>
    <w:rsid w:val="00B024E2"/>
    <w:rsid w:val="00B76777"/>
    <w:rsid w:val="00BA20B6"/>
    <w:rsid w:val="00BA7578"/>
    <w:rsid w:val="00BD6D63"/>
    <w:rsid w:val="00C8144B"/>
    <w:rsid w:val="00C91792"/>
    <w:rsid w:val="00CC65F9"/>
    <w:rsid w:val="00CF54A1"/>
    <w:rsid w:val="00D02DE5"/>
    <w:rsid w:val="00DA74AC"/>
    <w:rsid w:val="00DB4206"/>
    <w:rsid w:val="00DE7D47"/>
    <w:rsid w:val="00DF3DC5"/>
    <w:rsid w:val="00E072D1"/>
    <w:rsid w:val="00E718D3"/>
    <w:rsid w:val="00ED4569"/>
    <w:rsid w:val="00EE1683"/>
    <w:rsid w:val="00F013C7"/>
    <w:rsid w:val="00F8236B"/>
    <w:rsid w:val="00FB4A2E"/>
    <w:rsid w:val="00FD3B98"/>
    <w:rsid w:val="010749DF"/>
    <w:rsid w:val="01591CFE"/>
    <w:rsid w:val="0160663A"/>
    <w:rsid w:val="01725B2E"/>
    <w:rsid w:val="017602C7"/>
    <w:rsid w:val="0194398C"/>
    <w:rsid w:val="01A045EF"/>
    <w:rsid w:val="01A3355E"/>
    <w:rsid w:val="01A9686D"/>
    <w:rsid w:val="01E26F49"/>
    <w:rsid w:val="023568F2"/>
    <w:rsid w:val="023706A9"/>
    <w:rsid w:val="025A2321"/>
    <w:rsid w:val="0261487E"/>
    <w:rsid w:val="0296155C"/>
    <w:rsid w:val="02BA64AB"/>
    <w:rsid w:val="03352E99"/>
    <w:rsid w:val="0350680E"/>
    <w:rsid w:val="03890630"/>
    <w:rsid w:val="03AB112D"/>
    <w:rsid w:val="03CE574E"/>
    <w:rsid w:val="03E62780"/>
    <w:rsid w:val="03F2675C"/>
    <w:rsid w:val="03F6609D"/>
    <w:rsid w:val="04376C83"/>
    <w:rsid w:val="045F7089"/>
    <w:rsid w:val="04625286"/>
    <w:rsid w:val="047C08C0"/>
    <w:rsid w:val="04BD767E"/>
    <w:rsid w:val="04F32B7C"/>
    <w:rsid w:val="0557328E"/>
    <w:rsid w:val="05FD0E24"/>
    <w:rsid w:val="063D15E3"/>
    <w:rsid w:val="06615C35"/>
    <w:rsid w:val="06654DCC"/>
    <w:rsid w:val="068E5FE8"/>
    <w:rsid w:val="06982C78"/>
    <w:rsid w:val="06BC2494"/>
    <w:rsid w:val="07362038"/>
    <w:rsid w:val="0755200E"/>
    <w:rsid w:val="07622817"/>
    <w:rsid w:val="0765760B"/>
    <w:rsid w:val="07C13314"/>
    <w:rsid w:val="080D4B60"/>
    <w:rsid w:val="08114E67"/>
    <w:rsid w:val="081F329C"/>
    <w:rsid w:val="0846167D"/>
    <w:rsid w:val="085363EE"/>
    <w:rsid w:val="08CD76A1"/>
    <w:rsid w:val="08FD582C"/>
    <w:rsid w:val="092316B6"/>
    <w:rsid w:val="094516AE"/>
    <w:rsid w:val="09486BF7"/>
    <w:rsid w:val="0949325D"/>
    <w:rsid w:val="099A3A3F"/>
    <w:rsid w:val="09A24EE0"/>
    <w:rsid w:val="09A90A8C"/>
    <w:rsid w:val="09B83AA4"/>
    <w:rsid w:val="09B84AE7"/>
    <w:rsid w:val="0A1E49C5"/>
    <w:rsid w:val="0A2D5C34"/>
    <w:rsid w:val="0AAA1108"/>
    <w:rsid w:val="0ABD56F1"/>
    <w:rsid w:val="0AE84B42"/>
    <w:rsid w:val="0AF127C4"/>
    <w:rsid w:val="0B352B6E"/>
    <w:rsid w:val="0B534AF3"/>
    <w:rsid w:val="0B637501"/>
    <w:rsid w:val="0BB52D31"/>
    <w:rsid w:val="0BE5207C"/>
    <w:rsid w:val="0C584CA5"/>
    <w:rsid w:val="0C81710B"/>
    <w:rsid w:val="0C822B4D"/>
    <w:rsid w:val="0C95392B"/>
    <w:rsid w:val="0CD54C8D"/>
    <w:rsid w:val="0CE02DC3"/>
    <w:rsid w:val="0CF235AE"/>
    <w:rsid w:val="0D007984"/>
    <w:rsid w:val="0D1B1185"/>
    <w:rsid w:val="0D2B3020"/>
    <w:rsid w:val="0D776115"/>
    <w:rsid w:val="0DE31AF5"/>
    <w:rsid w:val="0DE50C90"/>
    <w:rsid w:val="0E182857"/>
    <w:rsid w:val="0E190BDD"/>
    <w:rsid w:val="0EAB7151"/>
    <w:rsid w:val="0EC72E4A"/>
    <w:rsid w:val="0EC72EAE"/>
    <w:rsid w:val="0F5D18AC"/>
    <w:rsid w:val="0FCA2843"/>
    <w:rsid w:val="0FE30868"/>
    <w:rsid w:val="101B0461"/>
    <w:rsid w:val="10236A4A"/>
    <w:rsid w:val="108F196E"/>
    <w:rsid w:val="110F7788"/>
    <w:rsid w:val="111F5EAD"/>
    <w:rsid w:val="113737E2"/>
    <w:rsid w:val="115B32BE"/>
    <w:rsid w:val="116C28F7"/>
    <w:rsid w:val="11A70DEB"/>
    <w:rsid w:val="122013C2"/>
    <w:rsid w:val="125F388A"/>
    <w:rsid w:val="126E010B"/>
    <w:rsid w:val="12E8038B"/>
    <w:rsid w:val="132A1844"/>
    <w:rsid w:val="137E7A1F"/>
    <w:rsid w:val="13E64DC9"/>
    <w:rsid w:val="13F30377"/>
    <w:rsid w:val="14396C44"/>
    <w:rsid w:val="143A7282"/>
    <w:rsid w:val="143B48F0"/>
    <w:rsid w:val="143D5D81"/>
    <w:rsid w:val="147204BF"/>
    <w:rsid w:val="1473140E"/>
    <w:rsid w:val="151E215B"/>
    <w:rsid w:val="155169CF"/>
    <w:rsid w:val="15697ADB"/>
    <w:rsid w:val="156E724D"/>
    <w:rsid w:val="15F831F7"/>
    <w:rsid w:val="15FB082B"/>
    <w:rsid w:val="161575D0"/>
    <w:rsid w:val="161A6DC6"/>
    <w:rsid w:val="16505CD8"/>
    <w:rsid w:val="16583D36"/>
    <w:rsid w:val="16607C9A"/>
    <w:rsid w:val="1663200A"/>
    <w:rsid w:val="166B1F23"/>
    <w:rsid w:val="169C7963"/>
    <w:rsid w:val="169D02B4"/>
    <w:rsid w:val="16B60CEC"/>
    <w:rsid w:val="16E669E7"/>
    <w:rsid w:val="1736658C"/>
    <w:rsid w:val="17500CF0"/>
    <w:rsid w:val="176A5E0F"/>
    <w:rsid w:val="176F05D7"/>
    <w:rsid w:val="177133B7"/>
    <w:rsid w:val="17740758"/>
    <w:rsid w:val="17741389"/>
    <w:rsid w:val="178A4DAA"/>
    <w:rsid w:val="17F5755B"/>
    <w:rsid w:val="18131D1F"/>
    <w:rsid w:val="18297CAD"/>
    <w:rsid w:val="182E4043"/>
    <w:rsid w:val="18372DD4"/>
    <w:rsid w:val="183862D3"/>
    <w:rsid w:val="183E792D"/>
    <w:rsid w:val="1853583F"/>
    <w:rsid w:val="188669B0"/>
    <w:rsid w:val="18EA38EB"/>
    <w:rsid w:val="18F4720E"/>
    <w:rsid w:val="195B700E"/>
    <w:rsid w:val="19C902E5"/>
    <w:rsid w:val="19ED134B"/>
    <w:rsid w:val="1A157A64"/>
    <w:rsid w:val="1AC26EA1"/>
    <w:rsid w:val="1AEE57F1"/>
    <w:rsid w:val="1B15400B"/>
    <w:rsid w:val="1B49275F"/>
    <w:rsid w:val="1B511BE3"/>
    <w:rsid w:val="1BA476CB"/>
    <w:rsid w:val="1BED368A"/>
    <w:rsid w:val="1C912932"/>
    <w:rsid w:val="1C983F98"/>
    <w:rsid w:val="1CEC58F2"/>
    <w:rsid w:val="1D403B13"/>
    <w:rsid w:val="1D672CF7"/>
    <w:rsid w:val="1DD122CE"/>
    <w:rsid w:val="1E23203A"/>
    <w:rsid w:val="1E342A76"/>
    <w:rsid w:val="1E374999"/>
    <w:rsid w:val="1E500DAD"/>
    <w:rsid w:val="1E7B3867"/>
    <w:rsid w:val="1EAD5FFB"/>
    <w:rsid w:val="1F004D03"/>
    <w:rsid w:val="1F1C3BAF"/>
    <w:rsid w:val="1F7F6C96"/>
    <w:rsid w:val="1FAA6D29"/>
    <w:rsid w:val="203E68CA"/>
    <w:rsid w:val="207A092D"/>
    <w:rsid w:val="207C1498"/>
    <w:rsid w:val="20F92361"/>
    <w:rsid w:val="21156CED"/>
    <w:rsid w:val="21551BDE"/>
    <w:rsid w:val="215D243E"/>
    <w:rsid w:val="21985156"/>
    <w:rsid w:val="219A700D"/>
    <w:rsid w:val="21C916A0"/>
    <w:rsid w:val="21E43532"/>
    <w:rsid w:val="222C7305"/>
    <w:rsid w:val="2234685F"/>
    <w:rsid w:val="22455A59"/>
    <w:rsid w:val="22973AEC"/>
    <w:rsid w:val="22BA1001"/>
    <w:rsid w:val="22BA61D7"/>
    <w:rsid w:val="22BE29EF"/>
    <w:rsid w:val="22EB2E41"/>
    <w:rsid w:val="22FB5F0E"/>
    <w:rsid w:val="230D56BB"/>
    <w:rsid w:val="235C7845"/>
    <w:rsid w:val="23A748FB"/>
    <w:rsid w:val="23C32EE1"/>
    <w:rsid w:val="23D26A8B"/>
    <w:rsid w:val="24145A6A"/>
    <w:rsid w:val="24285B18"/>
    <w:rsid w:val="2433105D"/>
    <w:rsid w:val="24732D05"/>
    <w:rsid w:val="24862552"/>
    <w:rsid w:val="24FE1FFE"/>
    <w:rsid w:val="2534072F"/>
    <w:rsid w:val="258A526C"/>
    <w:rsid w:val="25D70379"/>
    <w:rsid w:val="25E5420E"/>
    <w:rsid w:val="25FE483D"/>
    <w:rsid w:val="269615B6"/>
    <w:rsid w:val="26CF75FF"/>
    <w:rsid w:val="27C2106B"/>
    <w:rsid w:val="27CB3713"/>
    <w:rsid w:val="27F01F36"/>
    <w:rsid w:val="27F84F0B"/>
    <w:rsid w:val="28886FD9"/>
    <w:rsid w:val="28BC6194"/>
    <w:rsid w:val="28C0322D"/>
    <w:rsid w:val="29287D54"/>
    <w:rsid w:val="292D42E5"/>
    <w:rsid w:val="294D1BDB"/>
    <w:rsid w:val="296024B3"/>
    <w:rsid w:val="299C7EBE"/>
    <w:rsid w:val="299E00C2"/>
    <w:rsid w:val="29F645B4"/>
    <w:rsid w:val="2A0F4881"/>
    <w:rsid w:val="2A177D0E"/>
    <w:rsid w:val="2A3101C3"/>
    <w:rsid w:val="2A3C3B50"/>
    <w:rsid w:val="2A4B7A45"/>
    <w:rsid w:val="2A4C4EFA"/>
    <w:rsid w:val="2AFA75A7"/>
    <w:rsid w:val="2B207B4B"/>
    <w:rsid w:val="2B334564"/>
    <w:rsid w:val="2B784396"/>
    <w:rsid w:val="2B7F1150"/>
    <w:rsid w:val="2B830B12"/>
    <w:rsid w:val="2BA2535B"/>
    <w:rsid w:val="2BCF4B21"/>
    <w:rsid w:val="2BE442A7"/>
    <w:rsid w:val="2BE50A91"/>
    <w:rsid w:val="2C165937"/>
    <w:rsid w:val="2C2C4B27"/>
    <w:rsid w:val="2C375F92"/>
    <w:rsid w:val="2C3F396C"/>
    <w:rsid w:val="2C6B26CD"/>
    <w:rsid w:val="2C6F487F"/>
    <w:rsid w:val="2C8424E6"/>
    <w:rsid w:val="2CE41BA6"/>
    <w:rsid w:val="2D2436D1"/>
    <w:rsid w:val="2D39768C"/>
    <w:rsid w:val="2D84175E"/>
    <w:rsid w:val="2D901995"/>
    <w:rsid w:val="2D920CB3"/>
    <w:rsid w:val="2DC35478"/>
    <w:rsid w:val="2E3C33CB"/>
    <w:rsid w:val="2E50690A"/>
    <w:rsid w:val="2E7118C2"/>
    <w:rsid w:val="2E734E6D"/>
    <w:rsid w:val="2E823C74"/>
    <w:rsid w:val="2EC1140C"/>
    <w:rsid w:val="2ED21461"/>
    <w:rsid w:val="2ED26535"/>
    <w:rsid w:val="2F594899"/>
    <w:rsid w:val="2F810F3A"/>
    <w:rsid w:val="2FE50357"/>
    <w:rsid w:val="2FEE6EA1"/>
    <w:rsid w:val="302D31CB"/>
    <w:rsid w:val="306D3EB6"/>
    <w:rsid w:val="308328AE"/>
    <w:rsid w:val="30A41D67"/>
    <w:rsid w:val="312D65A0"/>
    <w:rsid w:val="31500131"/>
    <w:rsid w:val="316D441D"/>
    <w:rsid w:val="317E5CD8"/>
    <w:rsid w:val="321F0579"/>
    <w:rsid w:val="323D4609"/>
    <w:rsid w:val="32426F32"/>
    <w:rsid w:val="3250622E"/>
    <w:rsid w:val="3257092C"/>
    <w:rsid w:val="329F74C0"/>
    <w:rsid w:val="32B40001"/>
    <w:rsid w:val="32CE06B0"/>
    <w:rsid w:val="32DA25C6"/>
    <w:rsid w:val="3312642A"/>
    <w:rsid w:val="3347509A"/>
    <w:rsid w:val="33657A72"/>
    <w:rsid w:val="337C7BD1"/>
    <w:rsid w:val="338E1D73"/>
    <w:rsid w:val="338E1EAD"/>
    <w:rsid w:val="33A87E93"/>
    <w:rsid w:val="33C259A4"/>
    <w:rsid w:val="33C87A09"/>
    <w:rsid w:val="33FA4BFA"/>
    <w:rsid w:val="340450B3"/>
    <w:rsid w:val="34750972"/>
    <w:rsid w:val="34A913C8"/>
    <w:rsid w:val="35180B3A"/>
    <w:rsid w:val="35911F75"/>
    <w:rsid w:val="35B14302"/>
    <w:rsid w:val="35DD2763"/>
    <w:rsid w:val="35E84DD2"/>
    <w:rsid w:val="36183B79"/>
    <w:rsid w:val="361B34C6"/>
    <w:rsid w:val="3643431B"/>
    <w:rsid w:val="3651044C"/>
    <w:rsid w:val="366C14A6"/>
    <w:rsid w:val="36831AFF"/>
    <w:rsid w:val="36A209E6"/>
    <w:rsid w:val="36B01FEF"/>
    <w:rsid w:val="36B10648"/>
    <w:rsid w:val="371166D0"/>
    <w:rsid w:val="37602D4B"/>
    <w:rsid w:val="3821593A"/>
    <w:rsid w:val="38535C25"/>
    <w:rsid w:val="388F2B06"/>
    <w:rsid w:val="38C46413"/>
    <w:rsid w:val="38EF2776"/>
    <w:rsid w:val="391807CE"/>
    <w:rsid w:val="3934018F"/>
    <w:rsid w:val="39424758"/>
    <w:rsid w:val="399006DD"/>
    <w:rsid w:val="39907F69"/>
    <w:rsid w:val="39D43E6D"/>
    <w:rsid w:val="3A4A3181"/>
    <w:rsid w:val="3A5851C7"/>
    <w:rsid w:val="3A9F345B"/>
    <w:rsid w:val="3AE07A50"/>
    <w:rsid w:val="3AEE0613"/>
    <w:rsid w:val="3B5C2FB9"/>
    <w:rsid w:val="3C1942E8"/>
    <w:rsid w:val="3C5D6FF5"/>
    <w:rsid w:val="3CB21A9B"/>
    <w:rsid w:val="3CBD2D17"/>
    <w:rsid w:val="3CC572D4"/>
    <w:rsid w:val="3CCB0E2F"/>
    <w:rsid w:val="3CDB012B"/>
    <w:rsid w:val="3CEF1FDC"/>
    <w:rsid w:val="3D251A29"/>
    <w:rsid w:val="3E514A02"/>
    <w:rsid w:val="3E692AE5"/>
    <w:rsid w:val="3EBA471D"/>
    <w:rsid w:val="3EF17652"/>
    <w:rsid w:val="3F0627F5"/>
    <w:rsid w:val="3F2D2E17"/>
    <w:rsid w:val="3F8415A9"/>
    <w:rsid w:val="3FB8579D"/>
    <w:rsid w:val="3FDD4FD1"/>
    <w:rsid w:val="3FF14E23"/>
    <w:rsid w:val="40133356"/>
    <w:rsid w:val="40767412"/>
    <w:rsid w:val="408F05F9"/>
    <w:rsid w:val="409E6D27"/>
    <w:rsid w:val="40BD5642"/>
    <w:rsid w:val="40CF06DE"/>
    <w:rsid w:val="40EB69C5"/>
    <w:rsid w:val="412356E2"/>
    <w:rsid w:val="41755CA5"/>
    <w:rsid w:val="41CA4038"/>
    <w:rsid w:val="42134FD7"/>
    <w:rsid w:val="4235251C"/>
    <w:rsid w:val="42476483"/>
    <w:rsid w:val="42505E4B"/>
    <w:rsid w:val="42A411D5"/>
    <w:rsid w:val="42AD0CBE"/>
    <w:rsid w:val="42BB4F19"/>
    <w:rsid w:val="42C615B8"/>
    <w:rsid w:val="42CD123A"/>
    <w:rsid w:val="42DB51A4"/>
    <w:rsid w:val="42EC23C2"/>
    <w:rsid w:val="43024224"/>
    <w:rsid w:val="430C481C"/>
    <w:rsid w:val="433B35D6"/>
    <w:rsid w:val="43B96A42"/>
    <w:rsid w:val="43F77FFF"/>
    <w:rsid w:val="4426131B"/>
    <w:rsid w:val="442E7F02"/>
    <w:rsid w:val="444C4DA9"/>
    <w:rsid w:val="44517853"/>
    <w:rsid w:val="44660FA2"/>
    <w:rsid w:val="448A612D"/>
    <w:rsid w:val="44AC3F23"/>
    <w:rsid w:val="44E843BE"/>
    <w:rsid w:val="45194FC1"/>
    <w:rsid w:val="452E4F7F"/>
    <w:rsid w:val="452F7DB3"/>
    <w:rsid w:val="45566B37"/>
    <w:rsid w:val="45E43BB6"/>
    <w:rsid w:val="463D4287"/>
    <w:rsid w:val="469C45E8"/>
    <w:rsid w:val="46BC679F"/>
    <w:rsid w:val="46E42AE5"/>
    <w:rsid w:val="47121E0B"/>
    <w:rsid w:val="49107F49"/>
    <w:rsid w:val="49562359"/>
    <w:rsid w:val="495D00BC"/>
    <w:rsid w:val="49780189"/>
    <w:rsid w:val="498645DA"/>
    <w:rsid w:val="499334E1"/>
    <w:rsid w:val="499C4585"/>
    <w:rsid w:val="49BC6207"/>
    <w:rsid w:val="49E02A82"/>
    <w:rsid w:val="49F070CC"/>
    <w:rsid w:val="4A02430F"/>
    <w:rsid w:val="4A02625E"/>
    <w:rsid w:val="4A424620"/>
    <w:rsid w:val="4A9567D8"/>
    <w:rsid w:val="4AE01774"/>
    <w:rsid w:val="4AE207E2"/>
    <w:rsid w:val="4B49179F"/>
    <w:rsid w:val="4B8D02E0"/>
    <w:rsid w:val="4B8F7B0B"/>
    <w:rsid w:val="4C19798F"/>
    <w:rsid w:val="4C6E0AA9"/>
    <w:rsid w:val="4C6E30AE"/>
    <w:rsid w:val="4CAA046B"/>
    <w:rsid w:val="4CE20065"/>
    <w:rsid w:val="4CFC5FE3"/>
    <w:rsid w:val="4D155D00"/>
    <w:rsid w:val="4D1B728E"/>
    <w:rsid w:val="4D2661EC"/>
    <w:rsid w:val="4D8155AA"/>
    <w:rsid w:val="4D9A0DDD"/>
    <w:rsid w:val="4DA35CBB"/>
    <w:rsid w:val="4DB60405"/>
    <w:rsid w:val="4E33436C"/>
    <w:rsid w:val="4E460916"/>
    <w:rsid w:val="4E814082"/>
    <w:rsid w:val="4EE03C18"/>
    <w:rsid w:val="4EF75E9B"/>
    <w:rsid w:val="4F9714A0"/>
    <w:rsid w:val="4FB13003"/>
    <w:rsid w:val="4FE966D1"/>
    <w:rsid w:val="500D37D2"/>
    <w:rsid w:val="50243034"/>
    <w:rsid w:val="5063449D"/>
    <w:rsid w:val="509D1C28"/>
    <w:rsid w:val="50A95465"/>
    <w:rsid w:val="50D22D4B"/>
    <w:rsid w:val="50E224FE"/>
    <w:rsid w:val="50EB49F0"/>
    <w:rsid w:val="50F232DC"/>
    <w:rsid w:val="510572BA"/>
    <w:rsid w:val="51064072"/>
    <w:rsid w:val="511B2D0D"/>
    <w:rsid w:val="513F55C8"/>
    <w:rsid w:val="516038A0"/>
    <w:rsid w:val="51951911"/>
    <w:rsid w:val="5196730E"/>
    <w:rsid w:val="51A76A58"/>
    <w:rsid w:val="51EC31C9"/>
    <w:rsid w:val="5225549A"/>
    <w:rsid w:val="522C1FBE"/>
    <w:rsid w:val="52E3051F"/>
    <w:rsid w:val="53307BC4"/>
    <w:rsid w:val="53742F0D"/>
    <w:rsid w:val="537F0B0F"/>
    <w:rsid w:val="53DD25AF"/>
    <w:rsid w:val="544277E3"/>
    <w:rsid w:val="54A57DD8"/>
    <w:rsid w:val="54B809D5"/>
    <w:rsid w:val="54F06299"/>
    <w:rsid w:val="55940563"/>
    <w:rsid w:val="55976026"/>
    <w:rsid w:val="55FD0A69"/>
    <w:rsid w:val="5605775A"/>
    <w:rsid w:val="560E02E5"/>
    <w:rsid w:val="565C2507"/>
    <w:rsid w:val="568B4ECD"/>
    <w:rsid w:val="56FD0265"/>
    <w:rsid w:val="572D271C"/>
    <w:rsid w:val="57425699"/>
    <w:rsid w:val="575B44E8"/>
    <w:rsid w:val="57725A39"/>
    <w:rsid w:val="57A11863"/>
    <w:rsid w:val="57FB0F9A"/>
    <w:rsid w:val="583704B8"/>
    <w:rsid w:val="587F289B"/>
    <w:rsid w:val="58D60F59"/>
    <w:rsid w:val="58F43155"/>
    <w:rsid w:val="59330F9A"/>
    <w:rsid w:val="59712812"/>
    <w:rsid w:val="59747100"/>
    <w:rsid w:val="5AA62C34"/>
    <w:rsid w:val="5AF165E9"/>
    <w:rsid w:val="5B260117"/>
    <w:rsid w:val="5B7376CD"/>
    <w:rsid w:val="5B8364E1"/>
    <w:rsid w:val="5BAB0797"/>
    <w:rsid w:val="5BAC49CB"/>
    <w:rsid w:val="5BC24DBA"/>
    <w:rsid w:val="5BF308E3"/>
    <w:rsid w:val="5CBA2F68"/>
    <w:rsid w:val="5CC76834"/>
    <w:rsid w:val="5D051E04"/>
    <w:rsid w:val="5D3B687E"/>
    <w:rsid w:val="5D987EB6"/>
    <w:rsid w:val="5DCD117D"/>
    <w:rsid w:val="5DED5703"/>
    <w:rsid w:val="5E167A71"/>
    <w:rsid w:val="5E4A7650"/>
    <w:rsid w:val="5E7233E3"/>
    <w:rsid w:val="5E782489"/>
    <w:rsid w:val="5F087282"/>
    <w:rsid w:val="5F2C66A1"/>
    <w:rsid w:val="5F494005"/>
    <w:rsid w:val="5F884AB4"/>
    <w:rsid w:val="5F8B0005"/>
    <w:rsid w:val="5FA43E69"/>
    <w:rsid w:val="5FC5120B"/>
    <w:rsid w:val="5FE66CD1"/>
    <w:rsid w:val="6025334A"/>
    <w:rsid w:val="60303201"/>
    <w:rsid w:val="61285EF2"/>
    <w:rsid w:val="612E2050"/>
    <w:rsid w:val="61905D24"/>
    <w:rsid w:val="61942A59"/>
    <w:rsid w:val="623108D2"/>
    <w:rsid w:val="6242593C"/>
    <w:rsid w:val="62461767"/>
    <w:rsid w:val="62A835F4"/>
    <w:rsid w:val="62F52FF4"/>
    <w:rsid w:val="6320423A"/>
    <w:rsid w:val="633F1D35"/>
    <w:rsid w:val="63F34F71"/>
    <w:rsid w:val="64423B23"/>
    <w:rsid w:val="64954793"/>
    <w:rsid w:val="651F4987"/>
    <w:rsid w:val="65311181"/>
    <w:rsid w:val="65632B67"/>
    <w:rsid w:val="6577326A"/>
    <w:rsid w:val="658D4739"/>
    <w:rsid w:val="6598698C"/>
    <w:rsid w:val="65CC5E2D"/>
    <w:rsid w:val="66327A7C"/>
    <w:rsid w:val="663D3D18"/>
    <w:rsid w:val="66460A96"/>
    <w:rsid w:val="667E4DB2"/>
    <w:rsid w:val="66E10B5B"/>
    <w:rsid w:val="67234A9A"/>
    <w:rsid w:val="673946B8"/>
    <w:rsid w:val="67672ABA"/>
    <w:rsid w:val="679E6389"/>
    <w:rsid w:val="67CB1324"/>
    <w:rsid w:val="680D31EF"/>
    <w:rsid w:val="68317CD4"/>
    <w:rsid w:val="683A17D1"/>
    <w:rsid w:val="689F15D5"/>
    <w:rsid w:val="68E411D6"/>
    <w:rsid w:val="69112C0A"/>
    <w:rsid w:val="691C6653"/>
    <w:rsid w:val="697B39AC"/>
    <w:rsid w:val="699219E6"/>
    <w:rsid w:val="699D3005"/>
    <w:rsid w:val="69A039F4"/>
    <w:rsid w:val="69EA4D16"/>
    <w:rsid w:val="6A5B729C"/>
    <w:rsid w:val="6ABE1B1B"/>
    <w:rsid w:val="6AE20869"/>
    <w:rsid w:val="6AF723A7"/>
    <w:rsid w:val="6B4A6192"/>
    <w:rsid w:val="6B6E2D09"/>
    <w:rsid w:val="6B84720A"/>
    <w:rsid w:val="6BC80049"/>
    <w:rsid w:val="6BF4753F"/>
    <w:rsid w:val="6C225F28"/>
    <w:rsid w:val="6C385D34"/>
    <w:rsid w:val="6C4819F7"/>
    <w:rsid w:val="6C5B1C7E"/>
    <w:rsid w:val="6CD24F29"/>
    <w:rsid w:val="6CE10C19"/>
    <w:rsid w:val="6CF22BB9"/>
    <w:rsid w:val="6D2A1001"/>
    <w:rsid w:val="6E1950DF"/>
    <w:rsid w:val="6E2A36C5"/>
    <w:rsid w:val="6E7A6D28"/>
    <w:rsid w:val="6EF63AD6"/>
    <w:rsid w:val="6F0F753C"/>
    <w:rsid w:val="6F12734A"/>
    <w:rsid w:val="6F3506C9"/>
    <w:rsid w:val="6F391C3C"/>
    <w:rsid w:val="6F4C6389"/>
    <w:rsid w:val="6F6618B3"/>
    <w:rsid w:val="6F7771CE"/>
    <w:rsid w:val="6FA0459C"/>
    <w:rsid w:val="6FC41CF2"/>
    <w:rsid w:val="6FD14E27"/>
    <w:rsid w:val="6FE02703"/>
    <w:rsid w:val="702E686B"/>
    <w:rsid w:val="70392B8D"/>
    <w:rsid w:val="704240C4"/>
    <w:rsid w:val="71A11B73"/>
    <w:rsid w:val="71AE037A"/>
    <w:rsid w:val="71B50BEF"/>
    <w:rsid w:val="71DA6A30"/>
    <w:rsid w:val="725B14C2"/>
    <w:rsid w:val="72753AB5"/>
    <w:rsid w:val="72857FA7"/>
    <w:rsid w:val="72B700B6"/>
    <w:rsid w:val="72D141D7"/>
    <w:rsid w:val="72D57472"/>
    <w:rsid w:val="730A7FCE"/>
    <w:rsid w:val="731967EC"/>
    <w:rsid w:val="73280CCD"/>
    <w:rsid w:val="73786CFB"/>
    <w:rsid w:val="739F3C71"/>
    <w:rsid w:val="740F7AF0"/>
    <w:rsid w:val="745369D2"/>
    <w:rsid w:val="74A33ACB"/>
    <w:rsid w:val="74D774D1"/>
    <w:rsid w:val="74FF2DF0"/>
    <w:rsid w:val="752D16B6"/>
    <w:rsid w:val="75372CE1"/>
    <w:rsid w:val="755846E6"/>
    <w:rsid w:val="758E74C7"/>
    <w:rsid w:val="75E152D1"/>
    <w:rsid w:val="76620C3F"/>
    <w:rsid w:val="76861594"/>
    <w:rsid w:val="769D30E2"/>
    <w:rsid w:val="76AC2E73"/>
    <w:rsid w:val="76F00FE1"/>
    <w:rsid w:val="774B33D4"/>
    <w:rsid w:val="7762443F"/>
    <w:rsid w:val="77A12237"/>
    <w:rsid w:val="77B33086"/>
    <w:rsid w:val="77CA1834"/>
    <w:rsid w:val="77CC5AE0"/>
    <w:rsid w:val="77FF510A"/>
    <w:rsid w:val="780046F0"/>
    <w:rsid w:val="781C47A6"/>
    <w:rsid w:val="78632C3D"/>
    <w:rsid w:val="78993763"/>
    <w:rsid w:val="789D4AF4"/>
    <w:rsid w:val="78DD498A"/>
    <w:rsid w:val="78E1737B"/>
    <w:rsid w:val="78E26AAF"/>
    <w:rsid w:val="7936676B"/>
    <w:rsid w:val="79375558"/>
    <w:rsid w:val="79532E9E"/>
    <w:rsid w:val="79810339"/>
    <w:rsid w:val="799C6593"/>
    <w:rsid w:val="79A15F5D"/>
    <w:rsid w:val="79D22916"/>
    <w:rsid w:val="79DA1C15"/>
    <w:rsid w:val="7A39380A"/>
    <w:rsid w:val="7A3D1560"/>
    <w:rsid w:val="7A634FC3"/>
    <w:rsid w:val="7AA240DD"/>
    <w:rsid w:val="7AA8756C"/>
    <w:rsid w:val="7AAE09BC"/>
    <w:rsid w:val="7AD31FBF"/>
    <w:rsid w:val="7AF014B9"/>
    <w:rsid w:val="7B3A4C02"/>
    <w:rsid w:val="7B5A62F9"/>
    <w:rsid w:val="7B9164E7"/>
    <w:rsid w:val="7BAA01DC"/>
    <w:rsid w:val="7BDA3EFB"/>
    <w:rsid w:val="7BE92CC9"/>
    <w:rsid w:val="7C5A1E13"/>
    <w:rsid w:val="7DC234D7"/>
    <w:rsid w:val="7DD716D0"/>
    <w:rsid w:val="7DE00016"/>
    <w:rsid w:val="7E6714B5"/>
    <w:rsid w:val="7E740D34"/>
    <w:rsid w:val="7E8F0387"/>
    <w:rsid w:val="7F084C99"/>
    <w:rsid w:val="7F9C2377"/>
    <w:rsid w:val="7FDE270E"/>
    <w:rsid w:val="7FDF03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outlineLvl w:val="2"/>
    </w:pPr>
    <w:rPr>
      <w:rFonts w:ascii="楷体_GB2312" w:hAnsi="宋体" w:eastAsia="楷体_GB2312"/>
      <w:b/>
      <w:bCs/>
      <w:sz w:val="32"/>
    </w:rPr>
  </w:style>
  <w:style w:type="paragraph" w:styleId="5">
    <w:name w:val="heading 4"/>
    <w:basedOn w:val="6"/>
    <w:next w:val="6"/>
    <w:qFormat/>
    <w:uiPriority w:val="1"/>
    <w:pPr>
      <w:ind w:left="1091"/>
      <w:outlineLvl w:val="3"/>
    </w:pPr>
    <w:rPr>
      <w:rFonts w:ascii="宋体" w:hAnsi="宋体" w:cs="宋体"/>
      <w:b/>
      <w:bCs/>
      <w:sz w:val="28"/>
      <w:szCs w:val="28"/>
      <w:lang w:val="zh-CN" w:bidi="zh-CN"/>
    </w:rPr>
  </w:style>
  <w:style w:type="paragraph" w:styleId="8">
    <w:name w:val="heading 6"/>
    <w:basedOn w:val="6"/>
    <w:next w:val="6"/>
    <w:qFormat/>
    <w:uiPriority w:val="1"/>
    <w:pPr>
      <w:ind w:left="791"/>
      <w:outlineLvl w:val="5"/>
    </w:pPr>
    <w:rPr>
      <w:rFonts w:ascii="宋体" w:hAnsi="宋体" w:cs="宋体"/>
      <w:b/>
      <w:bCs/>
      <w:szCs w:val="21"/>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6">
    <w:name w:val="正文_0_1"/>
    <w:basedOn w:val="7"/>
    <w:next w:val="3"/>
    <w:qFormat/>
    <w:uiPriority w:val="0"/>
  </w:style>
  <w:style w:type="paragraph" w:customStyle="1" w:styleId="7">
    <w:name w:val="正文_1_1"/>
    <w:next w:val="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
    <w:name w:val="Normal Indent"/>
    <w:basedOn w:val="1"/>
    <w:next w:val="10"/>
    <w:qFormat/>
    <w:uiPriority w:val="0"/>
    <w:pPr>
      <w:ind w:firstLine="420" w:firstLineChars="200"/>
    </w:pPr>
    <w:rPr>
      <w:szCs w:val="21"/>
    </w:rPr>
  </w:style>
  <w:style w:type="paragraph" w:customStyle="1" w:styleId="10">
    <w:name w:val="Default"/>
    <w:basedOn w:val="11"/>
    <w:unhideWhenUsed/>
    <w:qFormat/>
    <w:uiPriority w:val="99"/>
    <w:pPr>
      <w:autoSpaceDE w:val="0"/>
      <w:autoSpaceDN w:val="0"/>
      <w:adjustRightInd w:val="0"/>
    </w:pPr>
    <w:rPr>
      <w:rFonts w:hint="eastAsia" w:ascii="宋体" w:hAnsi="宋体"/>
      <w:color w:val="000000"/>
      <w:sz w:val="24"/>
    </w:rPr>
  </w:style>
  <w:style w:type="paragraph" w:customStyle="1" w:styleId="11">
    <w:name w:val="正文_2"/>
    <w:next w:val="12"/>
    <w:link w:val="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Plain Text1"/>
    <w:basedOn w:val="1"/>
    <w:qFormat/>
    <w:uiPriority w:val="0"/>
    <w:rPr>
      <w:rFonts w:ascii="宋体" w:hAnsi="Courier New" w:cs="Courier New"/>
      <w:szCs w:val="21"/>
    </w:rPr>
  </w:style>
  <w:style w:type="paragraph" w:styleId="13">
    <w:name w:val="annotation text"/>
    <w:basedOn w:val="1"/>
    <w:link w:val="70"/>
    <w:qFormat/>
    <w:uiPriority w:val="99"/>
    <w:pPr>
      <w:jc w:val="left"/>
    </w:pPr>
  </w:style>
  <w:style w:type="paragraph" w:styleId="14">
    <w:name w:val="Body Text"/>
    <w:basedOn w:val="1"/>
    <w:next w:val="15"/>
    <w:qFormat/>
    <w:uiPriority w:val="0"/>
    <w:pPr>
      <w:spacing w:after="120"/>
    </w:pPr>
  </w:style>
  <w:style w:type="paragraph" w:styleId="15">
    <w:name w:val="Body Text First Indent"/>
    <w:basedOn w:val="14"/>
    <w:qFormat/>
    <w:uiPriority w:val="0"/>
    <w:pPr>
      <w:tabs>
        <w:tab w:val="left" w:pos="420"/>
        <w:tab w:val="left" w:pos="720"/>
      </w:tabs>
      <w:ind w:firstLine="560" w:firstLineChars="200"/>
      <w:jc w:val="left"/>
    </w:pPr>
    <w:rPr>
      <w:rFonts w:ascii="Arial" w:hAnsi="Arial"/>
    </w:rPr>
  </w:style>
  <w:style w:type="paragraph" w:styleId="16">
    <w:name w:val="Body Text Indent"/>
    <w:basedOn w:val="1"/>
    <w:qFormat/>
    <w:uiPriority w:val="0"/>
    <w:pPr>
      <w:spacing w:after="120"/>
      <w:ind w:left="420" w:leftChars="200"/>
    </w:pPr>
  </w:style>
  <w:style w:type="paragraph" w:styleId="17">
    <w:name w:val="toc 5"/>
    <w:basedOn w:val="1"/>
    <w:next w:val="1"/>
    <w:qFormat/>
    <w:uiPriority w:val="0"/>
    <w:pPr>
      <w:ind w:left="1680" w:leftChars="800"/>
    </w:pPr>
  </w:style>
  <w:style w:type="paragraph" w:styleId="18">
    <w:name w:val="Date"/>
    <w:next w:val="1"/>
    <w:qFormat/>
    <w:uiPriority w:val="0"/>
    <w:pPr>
      <w:widowControl w:val="0"/>
      <w:jc w:val="both"/>
    </w:pPr>
    <w:rPr>
      <w:rFonts w:ascii="楷体_GB2312" w:hAnsi="Times New Roman" w:eastAsia="楷体_GB2312" w:cs="Times New Roman"/>
      <w:kern w:val="2"/>
      <w:sz w:val="28"/>
      <w:lang w:val="en-US" w:eastAsia="zh-CN" w:bidi="ar-SA"/>
    </w:rPr>
  </w:style>
  <w:style w:type="paragraph" w:styleId="19">
    <w:name w:val="endnote text"/>
    <w:basedOn w:val="1"/>
    <w:qFormat/>
    <w:uiPriority w:val="0"/>
    <w:pPr>
      <w:snapToGrid w:val="0"/>
      <w:jc w:val="left"/>
    </w:pPr>
    <w:rPr>
      <w:rFonts w:ascii="Times New Roman" w:hAnsi="Times New Roman"/>
    </w:rPr>
  </w:style>
  <w:style w:type="paragraph" w:styleId="20">
    <w:name w:val="Balloon Text"/>
    <w:basedOn w:val="1"/>
    <w:link w:val="68"/>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9060"/>
      </w:tabs>
      <w:spacing w:line="360" w:lineRule="auto"/>
    </w:pPr>
    <w:rPr>
      <w:szCs w:val="20"/>
    </w:rPr>
  </w:style>
  <w:style w:type="paragraph" w:styleId="24">
    <w:name w:val="Body Text Indent 3"/>
    <w:basedOn w:val="1"/>
    <w:qFormat/>
    <w:uiPriority w:val="0"/>
    <w:pPr>
      <w:spacing w:line="360" w:lineRule="auto"/>
      <w:ind w:left="1260" w:leftChars="600"/>
    </w:pPr>
    <w:rPr>
      <w:rFonts w:ascii="宋体" w:hAnsi="宋体"/>
      <w:b/>
      <w:bCs/>
      <w:sz w:val="24"/>
    </w:rPr>
  </w:style>
  <w:style w:type="paragraph" w:styleId="25">
    <w:name w:val="HTML Preformatted"/>
    <w:basedOn w:val="2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customStyle="1" w:styleId="26">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7">
    <w:name w:val="Normal (Web)"/>
    <w:basedOn w:val="1"/>
    <w:qFormat/>
    <w:uiPriority w:val="0"/>
    <w:pPr>
      <w:widowControl/>
      <w:spacing w:before="100" w:beforeAutospacing="1" w:after="100" w:afterAutospacing="1"/>
      <w:jc w:val="left"/>
    </w:pPr>
    <w:rPr>
      <w:rFonts w:ascii="宋体" w:hAnsi="宋体"/>
      <w:kern w:val="0"/>
      <w:sz w:val="24"/>
    </w:rPr>
  </w:style>
  <w:style w:type="paragraph" w:styleId="28">
    <w:name w:val="annotation subject"/>
    <w:basedOn w:val="13"/>
    <w:next w:val="13"/>
    <w:link w:val="71"/>
    <w:qFormat/>
    <w:uiPriority w:val="0"/>
    <w:rPr>
      <w:b/>
      <w:bCs/>
    </w:rPr>
  </w:style>
  <w:style w:type="paragraph" w:styleId="29">
    <w:name w:val="Body Text First Indent 2"/>
    <w:basedOn w:val="16"/>
    <w:qFormat/>
    <w:uiPriority w:val="0"/>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basedOn w:val="32"/>
    <w:qFormat/>
    <w:uiPriority w:val="0"/>
    <w:rPr>
      <w:color w:val="333333"/>
      <w:u w:val="none"/>
    </w:rPr>
  </w:style>
  <w:style w:type="character" w:styleId="36">
    <w:name w:val="Emphasis"/>
    <w:basedOn w:val="32"/>
    <w:qFormat/>
    <w:uiPriority w:val="0"/>
    <w:rPr>
      <w:u w:val="none"/>
    </w:rPr>
  </w:style>
  <w:style w:type="character" w:styleId="37">
    <w:name w:val="Hyperlink"/>
    <w:qFormat/>
    <w:uiPriority w:val="99"/>
    <w:rPr>
      <w:color w:val="000000"/>
      <w:sz w:val="18"/>
      <w:szCs w:val="18"/>
      <w:u w:val="none"/>
    </w:rPr>
  </w:style>
  <w:style w:type="character" w:styleId="38">
    <w:name w:val="annotation reference"/>
    <w:semiHidden/>
    <w:qFormat/>
    <w:uiPriority w:val="0"/>
    <w:rPr>
      <w:sz w:val="21"/>
      <w:szCs w:val="21"/>
    </w:rPr>
  </w:style>
  <w:style w:type="paragraph" w:customStyle="1" w:styleId="39">
    <w:name w:val="正文_0"/>
    <w:next w:val="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纯文本1"/>
    <w:basedOn w:val="1"/>
    <w:qFormat/>
    <w:uiPriority w:val="0"/>
    <w:rPr>
      <w:rFonts w:ascii="宋体" w:hAnsi="Courier New" w:cs="Courier New"/>
      <w:szCs w:val="21"/>
    </w:rPr>
  </w:style>
  <w:style w:type="paragraph" w:customStyle="1" w:styleId="41">
    <w:name w:val="纯文本11"/>
    <w:basedOn w:val="1"/>
    <w:qFormat/>
    <w:uiPriority w:val="0"/>
    <w:rPr>
      <w:rFonts w:ascii="宋体" w:hAnsi="Courier New" w:cs="Courier New"/>
      <w:szCs w:val="21"/>
    </w:rPr>
  </w:style>
  <w:style w:type="paragraph" w:customStyle="1" w:styleId="42">
    <w:name w:val="表格文字"/>
    <w:basedOn w:val="1"/>
    <w:qFormat/>
    <w:uiPriority w:val="0"/>
    <w:pPr>
      <w:spacing w:before="25" w:after="25"/>
      <w:jc w:val="left"/>
    </w:pPr>
    <w:rPr>
      <w:bCs/>
      <w:spacing w:val="10"/>
      <w:kern w:val="0"/>
      <w:sz w:val="24"/>
    </w:rPr>
  </w:style>
  <w:style w:type="paragraph" w:customStyle="1" w:styleId="43">
    <w:name w:val="正文缩进1"/>
    <w:basedOn w:val="1"/>
    <w:next w:val="10"/>
    <w:qFormat/>
    <w:uiPriority w:val="0"/>
    <w:pPr>
      <w:ind w:firstLine="420" w:firstLineChars="200"/>
    </w:pPr>
    <w:rPr>
      <w:szCs w:val="21"/>
    </w:rPr>
  </w:style>
  <w:style w:type="paragraph" w:customStyle="1" w:styleId="44">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正文_0_0_0"/>
    <w:basedOn w:val="46"/>
    <w:qFormat/>
    <w:uiPriority w:val="0"/>
  </w:style>
  <w:style w:type="paragraph" w:customStyle="1" w:styleId="46">
    <w:name w:val="正文_1_0"/>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Normal Indent1"/>
    <w:basedOn w:val="1"/>
    <w:qFormat/>
    <w:uiPriority w:val="0"/>
    <w:pPr>
      <w:ind w:firstLine="420" w:firstLineChars="200"/>
    </w:pPr>
  </w:style>
  <w:style w:type="paragraph" w:customStyle="1" w:styleId="48">
    <w:name w:val="正文_1"/>
    <w:basedOn w:val="11"/>
    <w:next w:val="3"/>
    <w:qFormat/>
    <w:uiPriority w:val="0"/>
    <w:rPr>
      <w:rFonts w:ascii="Times New Roman" w:hAnsi="Times New Roman" w:cs="Calibri"/>
      <w:szCs w:val="21"/>
    </w:rPr>
  </w:style>
  <w:style w:type="character" w:customStyle="1" w:styleId="49">
    <w:name w:val="16"/>
    <w:qFormat/>
    <w:uiPriority w:val="0"/>
    <w:rPr>
      <w:rFonts w:hint="default" w:ascii="Times New Roman" w:hAnsi="Times New Roman" w:cs="Times New Roman"/>
    </w:rPr>
  </w:style>
  <w:style w:type="character" w:customStyle="1" w:styleId="50">
    <w:name w:val="font11"/>
    <w:basedOn w:val="32"/>
    <w:qFormat/>
    <w:uiPriority w:val="0"/>
    <w:rPr>
      <w:rFonts w:hint="eastAsia" w:ascii="宋体" w:hAnsi="宋体" w:eastAsia="宋体" w:cs="宋体"/>
      <w:color w:val="000000"/>
      <w:sz w:val="21"/>
      <w:szCs w:val="21"/>
      <w:u w:val="none"/>
    </w:rPr>
  </w:style>
  <w:style w:type="paragraph" w:customStyle="1" w:styleId="51">
    <w:name w:val="普通(网站)_0"/>
    <w:basedOn w:val="6"/>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52">
    <w:name w:val="正文_0_0"/>
    <w:basedOn w:val="46"/>
    <w:next w:val="4"/>
    <w:qFormat/>
    <w:uiPriority w:val="0"/>
  </w:style>
  <w:style w:type="paragraph" w:customStyle="1" w:styleId="53">
    <w:name w:val="文件标题"/>
    <w:basedOn w:val="1"/>
    <w:qFormat/>
    <w:uiPriority w:val="99"/>
    <w:pPr>
      <w:numPr>
        <w:ilvl w:val="0"/>
        <w:numId w:val="1"/>
      </w:numPr>
    </w:pPr>
    <w:rPr>
      <w:rFonts w:ascii="宋体" w:hAnsi="宋体" w:cs="宋体"/>
      <w:szCs w:val="21"/>
    </w:rPr>
  </w:style>
  <w:style w:type="paragraph" w:customStyle="1" w:styleId="54">
    <w:name w:val="[Normal]"/>
    <w:qFormat/>
    <w:uiPriority w:val="0"/>
    <w:rPr>
      <w:rFonts w:ascii="宋体" w:hAnsi="宋体" w:eastAsia="宋体" w:cs="Times New Roman"/>
      <w:sz w:val="24"/>
      <w:lang w:val="en-US" w:eastAsia="en-US" w:bidi="ar-SA"/>
    </w:rPr>
  </w:style>
  <w:style w:type="paragraph" w:customStyle="1" w:styleId="5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1_1_0_0"/>
    <w:qFormat/>
    <w:uiPriority w:val="0"/>
    <w:pPr>
      <w:widowControl w:val="0"/>
      <w:jc w:val="both"/>
    </w:pPr>
    <w:rPr>
      <w:rFonts w:ascii="Calibri" w:hAnsi="Calibri" w:eastAsia="宋体" w:cs="Times New Roman"/>
      <w:color w:val="0000FF"/>
      <w:kern w:val="2"/>
      <w:sz w:val="24"/>
      <w:szCs w:val="24"/>
      <w:lang w:val="en-US" w:eastAsia="zh-CN" w:bidi="ar-SA"/>
    </w:rPr>
  </w:style>
  <w:style w:type="paragraph" w:customStyle="1" w:styleId="57">
    <w:name w:val="_Style 21"/>
    <w:basedOn w:val="56"/>
    <w:qFormat/>
    <w:uiPriority w:val="99"/>
    <w:pPr>
      <w:ind w:firstLine="420" w:firstLineChars="200"/>
    </w:pPr>
    <w:rPr>
      <w:rFonts w:ascii="Times New Roman" w:hAnsi="Times New Roman" w:cs="宋体"/>
      <w:szCs w:val="21"/>
    </w:rPr>
  </w:style>
  <w:style w:type="paragraph" w:customStyle="1" w:styleId="58">
    <w:name w:val="_Style 3"/>
    <w:basedOn w:val="1"/>
    <w:next w:val="24"/>
    <w:qFormat/>
    <w:uiPriority w:val="34"/>
    <w:pPr>
      <w:ind w:firstLine="420" w:firstLineChars="200"/>
    </w:pPr>
    <w:rPr>
      <w:sz w:val="24"/>
      <w:szCs w:val="22"/>
    </w:rPr>
  </w:style>
  <w:style w:type="paragraph" w:customStyle="1" w:styleId="59">
    <w:name w:val="正文_0_0_0_0"/>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6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1">
    <w:name w:val="列出段落1"/>
    <w:basedOn w:val="6"/>
    <w:qFormat/>
    <w:uiPriority w:val="99"/>
    <w:pPr>
      <w:ind w:firstLine="420" w:firstLineChars="200"/>
    </w:pPr>
  </w:style>
  <w:style w:type="paragraph" w:customStyle="1" w:styleId="6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63">
    <w:name w:val="正文缩进_0"/>
    <w:basedOn w:val="46"/>
    <w:unhideWhenUsed/>
    <w:qFormat/>
    <w:uiPriority w:val="0"/>
    <w:pPr>
      <w:ind w:firstLine="420" w:firstLineChars="200"/>
    </w:pPr>
    <w:rPr>
      <w:rFonts w:ascii="Calibri" w:hAnsi="Calibri"/>
    </w:rPr>
  </w:style>
  <w:style w:type="paragraph" w:customStyle="1" w:styleId="64">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5">
    <w:name w:val="样式 标题 1合同标题卷标题TITRE11h1标题 1 1标书1H11st levelSection Hea..."/>
    <w:basedOn w:val="3"/>
    <w:qFormat/>
    <w:uiPriority w:val="0"/>
    <w:pPr>
      <w:spacing w:before="40" w:after="40"/>
    </w:pPr>
  </w:style>
  <w:style w:type="character" w:customStyle="1" w:styleId="66">
    <w:name w:val="ask-title"/>
    <w:basedOn w:val="32"/>
    <w:qFormat/>
    <w:uiPriority w:val="0"/>
  </w:style>
  <w:style w:type="paragraph" w:customStyle="1" w:styleId="67">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批注框文本 Char"/>
    <w:basedOn w:val="32"/>
    <w:link w:val="20"/>
    <w:qFormat/>
    <w:uiPriority w:val="0"/>
    <w:rPr>
      <w:rFonts w:ascii="Calibri" w:hAnsi="Calibri"/>
      <w:kern w:val="2"/>
      <w:sz w:val="18"/>
      <w:szCs w:val="18"/>
    </w:rPr>
  </w:style>
  <w:style w:type="character" w:customStyle="1" w:styleId="69">
    <w:name w:val="正文_2 Char"/>
    <w:basedOn w:val="32"/>
    <w:link w:val="11"/>
    <w:qFormat/>
    <w:uiPriority w:val="0"/>
    <w:rPr>
      <w:rFonts w:ascii="Calibri" w:hAnsi="Calibri"/>
      <w:kern w:val="2"/>
      <w:sz w:val="21"/>
      <w:szCs w:val="22"/>
    </w:rPr>
  </w:style>
  <w:style w:type="character" w:customStyle="1" w:styleId="70">
    <w:name w:val="批注文字 Char"/>
    <w:basedOn w:val="69"/>
    <w:link w:val="13"/>
    <w:qFormat/>
    <w:uiPriority w:val="99"/>
    <w:rPr>
      <w:rFonts w:ascii="Calibri" w:hAnsi="Calibri"/>
      <w:kern w:val="2"/>
      <w:sz w:val="21"/>
      <w:szCs w:val="22"/>
    </w:rPr>
  </w:style>
  <w:style w:type="character" w:customStyle="1" w:styleId="71">
    <w:name w:val="批注主题 Char"/>
    <w:basedOn w:val="70"/>
    <w:link w:val="28"/>
    <w:qFormat/>
    <w:uiPriority w:val="0"/>
    <w:rPr>
      <w:rFonts w:ascii="Calibri" w:hAnsi="Calibri"/>
      <w:b/>
      <w:bCs/>
      <w:kern w:val="2"/>
      <w:sz w:val="21"/>
      <w:szCs w:val="24"/>
    </w:rPr>
  </w:style>
  <w:style w:type="paragraph" w:customStyle="1" w:styleId="72">
    <w:name w:val="投标书正文"/>
    <w:basedOn w:val="1"/>
    <w:qFormat/>
    <w:uiPriority w:val="0"/>
    <w:pPr>
      <w:suppressAutoHyphens/>
      <w:spacing w:line="360" w:lineRule="auto"/>
      <w:ind w:firstLine="200" w:firstLineChars="200"/>
      <w:textAlignment w:val="center"/>
    </w:pPr>
    <w:rPr>
      <w:sz w:val="28"/>
    </w:rPr>
  </w:style>
  <w:style w:type="character" w:customStyle="1" w:styleId="73">
    <w:name w:val="font41"/>
    <w:qFormat/>
    <w:uiPriority w:val="0"/>
    <w:rPr>
      <w:rFonts w:hint="eastAsia" w:ascii="宋体" w:hAnsi="宋体" w:eastAsia="宋体" w:cs="宋体"/>
      <w:color w:val="000000"/>
      <w:sz w:val="24"/>
      <w:szCs w:val="24"/>
      <w:u w:val="none"/>
    </w:rPr>
  </w:style>
  <w:style w:type="paragraph" w:customStyle="1" w:styleId="74">
    <w:name w:val="WPSOffice手动目录 1"/>
    <w:qFormat/>
    <w:uiPriority w:val="0"/>
    <w:rPr>
      <w:rFonts w:ascii="Times New Roman" w:hAnsi="Times New Roman" w:eastAsia="宋体" w:cs="Times New Roman"/>
      <w:lang w:val="en-US" w:eastAsia="zh-CN" w:bidi="ar-SA"/>
    </w:rPr>
  </w:style>
  <w:style w:type="paragraph" w:customStyle="1" w:styleId="75">
    <w:name w:val="正文_4_1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76">
    <w:name w:val="正文_4_0_2"/>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77">
    <w:name w:val="faguicon_p"/>
    <w:basedOn w:val="1"/>
    <w:qFormat/>
    <w:uiPriority w:val="0"/>
    <w:pPr>
      <w:widowControl/>
      <w:ind w:firstLine="480"/>
      <w:jc w:val="left"/>
    </w:pPr>
    <w:rPr>
      <w:rFonts w:ascii="微软雅黑" w:hAnsi="微软雅黑" w:eastAsia="微软雅黑" w:cs="微软雅黑"/>
      <w:kern w:val="0"/>
      <w:sz w:val="24"/>
    </w:rPr>
  </w:style>
  <w:style w:type="character" w:customStyle="1" w:styleId="78">
    <w:name w:val="any"/>
    <w:basedOn w:val="32"/>
    <w:qFormat/>
    <w:uiPriority w:val="0"/>
  </w:style>
  <w:style w:type="character" w:customStyle="1" w:styleId="79">
    <w:name w:val="sect2title"/>
    <w:qFormat/>
    <w:uiPriority w:val="0"/>
    <w:rPr>
      <w:rFonts w:ascii="微软雅黑" w:hAnsi="微软雅黑" w:eastAsia="微软雅黑" w:cs="微软雅黑"/>
      <w:b/>
      <w:bCs/>
      <w:sz w:val="26"/>
      <w:szCs w:val="26"/>
    </w:rPr>
  </w:style>
  <w:style w:type="paragraph" w:customStyle="1" w:styleId="80">
    <w:name w:val="修订1"/>
    <w:hidden/>
    <w:semiHidden/>
    <w:qFormat/>
    <w:uiPriority w:val="99"/>
    <w:rPr>
      <w:rFonts w:ascii="Calibri" w:hAnsi="Calibri" w:eastAsia="宋体" w:cs="Times New Roman"/>
      <w:kern w:val="2"/>
      <w:sz w:val="21"/>
      <w:szCs w:val="24"/>
      <w:lang w:val="en-US" w:eastAsia="zh-CN" w:bidi="ar-SA"/>
    </w:rPr>
  </w:style>
  <w:style w:type="character" w:customStyle="1" w:styleId="81">
    <w:name w:val="owl-numbers"/>
    <w:basedOn w:val="32"/>
    <w:qFormat/>
    <w:uiPriority w:val="0"/>
    <w:rPr>
      <w:color w:val="FFFFFF"/>
      <w:sz w:val="18"/>
      <w:szCs w:val="18"/>
    </w:rPr>
  </w:style>
  <w:style w:type="character" w:customStyle="1" w:styleId="82">
    <w:name w:val="hover"/>
    <w:basedOn w:val="32"/>
    <w:qFormat/>
    <w:uiPriority w:val="0"/>
    <w:rPr>
      <w:shd w:val="clear" w:color="auto" w:fill="929292"/>
    </w:rPr>
  </w:style>
  <w:style w:type="character" w:customStyle="1" w:styleId="83">
    <w:name w:val="article-icon"/>
    <w:basedOn w:val="32"/>
    <w:qFormat/>
    <w:uiPriority w:val="0"/>
  </w:style>
  <w:style w:type="character" w:customStyle="1" w:styleId="84">
    <w:name w:val="hover11"/>
    <w:basedOn w:val="32"/>
    <w:qFormat/>
    <w:uiPriority w:val="0"/>
    <w:rPr>
      <w:shd w:val="clear" w:color="auto" w:fill="929292"/>
    </w:rPr>
  </w:style>
  <w:style w:type="paragraph" w:styleId="8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75305-F2DD-4EB3-A1AB-716B925DE40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27415</Words>
  <Characters>28558</Characters>
  <Lines>223</Lines>
  <Paragraphs>62</Paragraphs>
  <TotalTime>4</TotalTime>
  <ScaleCrop>false</ScaleCrop>
  <LinksUpToDate>false</LinksUpToDate>
  <CharactersWithSpaces>29880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2024-10-16T02:11:00Z</dcterms:created>
  <dc:creator>dell</dc:creator>
  <cp:lastModifiedBy>admin</cp:lastModifiedBy>
  <cp:lastPrinted>2024-10-22T01:05:31Z</cp:lastPrinted>
  <dcterms:modified xsi:type="dcterms:W3CDTF">2024-10-22T01:10:11Z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AEBE080C5F8A466099DF9E1BDDA26E26_13</vt:lpwstr>
  </property>
</Properties>
</file>